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5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57190"/>
                    </a:xfrm>
                    <a:prstGeom prst="rect">
                      <a:avLst/>
                    </a:prstGeom>
                    <a:noFill/>
                  </pic:spPr>
                </pic:pic>
              </a:graphicData>
            </a:graphic>
          </wp:anchor>
        </w:drawing>
      </w:r>
    </w:p>
    <w:p>
      <w:pPr>
        <w:sectPr>
          <w:pgSz w:w="11900" w:h="16838" w:orient="portrait"/>
          <w:cols w:equalWidth="0" w:num="1">
            <w:col w:w="10940"/>
          </w:cols>
          <w:pgMar w:left="480" w:top="230" w:right="479" w:bottom="49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HEALY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Seaport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49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SEAPORT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101 SEAPORT BLVD., FLOOR 12</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9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Sofinnova</w:t>
            </w:r>
          </w:p>
        </w:tc>
        <w:tc>
          <w:tcPr>
            <w:tcW w:w="0" w:type="dxa"/>
            <w:vAlign w:val="bottom"/>
          </w:tcPr>
          <w:p>
            <w:pPr>
              <w:spacing w:after="0"/>
              <w:rPr>
                <w:sz w:val="1"/>
                <w:szCs w:val="1"/>
                <w:color w:val="auto"/>
              </w:rPr>
            </w:pPr>
          </w:p>
        </w:tc>
      </w:tr>
      <w:tr>
        <w:trPr>
          <w:trHeight w:val="24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A-2 Preferred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1,927,159</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Venture</w:t>
            </w: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XI,</w:t>
            </w: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Sofinnova</w:t>
            </w:r>
          </w:p>
        </w:tc>
        <w:tc>
          <w:tcPr>
            <w:tcW w:w="0" w:type="dxa"/>
            <w:vAlign w:val="bottom"/>
          </w:tcPr>
          <w:p>
            <w:pPr>
              <w:spacing w:after="0"/>
              <w:rPr>
                <w:sz w:val="1"/>
                <w:szCs w:val="1"/>
                <w:color w:val="auto"/>
              </w:rPr>
            </w:pPr>
          </w:p>
        </w:tc>
      </w:tr>
      <w:tr>
        <w:trPr>
          <w:trHeight w:val="24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right"/>
              <w:ind w:right="56"/>
              <w:spacing w:after="0"/>
              <w:rPr>
                <w:sz w:val="20"/>
                <w:szCs w:val="20"/>
                <w:color w:val="auto"/>
              </w:rPr>
            </w:pPr>
            <w:r>
              <w:rPr>
                <w:rFonts w:ascii="Times New Roman" w:cs="Times New Roman" w:eastAsia="Times New Roman" w:hAnsi="Times New Roman"/>
                <w:sz w:val="20"/>
                <w:szCs w:val="20"/>
                <w:color w:val="0000FF"/>
              </w:rPr>
              <w:t>804,379</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Venture</w:t>
            </w: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XI,</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560"/>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(2)</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A-2 Preferred Stock and Series B Preferred Stock (collectively, the "Preferred Stock") is convertible into Common Stock of the Issuer on a one-for-3.1407 basis at the option of the holder, and will automatically convert upon the closing of the Issuer's initial public offering into the number of shares shown in Column 3 without payment of further consideration. The Preferred Stock has no expiration date.</w:t>
      </w:r>
    </w:p>
    <w:p>
      <w:pPr>
        <w:spacing w:after="0" w:line="29" w:lineRule="exact"/>
        <w:rPr>
          <w:rFonts w:ascii="Times New Roman" w:cs="Times New Roman" w:eastAsia="Times New Roman" w:hAnsi="Times New Roman"/>
          <w:sz w:val="15"/>
          <w:szCs w:val="15"/>
          <w:color w:val="008000"/>
        </w:rPr>
      </w:pPr>
    </w:p>
    <w:p>
      <w:pPr>
        <w:ind w:left="40" w:right="10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directly held by Sofinnova Venture Partners XI, L.P. ("SVP XI"). Sofinnova Management XI, L.P. ("SM XI LP") is the general partner of SVP XI, and Sofinnova Management XI, L.L.C. ("SM XI") is the general partner of SM XI LP. The Reporting Person is a managing member of SM XI and may be deemed to share voting and investment discretion with respect to securities directly held by SVP XI. The Reporting Person disclaims beneficial ownership of the securities directly held by SVP XI. This report shall not be construed as an admission that he is the beneficial owner of the securities reported herein for purposes of Section 16 of the Securities Exchange Act of 1934, as amended, or for any other purpose, except to the extent of his pecuniary interest therein, if any.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Lana Gladstein,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90" w:gutter="0" w:footer="0" w:header="0"/>
          <w:type w:val="continuous"/>
        </w:sectPr>
      </w:pPr>
    </w:p>
    <w:bookmarkStart w:id="1" w:name="page2"/>
    <w:bookmarkEnd w:id="1"/>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8"/>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Lana Gladstein and Lauren White, and with full power of substitution, as the undersigned's true and lawful attorney-in-fact to:</w:t>
      </w:r>
    </w:p>
    <w:p>
      <w:pPr>
        <w:spacing w:after="0" w:line="195" w:lineRule="exact"/>
        <w:rPr>
          <w:sz w:val="20"/>
          <w:szCs w:val="20"/>
          <w:color w:val="auto"/>
        </w:rPr>
      </w:pPr>
    </w:p>
    <w:p>
      <w:pPr>
        <w:jc w:val="both"/>
        <w:ind w:left="740" w:right="260" w:hanging="371"/>
        <w:spacing w:after="0" w:line="266"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Seaport Therapeutics, Inc., a Delaware corporation (the “Company”), Forms 3, 4, and 5 in accordance with Section 16(a) of the Securities Exchange Act of 1934, as amended, and the rules thereunder;</w:t>
      </w:r>
    </w:p>
    <w:p>
      <w:pPr>
        <w:spacing w:after="0" w:line="210" w:lineRule="exact"/>
        <w:rPr>
          <w:rFonts w:ascii="Times New Roman" w:cs="Times New Roman" w:eastAsia="Times New Roman" w:hAnsi="Times New Roman"/>
          <w:sz w:val="20"/>
          <w:szCs w:val="20"/>
          <w:color w:val="auto"/>
        </w:rPr>
      </w:pPr>
    </w:p>
    <w:p>
      <w:pPr>
        <w:ind w:left="720" w:right="160" w:hanging="351"/>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740" w:right="200" w:hanging="371"/>
        <w:spacing w:after="0" w:line="258"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0" w:lineRule="exact"/>
        <w:rPr>
          <w:sz w:val="20"/>
          <w:szCs w:val="20"/>
          <w:color w:val="auto"/>
        </w:rPr>
      </w:pPr>
    </w:p>
    <w:p>
      <w:pPr>
        <w:ind w:right="100" w:firstLine="728"/>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221" w:lineRule="exact"/>
        <w:rPr>
          <w:sz w:val="20"/>
          <w:szCs w:val="20"/>
          <w:color w:val="auto"/>
        </w:rPr>
      </w:pPr>
    </w:p>
    <w:p>
      <w:pPr>
        <w:jc w:val="both"/>
        <w:ind w:right="120" w:firstLine="728"/>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day of April 7,</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James I.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19050</wp:posOffset>
            </wp:positionV>
            <wp:extent cx="12579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57935" cy="9525"/>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James I. Healy,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949960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560"/>
      </w:cols>
      <w:pgMar w:left="84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45624" TargetMode="External"/><Relationship Id="rId11" Type="http://schemas.openxmlformats.org/officeDocument/2006/relationships/hyperlink" Target="http://www.sec.gov/cgi-bin/browse-edgar?action=getcompany&amp;CIK=0002042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2026-04-30T19:11:32Z</dcterms:created>
  <dcterms:modified xsi:type="dcterms:W3CDTF">2026-04-30T19:11:32Z</dcterms:modified>
</cp:coreProperties>
</file>