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HOMBACH ROBERT J.</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Seaport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SPTX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SEAPORT THERAPEUTICS, INC.</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101 SEAPORT BLVD., FLOOR 12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Robert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Joseph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13,000</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ind w:lef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18.136</w:t>
            </w:r>
            <w:r>
              <w:rPr>
                <w:rFonts w:ascii="Times New Roman" w:cs="Times New Roman" w:eastAsia="Times New Roman" w:hAnsi="Times New Roman"/>
                <w:sz w:val="22"/>
                <w:szCs w:val="22"/>
                <w:color w:val="008000"/>
                <w:vertAlign w:val="superscript"/>
              </w:rPr>
              <w:t>(1)</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13,000</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Hombach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$17.65 to $18.27,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such shares for purposes of Section 16 of the Exchange Act, except to the extent of his pecuniary interest therein, if any. This report shall not be deemed an admission that he is a beneficial owner of such shares for the purpose of Section 16 of the Exchange Act, or for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Lana Gladstein,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6182" TargetMode="External"/><Relationship Id="rId14" Type="http://schemas.openxmlformats.org/officeDocument/2006/relationships/hyperlink" Target="http://www.sec.gov/cgi-bin/browse-edgar?action=getcompany&amp;CIK=0002042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2026-06-24T05:19:24Z</dcterms:created>
  <dcterms:modified xsi:type="dcterms:W3CDTF">2026-06-24T05:19:24Z</dcterms:modified>
</cp:coreProperties>
</file>