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3" w:lineRule="exact"/>
        <w:rPr>
          <w:sz w:val="24"/>
          <w:szCs w:val="24"/>
          <w:color w:val="auto"/>
        </w:rPr>
      </w:pPr>
    </w:p>
    <w:p>
      <w:pPr>
        <w:jc w:val="center"/>
        <w:ind w:left="460" w:right="320"/>
        <w:spacing w:after="0" w:line="296" w:lineRule="auto"/>
        <w:rPr>
          <w:sz w:val="20"/>
          <w:szCs w:val="20"/>
          <w:color w:val="auto"/>
        </w:rPr>
      </w:pPr>
      <w:r>
        <w:rPr>
          <w:rFonts w:ascii="Times New Roman" w:cs="Times New Roman" w:eastAsia="Times New Roman" w:hAnsi="Times New Roman"/>
          <w:sz w:val="16"/>
          <w:szCs w:val="16"/>
          <w:b w:val="1"/>
          <w:bCs w:val="1"/>
          <w:color w:val="auto"/>
        </w:rPr>
        <w:t>As confidentially submitted to the Securities and Exchange Commission on January 28, 2026. This draft registration statement has not been publicly filed with the Securities and Exchange Commission and all information herein remains strictly confidential.</w:t>
      </w:r>
    </w:p>
    <w:p>
      <w:pPr>
        <w:spacing w:after="0" w:line="26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90170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133350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5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149860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Seaport Therapeutics, Inc.</w:t>
      </w:r>
    </w:p>
    <w:p>
      <w:pPr>
        <w:spacing w:after="0" w:line="5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7" w:lineRule="exact"/>
        <w:rPr>
          <w:sz w:val="24"/>
          <w:szCs w:val="24"/>
          <w:color w:val="auto"/>
        </w:rPr>
      </w:pPr>
    </w:p>
    <w:tbl>
      <w:tblPr>
        <w:tblLayout w:type="fixed"/>
        <w:tblInd w:w="960" w:type="dxa"/>
        <w:tblCellMar>
          <w:top w:w="0" w:type="dxa"/>
          <w:left w:w="0" w:type="dxa"/>
          <w:bottom w:w="0" w:type="dxa"/>
          <w:right w:w="0" w:type="dxa"/>
        </w:tblCellMar>
      </w:tblPr>
      <w:tr>
        <w:trPr>
          <w:trHeight w:val="194"/>
        </w:trPr>
        <w:tc>
          <w:tcPr>
            <w:tcW w:w="2780" w:type="dxa"/>
            <w:vAlign w:val="bottom"/>
          </w:tcPr>
          <w:p>
            <w:pPr>
              <w:jc w:val="center"/>
              <w:ind w:right="84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820" w:type="dxa"/>
            <w:vAlign w:val="bottom"/>
          </w:tcPr>
          <w:p>
            <w:pPr>
              <w:jc w:val="center"/>
              <w:ind w:right="105"/>
              <w:spacing w:after="0"/>
              <w:rPr>
                <w:sz w:val="20"/>
                <w:szCs w:val="20"/>
                <w:color w:val="auto"/>
              </w:rPr>
            </w:pPr>
            <w:r>
              <w:rPr>
                <w:rFonts w:ascii="Times New Roman" w:cs="Times New Roman" w:eastAsia="Times New Roman" w:hAnsi="Times New Roman"/>
                <w:sz w:val="16"/>
                <w:szCs w:val="16"/>
                <w:b w:val="1"/>
                <w:bCs w:val="1"/>
                <w:color w:val="auto"/>
                <w:w w:val="99"/>
              </w:rPr>
              <w:t>2834</w:t>
            </w:r>
          </w:p>
        </w:tc>
        <w:tc>
          <w:tcPr>
            <w:tcW w:w="2500" w:type="dxa"/>
            <w:vAlign w:val="bottom"/>
          </w:tcPr>
          <w:p>
            <w:pPr>
              <w:jc w:val="center"/>
              <w:ind w:left="1005"/>
              <w:spacing w:after="0"/>
              <w:rPr>
                <w:sz w:val="20"/>
                <w:szCs w:val="20"/>
                <w:color w:val="auto"/>
              </w:rPr>
            </w:pPr>
            <w:r>
              <w:rPr>
                <w:rFonts w:ascii="Times New Roman" w:cs="Times New Roman" w:eastAsia="Times New Roman" w:hAnsi="Times New Roman"/>
                <w:sz w:val="16"/>
                <w:szCs w:val="16"/>
                <w:b w:val="1"/>
                <w:bCs w:val="1"/>
                <w:color w:val="auto"/>
              </w:rPr>
              <w:t>99-2235719</w:t>
            </w:r>
          </w:p>
        </w:tc>
      </w:tr>
      <w:tr>
        <w:trPr>
          <w:trHeight w:val="148"/>
        </w:trPr>
        <w:tc>
          <w:tcPr>
            <w:tcW w:w="2780" w:type="dxa"/>
            <w:vAlign w:val="bottom"/>
          </w:tcPr>
          <w:p>
            <w:pPr>
              <w:jc w:val="center"/>
              <w:ind w:right="82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2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500" w:type="dxa"/>
            <w:vAlign w:val="bottom"/>
          </w:tcPr>
          <w:p>
            <w:pPr>
              <w:jc w:val="center"/>
              <w:ind w:left="98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780" w:type="dxa"/>
            <w:vAlign w:val="bottom"/>
          </w:tcPr>
          <w:p>
            <w:pPr>
              <w:jc w:val="center"/>
              <w:ind w:right="82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2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500" w:type="dxa"/>
            <w:vAlign w:val="bottom"/>
          </w:tcPr>
          <w:p>
            <w:pPr>
              <w:jc w:val="center"/>
              <w:ind w:left="1005"/>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8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Seaport Therapeutics, Inc.</w:t>
      </w:r>
    </w:p>
    <w:p>
      <w:pPr>
        <w:spacing w:after="0" w:line="2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101 Seaport Blvd., Floor 12</w:t>
      </w:r>
    </w:p>
    <w:p>
      <w:pPr>
        <w:spacing w:after="0" w:line="1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Boston, Massachusetts 02210</w:t>
      </w:r>
    </w:p>
    <w:p>
      <w:pPr>
        <w:spacing w:after="0" w:line="1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(617) 807-4062</w:t>
      </w:r>
    </w:p>
    <w:p>
      <w:pPr>
        <w:spacing w:after="0" w:line="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64770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Daphne Zohar</w:t>
      </w:r>
    </w:p>
    <w:p>
      <w:pPr>
        <w:spacing w:after="0" w:line="2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1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Seaport Therapeutics, Inc.</w:t>
      </w:r>
    </w:p>
    <w:p>
      <w:pPr>
        <w:spacing w:after="0" w:line="1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101 Seaport Blvd., Floor 12</w:t>
      </w:r>
    </w:p>
    <w:p>
      <w:pPr>
        <w:spacing w:after="0" w:line="1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Boston, Massachusetts 02210</w:t>
      </w:r>
    </w:p>
    <w:p>
      <w:pPr>
        <w:spacing w:after="0" w:line="1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(617) 807-4062</w:t>
      </w:r>
    </w:p>
    <w:p>
      <w:pPr>
        <w:spacing w:after="0" w:line="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64770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6" w:lineRule="exact"/>
        <w:rPr>
          <w:sz w:val="24"/>
          <w:szCs w:val="24"/>
          <w:color w:val="auto"/>
        </w:rPr>
      </w:pPr>
    </w:p>
    <w:tbl>
      <w:tblPr>
        <w:tblLayout w:type="fixed"/>
        <w:tblInd w:w="1900" w:type="dxa"/>
        <w:tblCellMar>
          <w:top w:w="0" w:type="dxa"/>
          <w:left w:w="0" w:type="dxa"/>
          <w:bottom w:w="0" w:type="dxa"/>
          <w:right w:w="0" w:type="dxa"/>
        </w:tblCellMar>
      </w:tblPr>
      <w:tr>
        <w:trPr>
          <w:trHeight w:val="214"/>
        </w:trPr>
        <w:tc>
          <w:tcPr>
            <w:tcW w:w="2700" w:type="dxa"/>
            <w:vAlign w:val="bottom"/>
          </w:tcPr>
          <w:p>
            <w:pPr>
              <w:spacing w:after="0"/>
              <w:rPr>
                <w:sz w:val="18"/>
                <w:szCs w:val="18"/>
                <w:color w:val="auto"/>
              </w:rPr>
            </w:pPr>
          </w:p>
        </w:tc>
        <w:tc>
          <w:tcPr>
            <w:tcW w:w="4860" w:type="dxa"/>
            <w:vAlign w:val="bottom"/>
          </w:tcPr>
          <w:p>
            <w:pPr>
              <w:ind w:left="680"/>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tc>
      </w:tr>
      <w:tr>
        <w:trPr>
          <w:trHeight w:val="314"/>
        </w:trPr>
        <w:tc>
          <w:tcPr>
            <w:tcW w:w="2700" w:type="dxa"/>
            <w:vAlign w:val="bottom"/>
          </w:tcPr>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Mitchell S. Bloom</w:t>
            </w:r>
          </w:p>
        </w:tc>
        <w:tc>
          <w:tcPr>
            <w:tcW w:w="4860" w:type="dxa"/>
            <w:vAlign w:val="bottom"/>
          </w:tcPr>
          <w:p>
            <w:pPr>
              <w:jc w:val="center"/>
              <w:ind w:left="2759"/>
              <w:spacing w:after="0"/>
              <w:rPr>
                <w:sz w:val="20"/>
                <w:szCs w:val="20"/>
                <w:color w:val="auto"/>
              </w:rPr>
            </w:pPr>
            <w:r>
              <w:rPr>
                <w:rFonts w:ascii="Times New Roman" w:cs="Times New Roman" w:eastAsia="Times New Roman" w:hAnsi="Times New Roman"/>
                <w:sz w:val="16"/>
                <w:szCs w:val="16"/>
                <w:b w:val="1"/>
                <w:bCs w:val="1"/>
                <w:color w:val="auto"/>
              </w:rPr>
              <w:t>Nathan Ajiashvili</w:t>
            </w:r>
          </w:p>
        </w:tc>
      </w:tr>
      <w:tr>
        <w:trPr>
          <w:trHeight w:val="203"/>
        </w:trPr>
        <w:tc>
          <w:tcPr>
            <w:tcW w:w="2700" w:type="dxa"/>
            <w:vAlign w:val="bottom"/>
          </w:tcPr>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Benjamin K. Marsh</w:t>
            </w:r>
          </w:p>
        </w:tc>
        <w:tc>
          <w:tcPr>
            <w:tcW w:w="4860" w:type="dxa"/>
            <w:vAlign w:val="bottom"/>
          </w:tcPr>
          <w:p>
            <w:pPr>
              <w:jc w:val="center"/>
              <w:ind w:left="2779"/>
              <w:spacing w:after="0"/>
              <w:rPr>
                <w:sz w:val="20"/>
                <w:szCs w:val="20"/>
                <w:color w:val="auto"/>
              </w:rPr>
            </w:pPr>
            <w:r>
              <w:rPr>
                <w:rFonts w:ascii="Times New Roman" w:cs="Times New Roman" w:eastAsia="Times New Roman" w:hAnsi="Times New Roman"/>
                <w:sz w:val="16"/>
                <w:szCs w:val="16"/>
                <w:b w:val="1"/>
                <w:bCs w:val="1"/>
                <w:color w:val="auto"/>
                <w:w w:val="99"/>
              </w:rPr>
              <w:t>Salvatore Vanchieri</w:t>
            </w:r>
          </w:p>
        </w:tc>
      </w:tr>
      <w:tr>
        <w:trPr>
          <w:trHeight w:val="202"/>
        </w:trPr>
        <w:tc>
          <w:tcPr>
            <w:tcW w:w="2700" w:type="dxa"/>
            <w:vAlign w:val="bottom"/>
          </w:tcPr>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Kristen M. McCarthy</w:t>
            </w:r>
          </w:p>
        </w:tc>
        <w:tc>
          <w:tcPr>
            <w:tcW w:w="4860" w:type="dxa"/>
            <w:vAlign w:val="bottom"/>
          </w:tcPr>
          <w:p>
            <w:pPr>
              <w:jc w:val="center"/>
              <w:ind w:left="2779"/>
              <w:spacing w:after="0"/>
              <w:rPr>
                <w:sz w:val="20"/>
                <w:szCs w:val="20"/>
                <w:color w:val="auto"/>
              </w:rPr>
            </w:pPr>
            <w:r>
              <w:rPr>
                <w:rFonts w:ascii="Times New Roman" w:cs="Times New Roman" w:eastAsia="Times New Roman" w:hAnsi="Times New Roman"/>
                <w:sz w:val="16"/>
                <w:szCs w:val="16"/>
                <w:b w:val="1"/>
                <w:bCs w:val="1"/>
                <w:color w:val="auto"/>
                <w:w w:val="99"/>
              </w:rPr>
              <w:t>Sandy Kugbei</w:t>
            </w:r>
          </w:p>
        </w:tc>
      </w:tr>
      <w:tr>
        <w:trPr>
          <w:trHeight w:val="203"/>
        </w:trPr>
        <w:tc>
          <w:tcPr>
            <w:tcW w:w="2700" w:type="dxa"/>
            <w:vAlign w:val="bottom"/>
          </w:tcPr>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Goodwin Procter LLP</w:t>
            </w:r>
          </w:p>
        </w:tc>
        <w:tc>
          <w:tcPr>
            <w:tcW w:w="4860" w:type="dxa"/>
            <w:vAlign w:val="bottom"/>
          </w:tcPr>
          <w:p>
            <w:pPr>
              <w:jc w:val="center"/>
              <w:ind w:left="2779"/>
              <w:spacing w:after="0"/>
              <w:rPr>
                <w:sz w:val="20"/>
                <w:szCs w:val="20"/>
                <w:color w:val="auto"/>
              </w:rPr>
            </w:pPr>
            <w:r>
              <w:rPr>
                <w:rFonts w:ascii="Times New Roman" w:cs="Times New Roman" w:eastAsia="Times New Roman" w:hAnsi="Times New Roman"/>
                <w:sz w:val="16"/>
                <w:szCs w:val="16"/>
                <w:b w:val="1"/>
                <w:bCs w:val="1"/>
                <w:color w:val="auto"/>
                <w:w w:val="99"/>
              </w:rPr>
              <w:t>Latham &amp; Watkins LLP</w:t>
            </w:r>
          </w:p>
        </w:tc>
      </w:tr>
      <w:tr>
        <w:trPr>
          <w:trHeight w:val="203"/>
        </w:trPr>
        <w:tc>
          <w:tcPr>
            <w:tcW w:w="2700" w:type="dxa"/>
            <w:vAlign w:val="bottom"/>
          </w:tcPr>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100 Northern Avenue</w:t>
            </w:r>
          </w:p>
        </w:tc>
        <w:tc>
          <w:tcPr>
            <w:tcW w:w="4860" w:type="dxa"/>
            <w:vAlign w:val="bottom"/>
          </w:tcPr>
          <w:p>
            <w:pPr>
              <w:jc w:val="center"/>
              <w:ind w:left="2779"/>
              <w:spacing w:after="0"/>
              <w:rPr>
                <w:sz w:val="20"/>
                <w:szCs w:val="20"/>
                <w:color w:val="auto"/>
              </w:rPr>
            </w:pPr>
            <w:r>
              <w:rPr>
                <w:rFonts w:ascii="Times New Roman" w:cs="Times New Roman" w:eastAsia="Times New Roman" w:hAnsi="Times New Roman"/>
                <w:sz w:val="16"/>
                <w:szCs w:val="16"/>
                <w:b w:val="1"/>
                <w:bCs w:val="1"/>
                <w:color w:val="auto"/>
              </w:rPr>
              <w:t>1271 Avenue of the Americas</w:t>
            </w:r>
          </w:p>
        </w:tc>
      </w:tr>
      <w:tr>
        <w:trPr>
          <w:trHeight w:val="203"/>
        </w:trPr>
        <w:tc>
          <w:tcPr>
            <w:tcW w:w="2700" w:type="dxa"/>
            <w:vAlign w:val="bottom"/>
          </w:tcPr>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Boston, Massachusetts 02210</w:t>
            </w:r>
          </w:p>
        </w:tc>
        <w:tc>
          <w:tcPr>
            <w:tcW w:w="4860" w:type="dxa"/>
            <w:vAlign w:val="bottom"/>
          </w:tcPr>
          <w:p>
            <w:pPr>
              <w:jc w:val="center"/>
              <w:ind w:left="2779"/>
              <w:spacing w:after="0"/>
              <w:rPr>
                <w:sz w:val="20"/>
                <w:szCs w:val="20"/>
                <w:color w:val="auto"/>
              </w:rPr>
            </w:pPr>
            <w:r>
              <w:rPr>
                <w:rFonts w:ascii="Times New Roman" w:cs="Times New Roman" w:eastAsia="Times New Roman" w:hAnsi="Times New Roman"/>
                <w:sz w:val="16"/>
                <w:szCs w:val="16"/>
                <w:b w:val="1"/>
                <w:bCs w:val="1"/>
                <w:color w:val="auto"/>
              </w:rPr>
              <w:t>New York, New York 10020</w:t>
            </w:r>
          </w:p>
        </w:tc>
      </w:tr>
      <w:tr>
        <w:trPr>
          <w:trHeight w:val="212"/>
        </w:trPr>
        <w:tc>
          <w:tcPr>
            <w:tcW w:w="2700" w:type="dxa"/>
            <w:vAlign w:val="bottom"/>
          </w:tcPr>
          <w:p>
            <w:pPr>
              <w:jc w:val="center"/>
              <w:ind w:right="619"/>
              <w:spacing w:after="0"/>
              <w:rPr>
                <w:sz w:val="20"/>
                <w:szCs w:val="20"/>
                <w:color w:val="auto"/>
              </w:rPr>
            </w:pPr>
            <w:r>
              <w:rPr>
                <w:rFonts w:ascii="Times New Roman" w:cs="Times New Roman" w:eastAsia="Times New Roman" w:hAnsi="Times New Roman"/>
                <w:sz w:val="16"/>
                <w:szCs w:val="16"/>
                <w:b w:val="1"/>
                <w:bCs w:val="1"/>
                <w:color w:val="auto"/>
                <w:w w:val="99"/>
              </w:rPr>
              <w:t>(617) 570-1000</w:t>
            </w:r>
          </w:p>
        </w:tc>
        <w:tc>
          <w:tcPr>
            <w:tcW w:w="4860" w:type="dxa"/>
            <w:vAlign w:val="bottom"/>
          </w:tcPr>
          <w:p>
            <w:pPr>
              <w:jc w:val="center"/>
              <w:ind w:left="2779"/>
              <w:spacing w:after="0"/>
              <w:rPr>
                <w:sz w:val="20"/>
                <w:szCs w:val="20"/>
                <w:color w:val="auto"/>
              </w:rPr>
            </w:pPr>
            <w:r>
              <w:rPr>
                <w:rFonts w:ascii="Times New Roman" w:cs="Times New Roman" w:eastAsia="Times New Roman" w:hAnsi="Times New Roman"/>
                <w:sz w:val="16"/>
                <w:szCs w:val="16"/>
                <w:b w:val="1"/>
                <w:bCs w:val="1"/>
                <w:color w:val="auto"/>
                <w:w w:val="99"/>
              </w:rPr>
              <w:t>(212)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89535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7"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As soon as practicable after this registration statement becomes effective.</w:t>
      </w:r>
    </w:p>
    <w:p>
      <w:pPr>
        <w:spacing w:after="0" w:line="129" w:lineRule="exact"/>
        <w:rPr>
          <w:sz w:val="24"/>
          <w:szCs w:val="24"/>
          <w:color w:val="auto"/>
        </w:rPr>
      </w:pPr>
    </w:p>
    <w:p>
      <w:pPr>
        <w:ind w:left="120" w:right="14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as amended, check the following box: 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24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14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12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left="120" w:right="60" w:firstLine="4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120" w:type="dxa"/>
        <w:tblCellMar>
          <w:top w:w="0" w:type="dxa"/>
          <w:left w:w="0" w:type="dxa"/>
          <w:bottom w:w="0" w:type="dxa"/>
          <w:right w:w="0" w:type="dxa"/>
        </w:tblCellMar>
      </w:tblPr>
      <w:tr>
        <w:trPr>
          <w:trHeight w:val="272"/>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6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4" w:lineRule="exact"/>
        <w:rPr>
          <w:sz w:val="24"/>
          <w:szCs w:val="24"/>
          <w:color w:val="auto"/>
        </w:rPr>
      </w:pPr>
    </w:p>
    <w:p>
      <w:pPr>
        <w:ind w:left="120" w:right="40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73" w:lineRule="exact"/>
        <w:rPr>
          <w:sz w:val="24"/>
          <w:szCs w:val="24"/>
          <w:color w:val="auto"/>
        </w:rPr>
      </w:pPr>
    </w:p>
    <w:p>
      <w:pPr>
        <w:ind w:left="120" w:right="60" w:firstLine="440"/>
        <w:spacing w:after="0" w:line="276"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ectPr>
          <w:pgSz w:w="11900" w:h="16925" w:orient="portrait"/>
          <w:cols w:equalWidth="0" w:num="1">
            <w:col w:w="11100"/>
          </w:cols>
          <w:pgMar w:left="320" w:top="225" w:right="479" w:bottom="0" w:gutter="0" w:footer="0" w:header="0"/>
        </w:sectPr>
      </w:pPr>
    </w:p>
    <w:bookmarkStart w:id="1" w:name="page2"/>
    <w:bookmarkEnd w:id="1"/>
    <w:p>
      <w:pPr>
        <w:spacing w:after="0" w:line="27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149225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0200"/>
          </w:cols>
          <w:pgMar w:left="320" w:top="455"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33" w:type="dxa"/>
        <w:tblCellMar>
          <w:top w:w="0" w:type="dxa"/>
          <w:left w:w="0" w:type="dxa"/>
          <w:bottom w:w="0" w:type="dxa"/>
          <w:right w:w="0" w:type="dxa"/>
        </w:tblCellMar>
      </w:tblPr>
      <w:tr>
        <w:trPr>
          <w:trHeight w:val="11240"/>
        </w:trPr>
        <w:tc>
          <w:tcPr>
            <w:tcW w:w="599" w:type="dxa"/>
            <w:vAlign w:val="bottom"/>
            <w:textDirection w:val="btLr"/>
          </w:tcPr>
          <w:p>
            <w:pPr>
              <w:spacing w:after="0" w:line="245" w:lineRule="auto"/>
              <w:rPr>
                <w:sz w:val="20"/>
                <w:szCs w:val="20"/>
                <w:color w:val="auto"/>
              </w:rPr>
            </w:pPr>
            <w:r>
              <w:rPr>
                <w:rFonts w:ascii="Arial" w:cs="Arial" w:eastAsia="Arial" w:hAnsi="Arial"/>
                <w:sz w:val="17"/>
                <w:szCs w:val="17"/>
                <w:b w:val="1"/>
                <w:bCs w:val="1"/>
                <w:color w:val="DE1A1E"/>
              </w:rPr>
              <w:t>and it is not soliciting an offer to buy these securities in any state or other jurisdiction where the offer or sale is not permitted.</w:t>
            </w:r>
            <w:r>
              <w:rPr>
                <w:rFonts w:ascii="Arial" w:cs="Arial" w:eastAsia="Arial" w:hAnsi="Arial"/>
                <w:sz w:val="12"/>
                <w:szCs w:val="12"/>
                <w:b w:val="1"/>
                <w:bCs w:val="1"/>
                <w:color w:val="DE1A1E"/>
              </w:rPr>
              <w:t>1</w:t>
            </w:r>
            <w:r>
              <w:rPr>
                <w:rFonts w:ascii="Arial" w:cs="Arial" w:eastAsia="Arial" w:hAnsi="Arial"/>
                <w:sz w:val="17"/>
                <w:szCs w:val="17"/>
                <w:b w:val="1"/>
                <w:bCs w:val="1"/>
                <w:color w:val="DE1A1E"/>
              </w:rPr>
              <w:t xml:space="preserve"> statement filed with the Securities and Exchange Commission is effective. This preliminary prospectus is not an offer to sell these securities The information in this preliminary prospectus is not complete and may be changed. We may not sell these securities until the registration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DE1A1E"/>
        </w:rPr>
        <w:t>Subject to Completion, Dated             ,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1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5"/>
          <w:szCs w:val="25"/>
          <w:b w:val="1"/>
          <w:bCs w:val="1"/>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1722755</wp:posOffset>
            </wp:positionH>
            <wp:positionV relativeFrom="paragraph">
              <wp:posOffset>178435</wp:posOffset>
            </wp:positionV>
            <wp:extent cx="2451735" cy="925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5173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36"/>
          <w:szCs w:val="36"/>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254000</wp:posOffset>
            </wp:positionV>
            <wp:extent cx="12344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right="480" w:firstLine="371"/>
        <w:spacing w:after="0" w:line="282" w:lineRule="auto"/>
        <w:rPr>
          <w:sz w:val="20"/>
          <w:szCs w:val="20"/>
          <w:color w:val="auto"/>
        </w:rPr>
      </w:pPr>
      <w:r>
        <w:rPr>
          <w:rFonts w:ascii="Times New Roman" w:cs="Times New Roman" w:eastAsia="Times New Roman" w:hAnsi="Times New Roman"/>
          <w:sz w:val="18"/>
          <w:szCs w:val="18"/>
          <w:color w:val="auto"/>
        </w:rPr>
        <w:t>This is an initial public offering of shares of common stock of Seaport Therapeutics, Inc. We are offering           shares of our common stock.</w:t>
      </w:r>
    </w:p>
    <w:p>
      <w:pPr>
        <w:spacing w:after="0" w:line="162" w:lineRule="exact"/>
        <w:rPr>
          <w:sz w:val="20"/>
          <w:szCs w:val="20"/>
          <w:color w:val="auto"/>
        </w:rPr>
      </w:pPr>
    </w:p>
    <w:p>
      <w:pPr>
        <w:ind w:right="20" w:firstLine="371"/>
        <w:spacing w:after="0" w:line="26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It is currently estimated that the initial public offering price per share will be between $          and $          . We have applied to list our common stock on the Nasdaq Global Market under the symbol “SPTX.” We believe that upon the completion of this offering, we will meet the standards for listing on the Nasdaq Global Market, and the completion of this offering is contingent upon such listing.</w:t>
      </w:r>
    </w:p>
    <w:p>
      <w:pPr>
        <w:spacing w:after="0" w:line="180" w:lineRule="exact"/>
        <w:rPr>
          <w:sz w:val="20"/>
          <w:szCs w:val="20"/>
          <w:color w:val="auto"/>
        </w:rPr>
      </w:pPr>
    </w:p>
    <w:p>
      <w:pPr>
        <w:ind w:right="40" w:firstLine="371"/>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and “smaller reporting company” as defined under the U.S. federal securities laws and, as such, we have elected to comply with certain reduced public company reporting requirements in this prospectus. For additional information, see the section titled “Prospectus Summary—Implications of Being an Emerging Growth Company and a Smaller Reporting Company.”</w:t>
      </w:r>
    </w:p>
    <w:p>
      <w:pPr>
        <w:spacing w:after="0" w:line="176" w:lineRule="exact"/>
        <w:rPr>
          <w:sz w:val="20"/>
          <w:szCs w:val="20"/>
          <w:color w:val="auto"/>
        </w:rPr>
      </w:pPr>
    </w:p>
    <w:p>
      <w:pPr>
        <w:ind w:right="320" w:firstLine="371"/>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See the section titled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14 to read about factors you should consider before deciding to invest in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207010</wp:posOffset>
            </wp:positionV>
            <wp:extent cx="12344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right="20" w:firstLine="371"/>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95" w:lineRule="exact"/>
        <w:rPr>
          <w:sz w:val="20"/>
          <w:szCs w:val="20"/>
          <w:color w:val="auto"/>
        </w:rPr>
      </w:pPr>
    </w:p>
    <w:tbl>
      <w:tblPr>
        <w:tblLayout w:type="fixed"/>
        <w:tblInd w:w="380" w:type="dxa"/>
        <w:tblCellMar>
          <w:top w:w="0" w:type="dxa"/>
          <w:left w:w="0" w:type="dxa"/>
          <w:bottom w:w="0" w:type="dxa"/>
          <w:right w:w="0" w:type="dxa"/>
        </w:tblCellMar>
      </w:tblPr>
      <w:tr>
        <w:trPr>
          <w:trHeight w:val="173"/>
        </w:trPr>
        <w:tc>
          <w:tcPr>
            <w:tcW w:w="504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Underwriting discounts and commissions </w:t>
            </w:r>
            <w:r>
              <w:rPr>
                <w:rFonts w:ascii="Times New Roman" w:cs="Times New Roman" w:eastAsia="Times New Roman" w:hAnsi="Times New Roman"/>
                <w:sz w:val="25"/>
                <w:szCs w:val="25"/>
                <w:color w:val="auto"/>
                <w:vertAlign w:val="superscript"/>
              </w:rPr>
              <w:t>(1)</w:t>
            </w:r>
          </w:p>
        </w:tc>
        <w:tc>
          <w:tcPr>
            <w:tcW w:w="11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Seaport Therapeutics, Inc.</w:t>
            </w:r>
          </w:p>
        </w:tc>
        <w:tc>
          <w:tcPr>
            <w:tcW w:w="11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515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151" w:lineRule="exact"/>
        <w:rPr>
          <w:sz w:val="20"/>
          <w:szCs w:val="20"/>
          <w:color w:val="auto"/>
        </w:rPr>
      </w:pPr>
    </w:p>
    <w:p>
      <w:pPr>
        <w:jc w:val="center"/>
        <w:ind w:right="380"/>
        <w:spacing w:after="0"/>
        <w:tabs>
          <w:tab w:leader="none" w:pos="140" w:val="left"/>
        </w:tabs>
        <w:rPr>
          <w:sz w:val="20"/>
          <w:szCs w:val="20"/>
          <w:color w:val="auto"/>
        </w:rPr>
      </w:pPr>
      <w:r>
        <w:rPr>
          <w:rFonts w:ascii="Times New Roman" w:cs="Times New Roman" w:eastAsia="Times New Roman" w:hAnsi="Times New Roman"/>
          <w:sz w:val="18"/>
          <w:szCs w:val="18"/>
          <w:color w:val="auto"/>
        </w:rPr>
        <w:t>(1)</w:t>
        <w:tab/>
        <w:t>For additional information regarding compensation payable to the underwriters, see the section titled “Underwriting.”</w:t>
      </w:r>
    </w:p>
    <w:p>
      <w:pPr>
        <w:spacing w:after="0" w:line="225" w:lineRule="exact"/>
        <w:rPr>
          <w:sz w:val="20"/>
          <w:szCs w:val="20"/>
          <w:color w:val="auto"/>
        </w:rPr>
      </w:pPr>
    </w:p>
    <w:p>
      <w:pPr>
        <w:ind w:right="20" w:firstLine="371"/>
        <w:spacing w:after="0" w:line="282" w:lineRule="auto"/>
        <w:rPr>
          <w:sz w:val="20"/>
          <w:szCs w:val="20"/>
          <w:color w:val="auto"/>
        </w:rPr>
      </w:pPr>
      <w:r>
        <w:rPr>
          <w:rFonts w:ascii="Times New Roman" w:cs="Times New Roman" w:eastAsia="Times New Roman" w:hAnsi="Times New Roman"/>
          <w:sz w:val="18"/>
          <w:szCs w:val="18"/>
          <w:color w:val="auto"/>
        </w:rPr>
        <w:t>We have granted the underwriters the option to purchase up to an additional         shares of common stock from us, at the initial public offering price, less the underwriting discounts and commissions.</w:t>
      </w:r>
    </w:p>
    <w:p>
      <w:pPr>
        <w:spacing w:after="0" w:line="162" w:lineRule="exact"/>
        <w:rPr>
          <w:sz w:val="20"/>
          <w:szCs w:val="20"/>
          <w:color w:val="auto"/>
        </w:rPr>
      </w:pPr>
    </w:p>
    <w:p>
      <w:pPr>
        <w:jc w:val="both"/>
        <w:ind w:right="160" w:firstLine="371"/>
        <w:spacing w:after="0" w:line="266" w:lineRule="auto"/>
        <w:rPr>
          <w:sz w:val="20"/>
          <w:szCs w:val="20"/>
          <w:color w:val="auto"/>
        </w:rPr>
      </w:pPr>
      <w:r>
        <w:rPr>
          <w:rFonts w:ascii="Times New Roman" w:cs="Times New Roman" w:eastAsia="Times New Roman" w:hAnsi="Times New Roman"/>
          <w:sz w:val="18"/>
          <w:szCs w:val="18"/>
          <w:color w:val="auto"/>
        </w:rPr>
        <w:t>At our request, the underwriters have reserved up to     % of the shares offered by this prospectus for sale, at the initial public offering price, to our directors, officers, certain employees and certain other persons associated with us. See the section “</w:t>
      </w:r>
      <w:r>
        <w:rPr>
          <w:rFonts w:ascii="Times New Roman" w:cs="Times New Roman" w:eastAsia="Times New Roman" w:hAnsi="Times New Roman"/>
          <w:sz w:val="18"/>
          <w:szCs w:val="18"/>
          <w:i w:val="1"/>
          <w:iCs w:val="1"/>
          <w:color w:val="auto"/>
        </w:rPr>
        <w:t>Underwriting—Directed Share Program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underwriters expect to deliver the shares against payment on or about             , 2026.</w:t>
      </w:r>
    </w:p>
    <w:p>
      <w:pPr>
        <w:spacing w:after="0" w:line="200" w:lineRule="exact"/>
        <w:rPr>
          <w:sz w:val="20"/>
          <w:szCs w:val="20"/>
          <w:color w:val="auto"/>
        </w:rPr>
      </w:pPr>
    </w:p>
    <w:p>
      <w:pPr>
        <w:sectPr>
          <w:pgSz w:w="11900" w:h="16838" w:orient="portrait"/>
          <w:cols w:equalWidth="0" w:num="2">
            <w:col w:w="631" w:space="349"/>
            <w:col w:w="9220"/>
          </w:cols>
          <w:pgMar w:left="320" w:top="455" w:right="1379" w:bottom="1440" w:gutter="0" w:footer="0" w:header="0"/>
          <w:type w:val="continuous"/>
        </w:sectPr>
      </w:pPr>
    </w:p>
    <w:p>
      <w:pPr>
        <w:spacing w:after="0" w:line="34" w:lineRule="exact"/>
        <w:rPr>
          <w:sz w:val="20"/>
          <w:szCs w:val="20"/>
          <w:color w:val="auto"/>
        </w:rPr>
      </w:pPr>
    </w:p>
    <w:p>
      <w:pPr>
        <w:ind w:left="980"/>
        <w:spacing w:after="0"/>
        <w:tabs>
          <w:tab w:leader="none" w:pos="4660" w:val="left"/>
          <w:tab w:leader="none" w:pos="6280" w:val="left"/>
          <w:tab w:leader="none" w:pos="8340" w:val="left"/>
          <w:tab w:leader="none" w:pos="9660" w:val="left"/>
        </w:tabs>
        <w:rPr>
          <w:sz w:val="20"/>
          <w:szCs w:val="20"/>
          <w:color w:val="auto"/>
        </w:rPr>
      </w:pPr>
      <w:r>
        <w:rPr>
          <w:rFonts w:ascii="Times New Roman" w:cs="Times New Roman" w:eastAsia="Times New Roman" w:hAnsi="Times New Roman"/>
          <w:sz w:val="23"/>
          <w:szCs w:val="23"/>
          <w:b w:val="1"/>
          <w:bCs w:val="1"/>
          <w:color w:val="auto"/>
        </w:rPr>
        <w:t>Goldman Sachs &amp; Co. LLC</w:t>
      </w:r>
      <w:r>
        <w:rPr>
          <w:sz w:val="20"/>
          <w:szCs w:val="20"/>
          <w:color w:val="auto"/>
        </w:rPr>
        <w:tab/>
      </w:r>
      <w:r>
        <w:rPr>
          <w:rFonts w:ascii="Times New Roman" w:cs="Times New Roman" w:eastAsia="Times New Roman" w:hAnsi="Times New Roman"/>
          <w:sz w:val="23"/>
          <w:szCs w:val="23"/>
          <w:b w:val="1"/>
          <w:bCs w:val="1"/>
          <w:color w:val="auto"/>
        </w:rPr>
        <w:t>J.P. Morgan</w:t>
      </w:r>
      <w:r>
        <w:rPr>
          <w:sz w:val="20"/>
          <w:szCs w:val="20"/>
          <w:color w:val="auto"/>
        </w:rPr>
        <w:tab/>
      </w:r>
      <w:r>
        <w:rPr>
          <w:rFonts w:ascii="Times New Roman" w:cs="Times New Roman" w:eastAsia="Times New Roman" w:hAnsi="Times New Roman"/>
          <w:sz w:val="23"/>
          <w:szCs w:val="23"/>
          <w:b w:val="1"/>
          <w:bCs w:val="1"/>
          <w:color w:val="auto"/>
        </w:rPr>
        <w:t>Leerink Partners</w:t>
        <w:tab/>
        <w:t>Citigroup</w:t>
        <w:tab/>
        <w:t>Stifel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248920</wp:posOffset>
            </wp:positionV>
            <wp:extent cx="12344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ectPr>
          <w:pgSz w:w="11900" w:h="16838" w:orient="portrait"/>
          <w:cols w:equalWidth="0" w:num="1">
            <w:col w:w="10200"/>
          </w:cols>
          <w:pgMar w:left="320" w:top="455" w:right="1379" w:bottom="1440" w:gutter="0" w:footer="0" w:header="0"/>
          <w:type w:val="continuous"/>
        </w:sectPr>
      </w:pPr>
    </w:p>
    <w:p>
      <w:pPr>
        <w:spacing w:after="0" w:line="200" w:lineRule="exact"/>
        <w:rPr>
          <w:sz w:val="20"/>
          <w:szCs w:val="20"/>
          <w:color w:val="auto"/>
        </w:rPr>
      </w:pPr>
    </w:p>
    <w:p>
      <w:pPr>
        <w:spacing w:after="0" w:line="40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Prospectus dated             , 2026</w:t>
      </w:r>
    </w:p>
    <w:p>
      <w:pPr>
        <w:sectPr>
          <w:pgSz w:w="11900" w:h="16838" w:orient="portrait"/>
          <w:cols w:equalWidth="0" w:num="1">
            <w:col w:w="10200"/>
          </w:cols>
          <w:pgMar w:left="320" w:top="455" w:right="13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97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PROSPECTUS SUMMARY</w:t>
            </w:r>
          </w:p>
        </w:tc>
        <w:tc>
          <w:tcPr>
            <w:tcW w:w="1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08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700" w:type="dxa"/>
            <w:vAlign w:val="bottom"/>
            <w:gridSpan w:val="1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97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196"/>
        </w:trPr>
        <w:tc>
          <w:tcPr>
            <w:tcW w:w="160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3720" w:type="dxa"/>
            <w:vAlign w:val="bottom"/>
            <w:tcBorders>
              <w:top w:val="single" w:sz="8" w:color="0000EE"/>
            </w:tcBorders>
            <w:gridSpan w:val="9"/>
          </w:tcPr>
          <w:p>
            <w:pPr>
              <w:spacing w:after="0"/>
              <w:rPr>
                <w:sz w:val="17"/>
                <w:szCs w:val="17"/>
                <w:color w:val="auto"/>
              </w:rPr>
            </w:pPr>
          </w:p>
        </w:tc>
        <w:tc>
          <w:tcPr>
            <w:tcW w:w="4460" w:type="dxa"/>
            <w:vAlign w:val="bottom"/>
            <w:gridSpan w:val="4"/>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196"/>
        </w:trPr>
        <w:tc>
          <w:tcPr>
            <w:tcW w:w="15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200" w:type="dxa"/>
            <w:vAlign w:val="bottom"/>
            <w:gridSpan w:val="14"/>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r>
      <w:tr>
        <w:trPr>
          <w:trHeight w:val="196"/>
        </w:trPr>
        <w:tc>
          <w:tcPr>
            <w:tcW w:w="14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CAPITALIZATION</w:t>
            </w:r>
          </w:p>
        </w:tc>
        <w:tc>
          <w:tcPr>
            <w:tcW w:w="8300" w:type="dxa"/>
            <w:vAlign w:val="bottom"/>
            <w:gridSpan w:val="15"/>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196"/>
        </w:trPr>
        <w:tc>
          <w:tcPr>
            <w:tcW w:w="8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8920" w:type="dxa"/>
            <w:vAlign w:val="bottom"/>
            <w:gridSpan w:val="20"/>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196"/>
        </w:trPr>
        <w:tc>
          <w:tcPr>
            <w:tcW w:w="97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r>
      <w:tr>
        <w:trPr>
          <w:trHeight w:val="196"/>
        </w:trPr>
        <w:tc>
          <w:tcPr>
            <w:tcW w:w="890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88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3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8480" w:type="dxa"/>
            <w:vAlign w:val="bottom"/>
            <w:gridSpan w:val="18"/>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177</w:t>
            </w:r>
          </w:p>
        </w:tc>
      </w:tr>
      <w:tr>
        <w:trPr>
          <w:trHeight w:val="196"/>
        </w:trPr>
        <w:tc>
          <w:tcPr>
            <w:tcW w:w="24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7340" w:type="dxa"/>
            <w:vAlign w:val="bottom"/>
            <w:gridSpan w:val="9"/>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189</w:t>
            </w:r>
          </w:p>
        </w:tc>
      </w:tr>
      <w:tr>
        <w:trPr>
          <w:trHeight w:val="196"/>
        </w:trPr>
        <w:tc>
          <w:tcPr>
            <w:tcW w:w="97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DIRECTOR COMPENSATION</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200</w:t>
            </w: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560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CERTAIN RELATIONSHIPS AND RELATED PERSON TRANSACTIONS</w:t>
            </w:r>
          </w:p>
        </w:tc>
        <w:tc>
          <w:tcPr>
            <w:tcW w:w="4180" w:type="dxa"/>
            <w:vAlign w:val="bottom"/>
            <w:gridSpan w:val="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203</w:t>
            </w:r>
          </w:p>
        </w:tc>
      </w:tr>
      <w:tr>
        <w:trPr>
          <w:trHeight w:val="196"/>
        </w:trPr>
        <w:tc>
          <w:tcPr>
            <w:tcW w:w="23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PRINCIPAL STOCKHOLDERS</w:t>
            </w:r>
          </w:p>
        </w:tc>
        <w:tc>
          <w:tcPr>
            <w:tcW w:w="7400" w:type="dxa"/>
            <w:vAlign w:val="bottom"/>
            <w:gridSpan w:val="10"/>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207</w:t>
            </w:r>
          </w:p>
        </w:tc>
      </w:tr>
      <w:tr>
        <w:trPr>
          <w:trHeight w:val="196"/>
        </w:trPr>
        <w:tc>
          <w:tcPr>
            <w:tcW w:w="97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210</w:t>
            </w: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gridSpan w:val="8"/>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31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SHARES ELIGIBLE FOR FUTURE SALE</w:t>
            </w:r>
          </w:p>
        </w:tc>
        <w:tc>
          <w:tcPr>
            <w:tcW w:w="6600" w:type="dxa"/>
            <w:vAlign w:val="bottom"/>
            <w:gridSpan w:val="7"/>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216</w:t>
            </w:r>
          </w:p>
        </w:tc>
      </w:tr>
      <w:tr>
        <w:trPr>
          <w:trHeight w:val="196"/>
        </w:trPr>
        <w:tc>
          <w:tcPr>
            <w:tcW w:w="97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CONSEQUENCES FOR NON-U.S. HOLDERS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218</w:t>
            </w:r>
          </w:p>
        </w:tc>
      </w:tr>
      <w:tr>
        <w:trPr>
          <w:trHeight w:val="196"/>
        </w:trPr>
        <w:tc>
          <w:tcPr>
            <w:tcW w:w="682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2960" w:type="dxa"/>
            <w:vAlign w:val="bottom"/>
            <w:gridSpan w:val="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222</w:t>
            </w: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4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4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8320" w:type="dxa"/>
            <w:vAlign w:val="bottom"/>
            <w:gridSpan w:val="16"/>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229</w:t>
            </w:r>
          </w:p>
        </w:tc>
      </w:tr>
      <w:tr>
        <w:trPr>
          <w:trHeight w:val="196"/>
        </w:trPr>
        <w:tc>
          <w:tcPr>
            <w:tcW w:w="97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229</w:t>
            </w:r>
          </w:p>
        </w:tc>
      </w:tr>
      <w:tr>
        <w:trPr>
          <w:trHeight w:val="20"/>
        </w:trPr>
        <w:tc>
          <w:tcPr>
            <w:tcW w:w="760" w:type="dxa"/>
            <w:vAlign w:val="bottom"/>
            <w:shd w:val="clear" w:color="auto" w:fill="0000EE"/>
          </w:tcPr>
          <w:p>
            <w:pPr>
              <w:spacing w:after="0" w:line="20" w:lineRule="exact"/>
              <w:rPr>
                <w:sz w:val="1"/>
                <w:szCs w:val="1"/>
                <w:color w:val="auto"/>
              </w:rPr>
            </w:pPr>
          </w:p>
        </w:tc>
        <w:tc>
          <w:tcPr>
            <w:tcW w:w="3640" w:type="dxa"/>
            <w:vAlign w:val="bottom"/>
            <w:gridSpan w:val="1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4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97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229</w:t>
            </w:r>
          </w:p>
        </w:tc>
      </w:tr>
      <w:tr>
        <w:trPr>
          <w:trHeight w:val="20"/>
        </w:trPr>
        <w:tc>
          <w:tcPr>
            <w:tcW w:w="4400" w:type="dxa"/>
            <w:vAlign w:val="bottom"/>
            <w:gridSpan w:val="17"/>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4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97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INDEX TO THE CONSOLIDATED FINANCIAL STATEMENTS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all references in this prospectus to “Seaport,” the “company,” “we,” “our,” “us”, or similar terms refer to Seaport Therapeutics, Inc. and its wholly owned subsidiaries, or either or all of them as the context may require.</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you any information or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our common stock, and the distribution of this prospectus outside of the United States.</w:t>
      </w:r>
    </w:p>
    <w:p>
      <w:pPr>
        <w:spacing w:after="0" w:line="180"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own, have applied for, or have rights to use one or more registered and common law trademarks, service marks, and/or trade names in connection with our business in the United States, which may be used throughout this prospectus. This prospectus also includes trademarks, tradenames, and service marks of third parties which are the property of their respective owners. Our use or display of third-parties’ trademarks, service marks,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33" w:lineRule="auto"/>
        <w:rPr>
          <w:sz w:val="20"/>
          <w:szCs w:val="20"/>
          <w:color w:val="auto"/>
        </w:rPr>
      </w:pPr>
      <w:r>
        <w:rPr>
          <w:rFonts w:ascii="Times New Roman" w:cs="Times New Roman" w:eastAsia="Times New Roman" w:hAnsi="Times New Roman"/>
          <w:sz w:val="18"/>
          <w:szCs w:val="18"/>
          <w:color w:val="auto"/>
        </w:rPr>
        <w:t xml:space="preserve">tradenames, or products in this prospectus and our other public filings is not intended to, and does not imply a relationship with, or endorsement or sponsorship by us. Solely for convenience, the trademarks, service marks, logos and trade names referred to in this prospectus and our other public filings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TM or SM symbols, but the omission of such references is not intended to indicate, in any way, that we will not assert, to the fullest extent under applicable law, our rights, or the rights of the applicable owner of or licensor to these trademarks, service marks, and trade names.</w:t>
      </w:r>
    </w:p>
    <w:p>
      <w:pPr>
        <w:spacing w:after="0" w:line="1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55"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market data and certain other statistical information used throughout this prospectus are based on independent industry publications, governmental publications, reports by market research firms, or other independent sources that we believe to be reliable sources. Industry publications and third-party research, surveys, and studies generally indicate that their information has been obtained from sources believed to be reliable, although they do not guarantee the accuracy or completeness of such information. We are responsible for all of the disclosures contained in this prospectus, and we believe that these sources are reliable; however, we have not independently verified the information contained in such publications.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titled “Risk Factors” and elsewhere in this prospectus. Some data are also based on our good faith estimates.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Pursuant to the applicable provisions of the Fixing America’s Surface Transportation Act, we are omitting our audited financial statements as of and for the year ended December 31, 2023 and our unaudited financial statements as of and for the nine months ended September 30, 2024 and 2025 because they relate to historical periods that we believe will not be required to be included in the prospectus at the time of the contemplated offering. We intend to amend this registration statement to include all financial information required by Regulation S-X under the Securities Act of 1933, as amended, at the date of such amendment before distributing a preliminary prospectus to investors.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120" w:firstLine="440"/>
        <w:spacing w:after="0" w:line="241" w:lineRule="auto"/>
        <w:rPr>
          <w:sz w:val="20"/>
          <w:szCs w:val="20"/>
          <w:color w:val="auto"/>
        </w:rPr>
      </w:pPr>
      <w:r>
        <w:rPr>
          <w:rFonts w:ascii="Times New Roman" w:cs="Times New Roman" w:eastAsia="Times New Roman" w:hAnsi="Times New Roman"/>
          <w:sz w:val="18"/>
          <w:szCs w:val="18"/>
          <w:color w:val="auto"/>
        </w:rPr>
        <w:t xml:space="preserve">We were incorporated under the laws of the State of Delaware as SP Therapeutics, Inc. on April 1, 2024 and changed our name to Seaport Therapeutics, Inc. on April 2, 2024. Our wholly owned subsidiary, SPTX, Inc., was a result of the incorporation of a predecessor company under the laws of the State of Delaware in February 2024 under the name Seaport Therapeutics, Inc., which subsequently changed its name to Seaport Therapeutics Holdings, Inc. in March 2024 and to SPTX, Inc. in April 2024. In April 2024, we entered into a share exchange agreement, or the Share Exchange Agreement, with SPTX, Inc., which resulted in SPTX, Inc. becoming our wholly owned subsidiary. On April 8, 2024, or the Asset Transfer Date, we entered into an Asset Transfer Agreement as amended in December 2025, or the Asset Transfer Agreement, with PureTech Health LLC, or PureTech Health, and PureTech LYT Inc., or PureTech LYT, pursuant to which PureTech Health and PureTech LYT agreed to contribute, convey, assign, transfer, and deliver to us all of their right, title, and interest in, to and under the assets related to its Glyph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technology or products, subject to the terms set forth in the Asset Transfer Agreement.</w:t>
      </w:r>
    </w:p>
    <w:p>
      <w:pPr>
        <w:spacing w:after="0" w:line="19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financial statements presented in this prospectus for periods prior to the Asset Transfer Date, which are included in the consolidated financial statements for the year ended December 31, 2024, have been prepared on a “carve-out” basis from the financial statements of PureTech Health plc, or PureTech, to represent our financial position and performance as if we had existed on a standalone basis. The financial statements presented in this prospectus for periods from and after the Asset Transfer Date reflect our financial position and performance as a standalone entity. All of our assets, liabilities and expenses as of and for the periods prior to the Asset Transfer Date were identified based on the assets and liabilities contributed to us from PureTech, as well as indirect costs that were not specifically identifiable to us or our related programs but were considered necessary to operate as a standalone company. Management believes the assumptions underlying our carve-out financial statements are reasonable. Nevertheless, the carve-out financial statements may not include all of the actual expenses that would have been incurred had we operated as a standalone company during the periods presented, and may not reflect our results of operations, financial position, and cash flows had we operated as a standalone company during the periods presented. Actual costs that would have been incurred if we had operated as a standalone company would depend on multiple factors, including organizational structure and strategic decisions made in various areas.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100"/>
          </w:cols>
          <w:pgMar w:left="320" w:top="455"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21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This summary does not contain all of the information you should consider before investing in our common stock. You should read this entire prospectus carefully, including the sections of this prospectus titled “Risk Factors,” “Special Note Regarding Forward-Looking Statements,” “Management’s Discussion and Analysis of Financial Condition and Results of Operations” and our consolidated financial statements and the related notes included elsewhere in this prospectus, before making an investment decision.</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20" w:firstLine="426"/>
        <w:spacing w:after="0" w:line="239" w:lineRule="auto"/>
        <w:rPr>
          <w:sz w:val="20"/>
          <w:szCs w:val="20"/>
          <w:color w:val="auto"/>
        </w:rPr>
      </w:pPr>
      <w:r>
        <w:rPr>
          <w:rFonts w:ascii="Times New Roman" w:cs="Times New Roman" w:eastAsia="Times New Roman" w:hAnsi="Times New Roman"/>
          <w:sz w:val="18"/>
          <w:szCs w:val="18"/>
          <w:color w:val="auto"/>
        </w:rPr>
        <w:t>We are a clinical-stage therapeutics company focused on inventing and developing new medicines for patients with depression, anxiety, and other debilitating neuropsychiatric disorders. Through our differentiated approach, we identify clinically validated mechanisms with established efficacy and safety profiles which had historically been limited by high first-pass metabolism, low bioavailability, and/or side effects. We apply our proprietary Glyph</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platform to overcome those limitations and invent innovative oral therapies. Glyph is a lymphatic-targeting prodrug technology which is designed to bypass first-pass metabolism and thereby enhance a drug’s oral bioavailability and reduce side effects. This process, which we call “Glyphing,” also creates new composition of matter intellectual property. Our experienced team of industry leaders has a proven track record in neuropsychiatry drug discovery and development and delivering successful business outcomes. We aim to develop novel, leading treatment options that will make a significant impact for patients and their families.</w:t>
      </w:r>
    </w:p>
    <w:p>
      <w:pPr>
        <w:spacing w:after="0" w:line="203" w:lineRule="exact"/>
        <w:rPr>
          <w:sz w:val="20"/>
          <w:szCs w:val="20"/>
          <w:color w:val="auto"/>
        </w:rPr>
      </w:pPr>
    </w:p>
    <w:p>
      <w:pPr>
        <w:ind w:left="300" w:firstLine="426"/>
        <w:spacing w:after="0" w:line="238" w:lineRule="auto"/>
        <w:rPr>
          <w:sz w:val="20"/>
          <w:szCs w:val="20"/>
          <w:color w:val="auto"/>
        </w:rPr>
      </w:pPr>
      <w:r>
        <w:rPr>
          <w:rFonts w:ascii="Times New Roman" w:cs="Times New Roman" w:eastAsia="Times New Roman" w:hAnsi="Times New Roman"/>
          <w:sz w:val="18"/>
          <w:szCs w:val="18"/>
          <w:color w:val="auto"/>
        </w:rPr>
        <w:t>Our lead product candidate, GlyphAllo</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(SPT-300 or Glyph Allopregnanolone), is a novel, Glyphed oral prodrug of allopregnanolone, an endogenous molecule that has been clinically validated in third-party trials for the treatment of postpartum depression, or PPD, a form of major depressive disorder, or MDD, as a rapidly acting antidepressant with anxiolytic and sleep-promoting effects. GlyphAllo is designed to overcome bioavailability limitations of allopregnanolone and deliver rapid and durable efficacy in MDD. We have demonstrated in a Phase 1 clinical trial that GlyphAllo reaches therapeutically relevant exposures with oral dosing, and in a Phase 2a clinical trial, GlyphAllo demonstrated initial proof-of-concept with an objective biomarker of stress in healthy volunteers and a favorable tolerability profile. We have initiated the Phase 2b BUOY-1 trial in patients with MDD with or without anxious distress and anticipate topline data in         .</w:t>
      </w:r>
    </w:p>
    <w:p>
      <w:pPr>
        <w:spacing w:after="0" w:line="200" w:lineRule="exact"/>
        <w:rPr>
          <w:sz w:val="20"/>
          <w:szCs w:val="20"/>
          <w:color w:val="auto"/>
        </w:rPr>
      </w:pPr>
    </w:p>
    <w:p>
      <w:pPr>
        <w:ind w:left="300" w:right="100" w:firstLine="426"/>
        <w:spacing w:after="0" w:line="235" w:lineRule="auto"/>
        <w:rPr>
          <w:sz w:val="20"/>
          <w:szCs w:val="20"/>
          <w:color w:val="auto"/>
        </w:rPr>
      </w:pPr>
      <w:r>
        <w:rPr>
          <w:rFonts w:ascii="Times New Roman" w:cs="Times New Roman" w:eastAsia="Times New Roman" w:hAnsi="Times New Roman"/>
          <w:sz w:val="17"/>
          <w:szCs w:val="17"/>
          <w:color w:val="auto"/>
        </w:rPr>
        <w:t>Our second product candidate, GlyphAgo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(SPT-320 or Glyph Agomelatine), is a novel, Glyphed oral prodrug of agomelatine, a clinically validated anxiolytic and antidepressant that is approved for the treatment of generalized anxiety disorder, or GAD, in Australia and MDD in Australia and the European Union, or EU. We have initiated a proof-of-concept Phase 1 trial for the treatment of GAD and expect topline data in</w:t>
      </w:r>
    </w:p>
    <w:p>
      <w:pPr>
        <w:spacing w:after="0" w:line="2" w:lineRule="exact"/>
        <w:rPr>
          <w:sz w:val="20"/>
          <w:szCs w:val="20"/>
          <w:color w:val="auto"/>
        </w:rPr>
      </w:pPr>
    </w:p>
    <w:p>
      <w:pPr>
        <w:jc w:val="both"/>
        <w:ind w:left="300" w:right="160"/>
        <w:spacing w:after="0" w:line="218" w:lineRule="auto"/>
        <w:rPr>
          <w:sz w:val="20"/>
          <w:szCs w:val="20"/>
          <w:color w:val="auto"/>
        </w:rPr>
      </w:pPr>
      <w:r>
        <w:rPr>
          <w:rFonts w:ascii="Times New Roman" w:cs="Times New Roman" w:eastAsia="Times New Roman" w:hAnsi="Times New Roman"/>
          <w:sz w:val="18"/>
          <w:szCs w:val="18"/>
          <w:color w:val="auto"/>
        </w:rPr>
        <w:t>        . We are also advancing Glyph2BLSD</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(SPT-348 or Glyph 2-bromo-LSD), a novel, Glyphed oral prodrug of the non-hallucinogenic LSD analog 2-bromo-LSD, in preclinical studies for depressive disorders, including treatment-resistant depression, or TRD, post-traumatic stress disorder, or PTSD, and headache disorders.</w:t>
      </w:r>
    </w:p>
    <w:p>
      <w:pPr>
        <w:spacing w:after="0" w:line="198"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Globally, over one billion people are living with mental illness as of 2021, comparable in prevalence to obesity or hypertension. According to the World Health Organization, as of 2021, depression affects approximately 332 million people worldwide and anxiety affects approximately 359 million people worldwide, and there is a significant need for novel treatment options. Currently approved drugs for MDD and GAD have significant limitations, including modest efficacy, slow onset of action, and unfavorable side effects. Advancement of novel therapies has been limited by a lack of understanding of disease pathophysiology, poor drug-like properties, and challenges in clinical trial design and execution leading to high clinical development failure rates.</w:t>
      </w: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320" w:top="455"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7335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7335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differentiated approach</w:t>
      </w:r>
    </w:p>
    <w:p>
      <w:pPr>
        <w:spacing w:after="0" w:line="12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We are uniquely positioned to overcome the challenges of developing medicines for depression, anxiety, and other neuropsychiatric disorders by leveraging our differentiated, three-pillar approach:</w:t>
      </w:r>
    </w:p>
    <w:p>
      <w:pPr>
        <w:spacing w:after="0" w:line="158" w:lineRule="exact"/>
        <w:rPr>
          <w:sz w:val="20"/>
          <w:szCs w:val="20"/>
          <w:color w:val="auto"/>
        </w:rPr>
      </w:pPr>
    </w:p>
    <w:p>
      <w:pPr>
        <w:ind w:left="300" w:right="40" w:firstLine="42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Identify clinically validated mechanisms held back by issues that can be addressed by our proprietary Glyph platform. </w:t>
      </w:r>
      <w:r>
        <w:rPr>
          <w:rFonts w:ascii="Times New Roman" w:cs="Times New Roman" w:eastAsia="Times New Roman" w:hAnsi="Times New Roman"/>
          <w:sz w:val="18"/>
          <w:szCs w:val="18"/>
          <w:color w:val="auto"/>
        </w:rPr>
        <w:t>We select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candidates based on well-established clinical data, defined as demonstrated meaningful benefits compared to placebo in multiple randomized, placebo-controlled clinical trials in a large number of patients. We identify drugs matching this profile where clinical and commercial potential have been limited by high first-pass metabolism, low bioavailability, and/or side effects. We advance candidates that have the potential to be novel medicines and to impact a large number of patients.</w:t>
      </w:r>
    </w:p>
    <w:p>
      <w:pPr>
        <w:spacing w:after="0" w:line="179"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Create novel medicines with strong intellectual property using Glyph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Glyph is our proprietary technology platform which uses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lymphatic system to enable and enhance the oral administration of drugs. Typically, non-Glyphed oral small molecules undergo first-pass metabolism, where the concentration of drug is significantly reduced by metabolic enzymes in the liver prior to systemic circulation. First-pass metabolism can lead to low bioavailability (i.e., reduced concentration of active drug available to target organs) and/or side effects, including liver enzyme elevations or hepatotoxicity. Glyph leverages a separate absorption path taken by dietary fats. A Glyphed molecule uses this alternative route via the intestinal lymphatic system to bypass first-pass metabolism and transit directly into systemic circulation. The Glyph platform has the potential to be widely applied to many therapeutic molecules that have high first-pass metabolism. For each program, we use Glyph to create unique sets of prodrugs with differentiated profiles, and evaluate these prodrugs as potential candidates to advance into preclinical and clinical studies. Glyph has been applied to create novel product candidates for our pipeline resulting in new intellectual property, including composition of matter patents.</w:t>
      </w:r>
    </w:p>
    <w:p>
      <w:pPr>
        <w:spacing w:after="0" w:line="2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Benefits of Our Proprietary Glyph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300" w:right="300" w:firstLine="42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Apply our team’s expertise to optimize the design and execution of clinical trials and drive successful business outcomes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team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comprised of industry leaders with a proven track record of building successful companies that have developed and commercialized innovative neuropsychiatric medicines. This includes</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320" w:top="455" w:right="6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16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spacing w:after="0" w:line="236" w:lineRule="auto"/>
        <w:rPr>
          <w:sz w:val="20"/>
          <w:szCs w:val="20"/>
          <w:color w:val="auto"/>
        </w:rPr>
      </w:pPr>
      <w:r>
        <w:rPr>
          <w:rFonts w:ascii="Times New Roman" w:cs="Times New Roman" w:eastAsia="Times New Roman" w:hAnsi="Times New Roman"/>
          <w:sz w:val="18"/>
          <w:szCs w:val="18"/>
          <w:color w:val="auto"/>
        </w:rPr>
        <w:t>Zyprexa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Cymbalta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Latuda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Zurzuvae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Cobenfy</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(xanomeline-trospium or KarXT), which was approved by the FDA in September 2024 and is the first new class of medicines in over 30 years for patients living with schizophrenia. Leveraging our team’s track record of success in neuropsychiatry discovery and clinical development is important as we select new product candidates and as we implement key design elements in our clinical trials to optimize treatment effect and duration and reduce placebo response. In parallel, we apply our deep experience in building successful companies to establish clear goals, drive strategic decision-making, and maintain financial discipline. Drawing on our track record of success in neuropsychiatry, we aim to drive successful outcomes for patients and shareholders.</w:t>
      </w:r>
    </w:p>
    <w:p>
      <w:pPr>
        <w:spacing w:after="0" w:line="3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ind w:left="300" w:right="180" w:firstLine="426"/>
        <w:spacing w:after="0" w:line="282" w:lineRule="auto"/>
        <w:rPr>
          <w:sz w:val="20"/>
          <w:szCs w:val="20"/>
          <w:color w:val="auto"/>
        </w:rPr>
      </w:pPr>
      <w:r>
        <w:rPr>
          <w:rFonts w:ascii="Times New Roman" w:cs="Times New Roman" w:eastAsia="Times New Roman" w:hAnsi="Times New Roman"/>
          <w:sz w:val="18"/>
          <w:szCs w:val="18"/>
          <w:color w:val="auto"/>
        </w:rPr>
        <w:t>We are developing a pipeline of novel potential treatments for neuropsychiatric disorders with significant unmet need. We retain exclusive, worldwide development and commercialization rights to all of our product candidates and discovery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00" w:right="660" w:firstLine="426"/>
        <w:spacing w:after="0" w:line="282" w:lineRule="auto"/>
        <w:rPr>
          <w:sz w:val="20"/>
          <w:szCs w:val="20"/>
          <w:color w:val="auto"/>
        </w:rPr>
      </w:pPr>
      <w:r>
        <w:rPr>
          <w:rFonts w:ascii="Times New Roman" w:cs="Times New Roman" w:eastAsia="Times New Roman" w:hAnsi="Times New Roman"/>
          <w:sz w:val="18"/>
          <w:szCs w:val="18"/>
          <w:color w:val="auto"/>
        </w:rPr>
        <w:t>Glyph aims to unlock the therapeutic potential of drugs in CNS and beyond. In addition to our three lead candidates, we have robust discovery programs and multiple pipeline programs underway.</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GlyphAllo: Potential Differentiated Therapy for MDD</w:t>
      </w:r>
    </w:p>
    <w:p>
      <w:pPr>
        <w:spacing w:after="0" w:line="31" w:lineRule="exact"/>
        <w:rPr>
          <w:sz w:val="20"/>
          <w:szCs w:val="20"/>
          <w:color w:val="auto"/>
        </w:rPr>
      </w:pPr>
    </w:p>
    <w:p>
      <w:pPr>
        <w:jc w:val="both"/>
        <w:ind w:left="300" w:firstLine="426"/>
        <w:spacing w:after="0" w:line="254" w:lineRule="auto"/>
        <w:rPr>
          <w:sz w:val="20"/>
          <w:szCs w:val="20"/>
          <w:color w:val="auto"/>
        </w:rPr>
      </w:pPr>
      <w:r>
        <w:rPr>
          <w:rFonts w:ascii="Times New Roman" w:cs="Times New Roman" w:eastAsia="Times New Roman" w:hAnsi="Times New Roman"/>
          <w:sz w:val="18"/>
          <w:szCs w:val="18"/>
          <w:color w:val="auto"/>
        </w:rPr>
        <w:t>GlyphAllo is a novel, Glyphed oral prodrug of allopregnanolone, an endogenous neurosteroid and gamma-aminobutyric acid A, or GABA</w:t>
      </w:r>
      <w:r>
        <w:rPr>
          <w:rFonts w:ascii="Times New Roman" w:cs="Times New Roman" w:eastAsia="Times New Roman" w:hAnsi="Times New Roman"/>
          <w:sz w:val="26"/>
          <w:szCs w:val="26"/>
          <w:color w:val="auto"/>
          <w:vertAlign w:val="subscript"/>
        </w:rPr>
        <w:t>A</w:t>
      </w:r>
      <w:r>
        <w:rPr>
          <w:rFonts w:ascii="Times New Roman" w:cs="Times New Roman" w:eastAsia="Times New Roman" w:hAnsi="Times New Roman"/>
          <w:sz w:val="18"/>
          <w:szCs w:val="18"/>
          <w:color w:val="auto"/>
        </w:rPr>
        <w:t>, positive allosteric modulator, or PAM. Allopregnanolone is a naturally occurring molecule that reduces stress, with levels that peak during the third trimester of pregnancy. An intravenous infusion formulation of allopregnanolone was approved for the treatment of PPD, a form of MDD.</w:t>
      </w:r>
    </w:p>
    <w:p>
      <w:pPr>
        <w:spacing w:after="0" w:line="1" w:lineRule="exact"/>
        <w:rPr>
          <w:sz w:val="20"/>
          <w:szCs w:val="20"/>
          <w:color w:val="auto"/>
        </w:rPr>
      </w:pPr>
    </w:p>
    <w:p>
      <w:pPr>
        <w:ind w:left="300" w:right="220"/>
        <w:spacing w:after="0" w:line="253" w:lineRule="auto"/>
        <w:rPr>
          <w:sz w:val="20"/>
          <w:szCs w:val="20"/>
          <w:color w:val="auto"/>
        </w:rPr>
      </w:pPr>
      <w:r>
        <w:rPr>
          <w:rFonts w:ascii="Times New Roman" w:cs="Times New Roman" w:eastAsia="Times New Roman" w:hAnsi="Times New Roman"/>
          <w:sz w:val="18"/>
          <w:szCs w:val="18"/>
          <w:color w:val="auto"/>
        </w:rPr>
        <w:t>Allopregnanolone has been clinically validated in two third-party trials, which were sponsored by Sage Therapeutics in the United States for the treatment of PPD and powered for statistical significance, as a rapidly acting antidepressant with anxiolytic and sleep-promoting effects. In each trial, allopregnanolone demonstrated statistically significant results on the primary endpoint of change in baseline at 60 hours in the Hamilton Depression Rating Scale-17, or HAMD-17, a regulatory-standard depression severity rating scale. However, its scope of clinical use has been constrained by oral bioavailability limitations that the Glyph platform is uniquely designed to solve.</w:t>
      </w:r>
    </w:p>
    <w:p>
      <w:pPr>
        <w:spacing w:after="0" w:line="187" w:lineRule="exact"/>
        <w:rPr>
          <w:sz w:val="20"/>
          <w:szCs w:val="20"/>
          <w:color w:val="auto"/>
        </w:rPr>
      </w:pPr>
    </w:p>
    <w:p>
      <w:pPr>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In our Phase 1 clinical trial conducted in Australia in 99 participants, GlyphAllo demonstrated therapeutically relevant exposures with a favorable tolerability profile that supports chronic dosing. Although no head-to-head studies have been conducted comparing GlyphAllo to oral allopregnanolone, our Phase 1 trial showed a greater than nine-fold increase in bioavailability compared to previously reported bioavailability of oral allopregnanolone. No treatment-related severe or serious adverse events were reported. GlyphAllo has also</w:t>
      </w:r>
    </w:p>
    <w:p>
      <w:pPr>
        <w:spacing w:after="0" w:line="2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320" w:top="455" w:right="6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21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demonstrated initial proof-of-concept in a Phase 2a randomized, placebo-controlled trial conducted in Australia in 80 participants, using the Trier Social Stress Test, or TSST, a validated clinical model of anxiety in healthy volunteers. No severe or serious adverse events were reported. Based on these Phase 1 and Phase 2a data, we believe GlyphAllo has the potential to become a leading treatment for MDD. We advanced GlyphAllo into what we believe is a registration-enabling Phase 2b BUOY-1 trial conducted in the US and EU in July 2025. BUOY-1 is a global, randomized, double-blind, placebo-controlled trial evaluating the efficacy, safety, and tolerability of GlyphAllo in adults with MDD, with or without anxious distress. MDD with anxious distress is a form of MDD characterized by significant anxiety. Approximately 60% of patients with MDD meet the criteria for anxious distress. This trial is expected to enroll up to approximately 360 patients, randomized 1:1 to receive either GlyphAllo or placebo once-daily over a six-week treatment period. This randomized, double-blind, multiregional, placebo-controlled trial is designed to be registration-enabling, subject to review by the FDA and other comparable regulatory authorities, as an adequate and well-controlled investigation that seeks to help provide substantial evidence of effectiveness by assessing GlyphAllo’s efficacy and safety in several hundred patients. The primary endpoint of the trial is the change from baseline at six weeks in HAMD-17. Following the initial treatment period, eligible patients may enter an open-label extension trial, in which all participants will receive GlyphAllo for up to six additional weeks.</w:t>
      </w:r>
    </w:p>
    <w:p>
      <w:pPr>
        <w:spacing w:after="0" w:line="190"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Previous clinical development of allopregnanolone and its synthetic analog, which has been evaluated by Sage Therapeutics in multiple late-stage clinical trials for the treatment of MDD, has been generally hindered by poor oral bioavailability, safety concerns, and clinical trial design limitations. GlyphAllo is designed to enhance the oral bioavailability of allopregnanolone and achieve systemic exposures comparable to an intravenous infusion of allopregnanolone, with once-daily oral dosing. We believe our ongoing Phase 2b BUOY-1 trial improves upon the design of previous third-party clinical trials that evaluated a synthetic analog of allopregnanolone in several important ways.</w:t>
      </w:r>
    </w:p>
    <w:p>
      <w:pPr>
        <w:spacing w:after="0" w:line="183"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We are improving durable efficacy by treating patients for the full six-week duration of the primary endpoint time frame, as opposed to previous trials that treated patients for only the first two weeks and assessed efficacy after six weeks. As allopregnanolone also has an anxiolytic effect, we are also enrolling patients that have MDD with or without anxious distress. To reduce placebo response, we are optimizing the frequency of clinician-administered assessments, as our comprehensive meta-analysis of recent antidepressant trials demonstrated that the frequency of these assessments is positively correlated with the magnitude of the placebo response in MDD trials. We are also including a single treatment arm and will flex dose to a target dose, similar to the strategy implemented at Karuna Therapeutics, since the number of active arms is positively associated with increased placebo response. Additionally, we are scrutinizing site selection and patient enrollment to ensure appropriate diagnosis and exclude inappropriate patients, including those with inflated baseline ratings and those who are concurrently participating in other studies. We expect topline data from the Phase 2b BUOY-1 trial in        .</w:t>
      </w:r>
    </w:p>
    <w:p>
      <w:pPr>
        <w:spacing w:after="0" w:line="2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GlyphAgo: Potential Differentiated Therapy for GAD</w:t>
      </w:r>
    </w:p>
    <w:p>
      <w:pPr>
        <w:spacing w:after="0" w:line="121"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GlyphAgo is a novel, Glyphed oral prodrug of agomelatine that we are advancing in a key Phase 1 proof-of-concept trial for the treatment of GAD in Australia, in which we plan to enroll up to approximately 190 participants. Agomelatine, a clinically validated MT1/MT2 melatonin receptor agonist and serotonin 2C (5-HT2C) receptor antagonist, is an effective anxiolytic and antidepressant approved for the treatment of GAD in Australia and MDD in Australia and the EU. In GAD, agomelatine has demonstrated statistically significant separation from placebo in four third-party placebo-controlled studies and, based on one of the largest non-head-to-head, literature meta-analyses of clinical trials of pharmacological agents for the treatment of GAD, agomelatine was observed to have better efficacy and tolerability – including reduced risk of abuse potential, sexual dysfunction, and weight gain – than what has been described in published literature for certain standard-of-care drugs, like selective serotonin-reuptake inhibitors, or SSRIs, or benzodiazepines. However, despite this positive profile, over 90% of unmodified agomelatine is lost to first-pass liver metabolism and its use</w:t>
      </w:r>
    </w:p>
    <w:p>
      <w:pPr>
        <w:spacing w:after="0" w:line="3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21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60"/>
        <w:spacing w:after="0" w:line="282" w:lineRule="auto"/>
        <w:rPr>
          <w:sz w:val="20"/>
          <w:szCs w:val="20"/>
          <w:color w:val="auto"/>
        </w:rPr>
      </w:pPr>
      <w:r>
        <w:rPr>
          <w:rFonts w:ascii="Times New Roman" w:cs="Times New Roman" w:eastAsia="Times New Roman" w:hAnsi="Times New Roman"/>
          <w:sz w:val="18"/>
          <w:szCs w:val="18"/>
          <w:color w:val="auto"/>
        </w:rPr>
        <w:t>has been limited by dose-dependent liver enzyme elevations. Its label in both Australia and the EU requires liver function testing before initiating treatment, during treatment, and upon increasing the dose. Agomelatine is not approved in the United States.</w:t>
      </w:r>
    </w:p>
    <w:p>
      <w:pPr>
        <w:spacing w:after="0" w:line="162"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Using our proprietary Glyph platform, GlyphAgo is designed to avoid first-pass liver metabolism and increase systemic exposure of agomelatine, enabling exposure levels of agomelatine that are effective in GAD but at a lower dose that reduces liver exposure and reduces or eliminates the need for liver function testing. Based on internal analyses, we believe a two-fold increase in the bioavailability of agomelatine with GlyphAgo dosing will reduce or eliminate liver enzyme elevations. In preclinical studies in non-human primates, or NHPs, we showed that oral dosing of GlyphAgo increased plasma exposure of agomelatine versus agomelatine alone above this two-fold target. Therefore, based on the data we have generated to date, we believe GlyphAgo has the potential to become a leading treatment for GAD. The ongoing Phase 1 trial will be conducted in multiple parts to evaluate the safety, tolerability, and pharmacokinetics of GlyphAgo and compare the pharmacokinetics of GlyphAgo to agomelatine alone. It will include single- and multiple-ascending dose cohorts, as well as a food-effect crossover portion, using both open-label and placebo-controlled designs. We expect topline data from our Phase 1 trial of GlyphAgo in        .</w:t>
      </w:r>
    </w:p>
    <w:p>
      <w:pPr>
        <w:spacing w:after="0" w:line="188" w:lineRule="exact"/>
        <w:rPr>
          <w:sz w:val="20"/>
          <w:szCs w:val="20"/>
          <w:color w:val="auto"/>
        </w:rPr>
      </w:pPr>
    </w:p>
    <w:p>
      <w:pPr>
        <w:ind w:left="300" w:right="300" w:firstLine="426"/>
        <w:spacing w:after="0" w:line="282" w:lineRule="auto"/>
        <w:rPr>
          <w:sz w:val="20"/>
          <w:szCs w:val="20"/>
          <w:color w:val="auto"/>
        </w:rPr>
      </w:pPr>
      <w:r>
        <w:rPr>
          <w:rFonts w:ascii="Times New Roman" w:cs="Times New Roman" w:eastAsia="Times New Roman" w:hAnsi="Times New Roman"/>
          <w:sz w:val="18"/>
          <w:szCs w:val="18"/>
          <w:color w:val="auto"/>
        </w:rPr>
        <w:t>Although the development and commercialization of GlyphAgo for the treatment of GAD is our primary focus, as part of our longer-term growth strategy, we may evaluate GlyphAgo in other indications as well, including MDD.</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Glyph2BLSD and Additional Applications of the Glyph Platform</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Glyph2BLSD is our novel, Glyphed oral prodrug of 2-bromo-LSD, a differentiated non-hallucinogenic neuroplastogen. Glyph2BLSD is designed to harness the differentiated and non-hallucinogenic profile of 2-bromo-LSD, which has rapidly acting clinical activity and is not expected to exhibit the fibrosis, cardiovascular effects, or hallucinations characteristic of some other neuroplastogens. Glyph2BLSD is designed to improve the pharmacokinetic and tolerability profile of 2-bromo-LSD while maintaining therapeutic exposure levels.</w:t>
      </w:r>
    </w:p>
    <w:p>
      <w:pPr>
        <w:spacing w:after="0" w:line="180"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Glyph2BLSD’s non-hallucinogenic profile unlocks the potential to enable convenient outpatient and repeat dosing to improve efficacy. We are advancing Glyph2BLSD through preclinical studies and are developing Glyph2BLSD for the treatment of depressive disorders, including TRD, PTSD, and headache disorders with significant unmet need. We are currently conducting first-in-human-enabling studies of Glyph2BLSD.</w:t>
      </w:r>
    </w:p>
    <w:p>
      <w:pPr>
        <w:spacing w:after="0" w:line="176" w:lineRule="exact"/>
        <w:rPr>
          <w:sz w:val="20"/>
          <w:szCs w:val="20"/>
          <w:color w:val="auto"/>
        </w:rPr>
      </w:pPr>
    </w:p>
    <w:p>
      <w:pPr>
        <w:ind w:left="300" w:right="160" w:firstLine="426"/>
        <w:spacing w:after="0" w:line="282" w:lineRule="auto"/>
        <w:rPr>
          <w:sz w:val="20"/>
          <w:szCs w:val="20"/>
          <w:color w:val="auto"/>
        </w:rPr>
      </w:pPr>
      <w:r>
        <w:rPr>
          <w:rFonts w:ascii="Times New Roman" w:cs="Times New Roman" w:eastAsia="Times New Roman" w:hAnsi="Times New Roman"/>
          <w:sz w:val="18"/>
          <w:szCs w:val="18"/>
          <w:color w:val="auto"/>
        </w:rPr>
        <w:t>We are also leveraging the power of the Glyph platform to explore additional applications in central nervous system, or CNS, and non-CNS diseases and advance programs that address significant unmet needs in these areas.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Team</w:t>
      </w:r>
    </w:p>
    <w:p>
      <w:pPr>
        <w:spacing w:after="0" w:line="121"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Seaport was founded by pioneers in the neuropsychiatry field and is led by a team of seasoned industry veterans with a shared mission to transform the treatment of neuropsychiatric disorders and improve patients’ lives. We have assembled an experienced group of individuals with a proven track record of building successful companies that have developed and commercialized innovative neuropsychiatric medicines. Members of our leadership team have collaborated successfully over several decades on the discovery, development, and commercialization of neuropsychiatric medicines including Cobenfy, Latuda, Zyprexa, Cymbalta, and Zurzuvae. Our co-founders, Daphne Zohar and Dr. Steven Paul, were central to the success of Karuna Therapeutics, which invented and advanced the first-in-class medicine Cobenfy, and was acquired by Bristol Myers Squibb in March 2024 for $14 billion. Cobenfy was approved by the FDA in September 2024 and is the first drug to provide a new mechanism of action for schizophrenia in over 30 years. Cobenfy is estimated to achieve annual peak sales of</w:t>
      </w:r>
    </w:p>
    <w:p>
      <w:pPr>
        <w:spacing w:after="0" w:line="3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613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6135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600"/>
        <w:spacing w:after="0" w:line="282" w:lineRule="auto"/>
        <w:rPr>
          <w:sz w:val="20"/>
          <w:szCs w:val="20"/>
          <w:color w:val="auto"/>
        </w:rPr>
      </w:pPr>
      <w:r>
        <w:rPr>
          <w:rFonts w:ascii="Times New Roman" w:cs="Times New Roman" w:eastAsia="Times New Roman" w:hAnsi="Times New Roman"/>
          <w:sz w:val="18"/>
          <w:szCs w:val="18"/>
          <w:color w:val="auto"/>
        </w:rPr>
        <w:t>over $5 billion. Despite the prior experience of our team, our limited operating history as a standalone company makes any reliance on past performance uncertain.</w:t>
      </w:r>
    </w:p>
    <w:p>
      <w:pPr>
        <w:spacing w:after="0" w:line="162"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Since our inception, we have raised $325 million in net proceeds from leading life science investors, including shareholders with holdings greater than 5%: ARCH Venture Partners, General Atlantic, Sofinnova Investments, Third Rock Ventures, and our founder, PureTech. Prospective investors should not rely on the investment decisions of our existing investors, as these investors may have different risk tolerances and in certain cases received their shares in prior offerings at prices lower than the price offered to the public in this offering.</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We founded our company with a mission to develop life-changing treatments for patients with depression, anxiety, and other neuropsychiatric disorders. The key elements of our business strategy are to:</w:t>
      </w:r>
    </w:p>
    <w:p>
      <w:pPr>
        <w:spacing w:after="0" w:line="67" w:lineRule="exact"/>
        <w:rPr>
          <w:sz w:val="20"/>
          <w:szCs w:val="20"/>
          <w:color w:val="auto"/>
        </w:rPr>
      </w:pPr>
    </w:p>
    <w:p>
      <w:pPr>
        <w:ind w:left="1240" w:right="560" w:hanging="415"/>
        <w:spacing w:after="0" w:line="282"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advance GlyphAllo through clinical development for the treatment of patients with MDD with or without anxious distress.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advance GlyphAgo through clinical development for the treatment of patients with GAD.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 robust pipeline of differentiated programs for neuropsychiatric and other CNS disorders by leveraging our Glyph platform.</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Opportunistically pursue strategic partnerships to maximize the value of our Glyph platform.</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Differentiated Approach</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are uniquely positioned to develop novel medicines that will make a significant impact for patients and their families through our differentiated, three-pillar approach: 1) identify clinically validated mechanisms held back by issues that can be addressed by our proprietary Glyph platform, 2) create novel medicines with strong intellectual property using Glyph, and 3) apply our team’s expertise to optimize the design and execution of clinical trials and drive successful business outcomes. We believe our approach will enable us to develop transformative treatments for patients and build a leading neuropsychiatry company.</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of which you should be aware before making an investment decision. These risks include, but are not limited to, the following:</w:t>
      </w:r>
    </w:p>
    <w:p>
      <w:pPr>
        <w:spacing w:after="0" w:line="67" w:lineRule="exact"/>
        <w:rPr>
          <w:sz w:val="20"/>
          <w:szCs w:val="20"/>
          <w:color w:val="auto"/>
        </w:rPr>
      </w:pPr>
    </w:p>
    <w:p>
      <w:pPr>
        <w:ind w:left="1240" w:right="20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therapeutics company with a limited operating history, which may make it difficult to evaluate our current business and predict our future success and viability. We have incurred significant financial losses since our inception and anticipate that we will continue to incur significant financial losses for the foreseeable future.</w:t>
      </w:r>
    </w:p>
    <w:p>
      <w:pPr>
        <w:spacing w:after="0" w:line="81" w:lineRule="exact"/>
        <w:rPr>
          <w:rFonts w:ascii="Times New Roman" w:cs="Times New Roman" w:eastAsia="Times New Roman" w:hAnsi="Times New Roman"/>
          <w:sz w:val="18"/>
          <w:szCs w:val="18"/>
          <w:color w:val="auto"/>
        </w:rPr>
      </w:pPr>
    </w:p>
    <w:p>
      <w:pPr>
        <w:ind w:left="1240" w:right="26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this offering is successful, 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81" w:lineRule="exact"/>
        <w:rPr>
          <w:rFonts w:ascii="Times New Roman" w:cs="Times New Roman" w:eastAsia="Times New Roman" w:hAnsi="Times New Roman"/>
          <w:sz w:val="18"/>
          <w:szCs w:val="18"/>
          <w:color w:val="auto"/>
        </w:rPr>
      </w:pPr>
    </w:p>
    <w:p>
      <w:pPr>
        <w:ind w:left="1240" w:right="180" w:hanging="415"/>
        <w:spacing w:after="0" w:line="261"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dependent on the success of our product candidates, particularly GlyphAllo for the treatment of MDD with or without anxious distress and GlyphAgo for the treatment of generalized anxiety disorder, or GAD, and MDD. If we are unable to successfully complete clinical development, obtain regulatory approval for or commercialize one or more of our product candidates, or if we experience delays in doing so, our business will be materially harmed.</w:t>
      </w:r>
    </w:p>
    <w:p>
      <w:pPr>
        <w:spacing w:after="0" w:line="85"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and preclinical development involves a lengthy and expensive process and is highly uncertain. Any difficulties or delays in the commencement or completion, or the termination or suspension, of our</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331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4331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100"/>
        <w:spacing w:after="0" w:line="282" w:lineRule="auto"/>
        <w:rPr>
          <w:sz w:val="20"/>
          <w:szCs w:val="20"/>
          <w:color w:val="auto"/>
        </w:rPr>
      </w:pPr>
      <w:r>
        <w:rPr>
          <w:rFonts w:ascii="Times New Roman" w:cs="Times New Roman" w:eastAsia="Times New Roman" w:hAnsi="Times New Roman"/>
          <w:sz w:val="18"/>
          <w:szCs w:val="18"/>
          <w:color w:val="auto"/>
        </w:rPr>
        <w:t>current or planned clinical trials could result in increased costs to us, delay or limit our ability to generate revenue or adversely affect our commercial prospects.</w:t>
      </w:r>
    </w:p>
    <w:p>
      <w:pPr>
        <w:spacing w:after="0" w:line="67" w:lineRule="exact"/>
        <w:rPr>
          <w:sz w:val="20"/>
          <w:szCs w:val="20"/>
          <w:color w:val="auto"/>
        </w:rPr>
      </w:pPr>
    </w:p>
    <w:p>
      <w:pPr>
        <w:ind w:left="1240" w:right="20" w:hanging="415"/>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and other comparable regulatory authorities are lengthy, time-consuming, and inherently unpredictable, and if we are ultimately unable to obtain regulatory approval for our product candidates, our business will be substantially harmed.</w:t>
      </w:r>
    </w:p>
    <w:p>
      <w:pPr>
        <w:spacing w:after="0" w:line="81" w:lineRule="exact"/>
        <w:rPr>
          <w:rFonts w:ascii="Times New Roman" w:cs="Times New Roman" w:eastAsia="Times New Roman" w:hAnsi="Times New Roman"/>
          <w:sz w:val="18"/>
          <w:szCs w:val="18"/>
          <w:color w:val="auto"/>
        </w:rPr>
      </w:pPr>
    </w:p>
    <w:p>
      <w:pPr>
        <w:ind w:left="1240" w:hanging="415"/>
        <w:spacing w:after="0" w:line="25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whether the BUOY-1 clinical trial will be registration-enabling lies solely within the discretion of the FDA and/or other comparable regulatory authorities, based on whether such body views this trial as an adequate and well-controlled clinical investigation that can support regulatory decision making, and whether the resulting data from the trial provide substantial evidence of effectiveness. There can be no assurance that our clinical trials will ultimately be successful or support further clinical development of our product candidates, and we may have to complete multiple additional clinical trials, which may be differently designed than prior clinical trials, to support a submission for marketing authorization for this product candidate.</w:t>
      </w:r>
    </w:p>
    <w:p>
      <w:pPr>
        <w:spacing w:after="0" w:line="92" w:lineRule="exact"/>
        <w:rPr>
          <w:rFonts w:ascii="Times New Roman" w:cs="Times New Roman" w:eastAsia="Times New Roman" w:hAnsi="Times New Roman"/>
          <w:sz w:val="18"/>
          <w:szCs w:val="18"/>
          <w:color w:val="auto"/>
        </w:rPr>
      </w:pPr>
    </w:p>
    <w:p>
      <w:pPr>
        <w:ind w:left="1240" w:right="20" w:hanging="415"/>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Glyph platform is based on a novel approach that may not result in approvable or marketable products, which exposes us to unforeseen risks and makes it difficult for us to predict the time and cost of product development and potential for regulatory approval.</w:t>
      </w:r>
    </w:p>
    <w:p>
      <w:pPr>
        <w:spacing w:after="0" w:line="81"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clinical trials fail to replicate positive results from earlier preclinical studies or clinical trials conducted by us or third parties, we may be unable to successfully develop, obtain regulatory approval for or commercialize our product candidates.</w:t>
      </w:r>
    </w:p>
    <w:p>
      <w:pPr>
        <w:spacing w:after="0" w:line="67" w:lineRule="exact"/>
        <w:rPr>
          <w:rFonts w:ascii="Times New Roman" w:cs="Times New Roman" w:eastAsia="Times New Roman" w:hAnsi="Times New Roman"/>
          <w:sz w:val="18"/>
          <w:szCs w:val="18"/>
          <w:color w:val="auto"/>
        </w:rPr>
      </w:pPr>
    </w:p>
    <w:p>
      <w:pPr>
        <w:ind w:left="1240" w:right="62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unexpected costs or experience delays in completing, or ultimately be unable to complete, the development and commercialization of our product candidates.</w:t>
      </w:r>
    </w:p>
    <w:p>
      <w:pPr>
        <w:spacing w:after="0" w:line="67" w:lineRule="exact"/>
        <w:rPr>
          <w:rFonts w:ascii="Times New Roman" w:cs="Times New Roman" w:eastAsia="Times New Roman" w:hAnsi="Times New Roman"/>
          <w:sz w:val="18"/>
          <w:szCs w:val="18"/>
          <w:color w:val="auto"/>
        </w:rPr>
      </w:pPr>
    </w:p>
    <w:p>
      <w:pPr>
        <w:ind w:left="1240" w:right="100" w:hanging="415"/>
        <w:spacing w:after="0" w:line="258"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be associated with adverse events, or AEs, or other undesirable properties or safety risks, which could delay or prevent their regulatory approval, cause us to suspend or discontinue clinical trials or abandon a product candidate, limit the commercial profile of an approved label, or result in significant negative consequences following regulatory approval, if obtained, or result in other significant negative consequences that could severely harm our business, financial condition, results of operations, and prospects.</w:t>
      </w:r>
    </w:p>
    <w:p>
      <w:pPr>
        <w:spacing w:after="0" w:line="88"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concentrated our research and development efforts on the treatment of disorders of the brain and central nervous system, a field that faces certain challenges in drug development.</w:t>
      </w:r>
    </w:p>
    <w:p>
      <w:pPr>
        <w:spacing w:after="0" w:line="67" w:lineRule="exact"/>
        <w:rPr>
          <w:rFonts w:ascii="Times New Roman" w:cs="Times New Roman" w:eastAsia="Times New Roman" w:hAnsi="Times New Roman"/>
          <w:sz w:val="18"/>
          <w:szCs w:val="18"/>
          <w:color w:val="auto"/>
        </w:rPr>
      </w:pPr>
    </w:p>
    <w:p>
      <w:pPr>
        <w:ind w:left="1240" w:right="60" w:hanging="415"/>
        <w:spacing w:after="0" w:line="261"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potential future competitive products may reduce or eliminate the commercial opportunity for our product candidates, if approved. If our competitors develop technologies or product candidates more rapidly than we do, or their technologies or product candidates are more effective or safer than ours, our ability to develop and successfully commercialize our product candidates may be adversely affected.</w:t>
      </w:r>
    </w:p>
    <w:p>
      <w:pPr>
        <w:spacing w:after="0" w:line="85" w:lineRule="exact"/>
        <w:rPr>
          <w:rFonts w:ascii="Times New Roman" w:cs="Times New Roman" w:eastAsia="Times New Roman" w:hAnsi="Times New Roman"/>
          <w:sz w:val="18"/>
          <w:szCs w:val="18"/>
          <w:color w:val="auto"/>
        </w:rPr>
      </w:pPr>
    </w:p>
    <w:p>
      <w:pPr>
        <w:ind w:left="1240" w:right="50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 candidates, leverage our Glyph platform and our future growth depends on attracting, hiring, and retaining our key personnel and recruiting additional qualified personnel.</w:t>
      </w:r>
    </w:p>
    <w:p>
      <w:pPr>
        <w:spacing w:after="0" w:line="67" w:lineRule="exact"/>
        <w:rPr>
          <w:rFonts w:ascii="Times New Roman" w:cs="Times New Roman" w:eastAsia="Times New Roman" w:hAnsi="Times New Roman"/>
          <w:sz w:val="18"/>
          <w:szCs w:val="18"/>
          <w:color w:val="auto"/>
        </w:rPr>
      </w:pPr>
    </w:p>
    <w:p>
      <w:pPr>
        <w:ind w:left="1240" w:right="380" w:hanging="415"/>
        <w:spacing w:after="0" w:line="261"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assist in conducting our clinical trials and preclinical studies. If they do not successfully carry out their contractual duties, comply with applicable regulatory requirements or meet expected deadlines, we may not be able to obtain regulatory approval or commercialize our product candidates, or such approval or commercialization may be delayed, and our business could be substantially harmed.</w:t>
      </w:r>
    </w:p>
    <w:p>
      <w:pPr>
        <w:spacing w:after="0" w:line="85" w:lineRule="exact"/>
        <w:rPr>
          <w:rFonts w:ascii="Times New Roman" w:cs="Times New Roman" w:eastAsia="Times New Roman" w:hAnsi="Times New Roman"/>
          <w:sz w:val="18"/>
          <w:szCs w:val="18"/>
          <w:color w:val="auto"/>
        </w:rPr>
      </w:pPr>
    </w:p>
    <w:p>
      <w:pPr>
        <w:ind w:left="1240" w:right="260" w:hanging="415"/>
        <w:spacing w:after="0" w:line="261"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depends on our ability to obtain, maintain, enforce, and otherwise protect our intellectual property and proprietary technology, and if the scope of the intellectual property protection obtained is not sufficiently broad, our competitors or other third parties could develop and commercialize products and product candidates similar to ours and our ability to successfully develop and commercialize our product candidates may be adversely affected.</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320" w:top="455" w:right="6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416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55416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4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heavily reliant upon the Amended and Restated License Agreement with Monash University, or the Monash License Agreement, pursuant to which we have been granted an exclusive, royalty-bearing license to certain patent rights that are important or necessary to the development of our proprietary technology and product candidates.</w:t>
      </w:r>
    </w:p>
    <w:p>
      <w:pPr>
        <w:spacing w:after="0" w:line="81" w:lineRule="exact"/>
        <w:rPr>
          <w:rFonts w:ascii="Times New Roman" w:cs="Times New Roman" w:eastAsia="Times New Roman" w:hAnsi="Times New Roman"/>
          <w:sz w:val="18"/>
          <w:szCs w:val="18"/>
          <w:color w:val="auto"/>
        </w:rPr>
      </w:pPr>
    </w:p>
    <w:p>
      <w:pPr>
        <w:ind w:left="1240" w:right="80" w:hanging="415"/>
        <w:spacing w:after="0" w:line="261"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may in the future seek designations for our product candidates with the FDA and other comparable regulatory authorities that are intended to confer benefits such as a faster development process, an accelerated regulatory pathway or regulatory exclusivity, there can be no assurance that we will successfully obtain such designations. In addition, even if one or more of our product candidates are granted such designations, we may not be able to realize the intended benefits of such designations.</w:t>
      </w:r>
    </w:p>
    <w:p>
      <w:pPr>
        <w:spacing w:after="0" w:line="85" w:lineRule="exact"/>
        <w:rPr>
          <w:rFonts w:ascii="Times New Roman" w:cs="Times New Roman" w:eastAsia="Times New Roman" w:hAnsi="Times New Roman"/>
          <w:sz w:val="18"/>
          <w:szCs w:val="18"/>
          <w:color w:val="auto"/>
        </w:rPr>
      </w:pPr>
    </w:p>
    <w:p>
      <w:pPr>
        <w:ind w:left="1240" w:right="300" w:hanging="415"/>
        <w:spacing w:after="0" w:line="261"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for the period from January 1, 2024 to April 7, 2024, which are included in the consolidated financial statements for the year ended December 31, 2024, have been prepared on a “carve-out” basis based on management estimates, assumptions, and judgments about appropriate allocation and may not be indicative of what they would have been had we actually been an independent standalone entity throughout such period.</w:t>
      </w:r>
    </w:p>
    <w:p>
      <w:pPr>
        <w:spacing w:after="0" w:line="85"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prior public market for our common stock, and an active trading market may not develop or be sustained.</w:t>
      </w:r>
    </w:p>
    <w:p>
      <w:pPr>
        <w:spacing w:after="0" w:line="225"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in the section titled “Risk Factors” and the other information set forth in this prospectus, including our consolidated financial statements and the related notes, as well as in other documents that we file with the Securities and Exchange Commission, or the SEC. The risks summarized above or described in full elsewhere in this prospectus are not the only risks that we face. Additional risks and uncertainties not presently known to us, or that we currently deem to be immaterial may also materially adversely affect our business, financial condition, results of operations, and future growth prospects.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 xml:space="preserve">We were incorporated under the laws of the State of Delaware as SP Therapeutics, Inc. on April 1, 2024 and changed our name to Seaport Therapeutics, Inc. on April 2, 2024. Our wholly owned subsidiary, SPTX, Inc., was a result of the incorporation of a predecessor company under the laws of the State of Delaware in February 2024 under the name Seaport Therapeutics, Inc., which subsequently changed its name to Seaport Therapeutics Holdings, Inc. in March 2024 and to SPTX, Inc. in April 2024. In April 2024, we entered into a share exchange agreement, or the Share Exchange Agreement, with SPTX, Inc., which resulted in SPTX, Inc. becoming our wholly owned subsidiary. At the time of the Share Exchange Agreement, we were a wholly-owned subsidiary of PureTech. Our principal executive offices are located at 101 Seaport Blvd., Floor 12, Boston, Massachusetts 02210, and our telephone number is (617) 807-4062. We have three subsidiaries, Seaport Therapeutics Securities Corporation, formed in December 2024 under the laws of the Commonwealth of Massachusetts, SPTX, Inc., formed in February 2024 under the laws of the State of Delaware, and Seaport Therapeutics Australia Pty Ltd, formed in February 2025 under the laws of Australia. Our website address is </w:t>
      </w:r>
      <w:r>
        <w:rPr>
          <w:rFonts w:ascii="Times New Roman" w:cs="Times New Roman" w:eastAsia="Times New Roman" w:hAnsi="Times New Roman"/>
          <w:sz w:val="18"/>
          <w:szCs w:val="18"/>
          <w:i w:val="1"/>
          <w:iCs w:val="1"/>
          <w:color w:val="auto"/>
        </w:rPr>
        <w:t>www.seaporttx.com</w:t>
      </w:r>
      <w:r>
        <w:rPr>
          <w:rFonts w:ascii="Times New Roman" w:cs="Times New Roman" w:eastAsia="Times New Roman" w:hAnsi="Times New Roman"/>
          <w:sz w:val="18"/>
          <w:szCs w:val="18"/>
          <w:color w:val="auto"/>
        </w:rPr>
        <w:t>. The information contained in or accessible from our website is not incorporated into this prospectus, and you should not consider it part of this prospectus. We have included our website address in this prospectus solely as an inactive textual reference.</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as amended, or the JOBS Act. As an emerging growth company, we may take advantage of specified</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320" w:top="455" w:right="6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959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6959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reduced disclosure and other requirements that are otherwise applicable generally to public companies. These provisions include:</w:t>
      </w:r>
    </w:p>
    <w:p>
      <w:pPr>
        <w:spacing w:after="0" w:line="131" w:lineRule="exact"/>
        <w:rPr>
          <w:sz w:val="20"/>
          <w:szCs w:val="20"/>
          <w:color w:val="auto"/>
        </w:rPr>
      </w:pPr>
    </w:p>
    <w:p>
      <w:pPr>
        <w:ind w:left="124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130" w:lineRule="exact"/>
        <w:rPr>
          <w:rFonts w:ascii="Times New Roman" w:cs="Times New Roman" w:eastAsia="Times New Roman" w:hAnsi="Times New Roman"/>
          <w:sz w:val="18"/>
          <w:szCs w:val="18"/>
          <w:color w:val="auto"/>
        </w:rPr>
      </w:pPr>
    </w:p>
    <w:p>
      <w:pPr>
        <w:ind w:left="1240" w:right="48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hold advisory votes on executive compensation or to obtain stockholder approval of any golden parachute arrangements not previously approved;</w:t>
      </w:r>
    </w:p>
    <w:p>
      <w:pPr>
        <w:spacing w:after="0" w:line="67"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 pursuant to Section 404 of the Sarbanes-Oxley Act of 2002, or the Sarbanes-Oxley Act; and</w:t>
      </w:r>
    </w:p>
    <w:p>
      <w:pPr>
        <w:spacing w:after="0" w:line="67" w:lineRule="exact"/>
        <w:rPr>
          <w:rFonts w:ascii="Times New Roman" w:cs="Times New Roman" w:eastAsia="Times New Roman" w:hAnsi="Times New Roman"/>
          <w:sz w:val="18"/>
          <w:szCs w:val="18"/>
          <w:color w:val="auto"/>
        </w:rPr>
      </w:pPr>
    </w:p>
    <w:p>
      <w:pPr>
        <w:ind w:left="1240" w:right="96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may remain an emerging growth company for up to five years from the date of the first sale in this offering. We would cease to be an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emerging growth company on the date that is the earliest of (i) the last day of the fiscal year in which we have total annual gross revenues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$1.235 billion or more; (ii) the last day of our fiscal year following the fifth anniversary of the date of the completion of this offering; (iii) the date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which we have issued more than $1.0 billion in nonconvertible debt during the previous three years; or (iv) the date on which we are deemed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be a large accelerated filer under the rules of the SEC. We may choose to take advantage of some but not all of these exemptions. We have taken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advantage of reduced reporting requirements in this prospectus. Accordingly, the information contained herein may be different from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information you receive from other public companies in which you hold stock. Additionally, the JOBS Act provides that an emerging growth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 can take advantage of an extended transition period for complying with new or revised accounting standards. This allows an emerging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growth company to delay the adoption of certain accounting standards until those standards would otherwise apply to private companies. We have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elected to avail ourselves of this exemption and, therefore, while we are an emerging growth company we may not be subject to new or revised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accounting standards at the same time that they become applicable to other public companies that are not emerging growth companies. As a result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this election, our financial statements may not be comparable to those of other public companies that comply with new or revised accounting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pronouncements as of public company effective dates. We have in the past chosen and may in the future choose to early adopt any new or revised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accounting standards whenever such early adoption is permitted for private companies.</w:t>
      </w:r>
    </w:p>
    <w:p>
      <w:pPr>
        <w:spacing w:after="0" w:line="207"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shares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shares held by non-affiliates is less than $250 million measured on the last business day of our second fiscal quarter or (ii) our annual revenue was less than $100 million during the most recently completed fiscal year and the market value of our shares held by non-affiliates is less than</w:t>
      </w:r>
    </w:p>
    <w:p>
      <w:pPr>
        <w:spacing w:after="0" w:line="3" w:lineRule="exact"/>
        <w:rPr>
          <w:sz w:val="20"/>
          <w:szCs w:val="20"/>
          <w:color w:val="auto"/>
        </w:rPr>
      </w:pPr>
    </w:p>
    <w:p>
      <w:pPr>
        <w:ind w:left="300" w:right="80"/>
        <w:spacing w:after="0" w:line="253" w:lineRule="auto"/>
        <w:rPr>
          <w:sz w:val="20"/>
          <w:szCs w:val="20"/>
          <w:color w:val="auto"/>
        </w:rPr>
      </w:pPr>
      <w:r>
        <w:rPr>
          <w:rFonts w:ascii="Times New Roman" w:cs="Times New Roman" w:eastAsia="Times New Roman" w:hAnsi="Times New Roman"/>
          <w:sz w:val="18"/>
          <w:szCs w:val="18"/>
          <w:color w:val="auto"/>
        </w:rPr>
        <w:t>$700 million measured on the last business day of our second fiscal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30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320" w:top="455" w:right="6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95"/>
        </w:trPr>
        <w:tc>
          <w:tcPr>
            <w:tcW w:w="4160" w:type="dxa"/>
            <w:vAlign w:val="bottom"/>
            <w:tcBorders>
              <w:top w:val="single" w:sz="8" w:color="auto"/>
              <w:left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1920" w:type="dxa"/>
            <w:vAlign w:val="bottom"/>
            <w:tcBorders>
              <w:top w:val="single" w:sz="8" w:color="auto"/>
            </w:tcBorders>
          </w:tcPr>
          <w:p>
            <w:pPr>
              <w:spacing w:after="0"/>
              <w:rPr>
                <w:sz w:val="24"/>
                <w:szCs w:val="24"/>
                <w:color w:val="auto"/>
              </w:rPr>
            </w:pPr>
          </w:p>
        </w:tc>
        <w:tc>
          <w:tcPr>
            <w:tcW w:w="2780" w:type="dxa"/>
            <w:vAlign w:val="bottom"/>
            <w:tcBorders>
              <w:top w:val="single" w:sz="8" w:color="auto"/>
              <w:right w:val="single" w:sz="8" w:color="auto"/>
            </w:tcBorders>
          </w:tcPr>
          <w:p>
            <w:pPr>
              <w:spacing w:after="0"/>
              <w:rPr>
                <w:sz w:val="24"/>
                <w:szCs w:val="24"/>
                <w:color w:val="auto"/>
              </w:rPr>
            </w:pPr>
          </w:p>
        </w:tc>
      </w:tr>
      <w:tr>
        <w:trPr>
          <w:trHeight w:val="459"/>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Common stock offered by us</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780" w:type="dxa"/>
            <w:vAlign w:val="bottom"/>
            <w:tcBorders>
              <w:right w:val="single" w:sz="8" w:color="auto"/>
            </w:tcBorders>
          </w:tcPr>
          <w:p>
            <w:pPr>
              <w:spacing w:after="0"/>
              <w:rPr>
                <w:sz w:val="24"/>
                <w:szCs w:val="24"/>
                <w:color w:val="auto"/>
              </w:rPr>
            </w:pPr>
          </w:p>
        </w:tc>
      </w:tr>
      <w:tr>
        <w:trPr>
          <w:trHeight w:val="454"/>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Option to purchase additional shares of common stock</w:t>
            </w:r>
          </w:p>
        </w:tc>
        <w:tc>
          <w:tcPr>
            <w:tcW w:w="686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We have granted the underwriters an option for a period of 30 days to purchase up to</w:t>
            </w:r>
          </w:p>
        </w:tc>
      </w:tr>
      <w:tr>
        <w:trPr>
          <w:trHeight w:val="216"/>
        </w:trPr>
        <w:tc>
          <w:tcPr>
            <w:tcW w:w="416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offered by us</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634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additional shares of common stock from us at the public offering price, less</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underwriting discounts and commissions on the same terms as set forth in this prospectus.</w:t>
            </w:r>
          </w:p>
        </w:tc>
      </w:tr>
      <w:tr>
        <w:trPr>
          <w:trHeight w:val="216"/>
        </w:trPr>
        <w:tc>
          <w:tcPr>
            <w:tcW w:w="432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Common stock to be outstanding immediately after this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3"/>
              </w:rPr>
              <w:t>shares (or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7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shares if the underwriters exercise their option to</w:t>
            </w:r>
          </w:p>
        </w:tc>
      </w:tr>
      <w:tr>
        <w:trPr>
          <w:trHeight w:val="234"/>
        </w:trPr>
        <w:tc>
          <w:tcPr>
            <w:tcW w:w="416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offering</w:t>
            </w:r>
          </w:p>
        </w:tc>
        <w:tc>
          <w:tcPr>
            <w:tcW w:w="408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purchase additional shares of common stock in full)</w:t>
            </w:r>
          </w:p>
        </w:tc>
        <w:tc>
          <w:tcPr>
            <w:tcW w:w="2780" w:type="dxa"/>
            <w:vAlign w:val="bottom"/>
            <w:tcBorders>
              <w:right w:val="single" w:sz="8" w:color="auto"/>
            </w:tcBorders>
          </w:tcPr>
          <w:p>
            <w:pPr>
              <w:spacing w:after="0"/>
              <w:rPr>
                <w:sz w:val="20"/>
                <w:szCs w:val="20"/>
                <w:color w:val="auto"/>
              </w:rPr>
            </w:pPr>
          </w:p>
        </w:tc>
      </w:tr>
      <w:tr>
        <w:trPr>
          <w:trHeight w:val="454"/>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686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We estimate that the net proceeds from the sale of our common stock in this offering will</w:t>
            </w:r>
          </w:p>
        </w:tc>
      </w:tr>
      <w:tr>
        <w:trPr>
          <w:trHeight w:val="216"/>
        </w:trPr>
        <w:tc>
          <w:tcPr>
            <w:tcW w:w="4160" w:type="dxa"/>
            <w:vAlign w:val="bottom"/>
            <w:tcBorders>
              <w:left w:val="single" w:sz="8" w:color="auto"/>
            </w:tcBorders>
          </w:tcPr>
          <w:p>
            <w:pPr>
              <w:spacing w:after="0"/>
              <w:rPr>
                <w:sz w:val="18"/>
                <w:szCs w:val="18"/>
                <w:color w:val="auto"/>
              </w:rPr>
            </w:pPr>
          </w:p>
        </w:tc>
        <w:tc>
          <w:tcPr>
            <w:tcW w:w="180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 xml:space="preserve">be approximately $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47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   million (or approximately $ million if the underwriters</w:t>
            </w:r>
          </w:p>
        </w:tc>
      </w:tr>
      <w:tr>
        <w:trPr>
          <w:trHeight w:val="216"/>
        </w:trPr>
        <w:tc>
          <w:tcPr>
            <w:tcW w:w="4160" w:type="dxa"/>
            <w:vAlign w:val="bottom"/>
            <w:tcBorders>
              <w:left w:val="single" w:sz="8" w:color="auto"/>
            </w:tcBorders>
          </w:tcPr>
          <w:p>
            <w:pPr>
              <w:spacing w:after="0"/>
              <w:rPr>
                <w:sz w:val="18"/>
                <w:szCs w:val="18"/>
                <w:color w:val="auto"/>
              </w:rPr>
            </w:pPr>
          </w:p>
        </w:tc>
        <w:tc>
          <w:tcPr>
            <w:tcW w:w="408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 xml:space="preserve">exercise their option to purchase additional             </w:t>
            </w:r>
          </w:p>
        </w:tc>
        <w:tc>
          <w:tcPr>
            <w:tcW w:w="2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shares of common stock in full),</w:t>
            </w:r>
          </w:p>
        </w:tc>
      </w:tr>
      <w:tr>
        <w:trPr>
          <w:trHeight w:val="216"/>
        </w:trPr>
        <w:tc>
          <w:tcPr>
            <w:tcW w:w="4160" w:type="dxa"/>
            <w:vAlign w:val="bottom"/>
            <w:tcBorders>
              <w:left w:val="single" w:sz="8" w:color="auto"/>
            </w:tcBorders>
          </w:tcPr>
          <w:p>
            <w:pPr>
              <w:spacing w:after="0"/>
              <w:rPr>
                <w:sz w:val="18"/>
                <w:szCs w:val="18"/>
                <w:color w:val="auto"/>
              </w:rPr>
            </w:pPr>
          </w:p>
        </w:tc>
        <w:tc>
          <w:tcPr>
            <w:tcW w:w="408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w w:val="97"/>
              </w:rPr>
              <w:t>based on the assumed initial public offering price of $  </w:t>
            </w:r>
          </w:p>
        </w:tc>
        <w:tc>
          <w:tcPr>
            <w:tcW w:w="2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per share, which is the</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midpoint of the price range set forth on the cover page of this prospectus, after deducting</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the estimated underwriting discounts and commissions and estimated offering expenses</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payable by us. We intend to use the net proceeds we receive from this offering, together</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with our existing cash, cash equivalents, and investments, to advance development of</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10"/>
          </w:tcPr>
          <w:p>
            <w:pPr>
              <w:ind w:left="60"/>
              <w:spacing w:after="0" w:line="216" w:lineRule="exact"/>
              <w:rPr>
                <w:sz w:val="20"/>
                <w:szCs w:val="20"/>
                <w:color w:val="auto"/>
              </w:rPr>
            </w:pPr>
            <w:r>
              <w:rPr>
                <w:rFonts w:ascii="Times New Roman" w:cs="Times New Roman" w:eastAsia="Times New Roman" w:hAnsi="Times New Roman"/>
                <w:sz w:val="17"/>
                <w:szCs w:val="17"/>
                <w:color w:val="auto"/>
              </w:rPr>
              <w:t>GlyphAllo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(SPT-300), GlyphAgo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(SPT-320), and Glyph2BLSD</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(SPT-348), as well</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as to fund research and development activities for additional programs, and the remainder</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for working capital and general corporate purposes. For additional information, see the</w:t>
            </w:r>
          </w:p>
        </w:tc>
      </w:tr>
      <w:tr>
        <w:trPr>
          <w:trHeight w:val="234"/>
        </w:trPr>
        <w:tc>
          <w:tcPr>
            <w:tcW w:w="4160" w:type="dxa"/>
            <w:vAlign w:val="bottom"/>
            <w:tcBorders>
              <w:left w:val="single" w:sz="8" w:color="auto"/>
            </w:tcBorders>
          </w:tcPr>
          <w:p>
            <w:pPr>
              <w:spacing w:after="0"/>
              <w:rPr>
                <w:sz w:val="20"/>
                <w:szCs w:val="20"/>
                <w:color w:val="auto"/>
              </w:rPr>
            </w:pPr>
          </w:p>
        </w:tc>
        <w:tc>
          <w:tcPr>
            <w:tcW w:w="408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section titled “Use of Proceeds.”</w:t>
            </w:r>
          </w:p>
        </w:tc>
        <w:tc>
          <w:tcPr>
            <w:tcW w:w="2780" w:type="dxa"/>
            <w:vAlign w:val="bottom"/>
            <w:tcBorders>
              <w:right w:val="single" w:sz="8" w:color="auto"/>
            </w:tcBorders>
          </w:tcPr>
          <w:p>
            <w:pPr>
              <w:spacing w:after="0"/>
              <w:rPr>
                <w:sz w:val="20"/>
                <w:szCs w:val="20"/>
                <w:color w:val="auto"/>
              </w:rPr>
            </w:pPr>
          </w:p>
        </w:tc>
      </w:tr>
      <w:tr>
        <w:trPr>
          <w:trHeight w:val="441"/>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Directed share program</w:t>
            </w:r>
          </w:p>
        </w:tc>
        <w:tc>
          <w:tcPr>
            <w:tcW w:w="408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 xml:space="preserve">At our request, the underwriters have reserved up to     </w:t>
            </w:r>
          </w:p>
        </w:tc>
        <w:tc>
          <w:tcPr>
            <w:tcW w:w="27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of the shares of common stock</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being offered by this prospectus for sale at the initial public offering price to our directors,</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officers, certain employees, and certain other persons associated with us. We do not know</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if these persons will choose to purchase all or any portion of these reserved shares, but any</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purchases they do make will reduce the number of shares of common stock available to the</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general public. Any reserved shares not so purchased will be offered by the underwriters to</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the general public on the same terms as the other shares of common stock. Except for</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reserved shares purchased by our executive officers and directors, these reserved shares</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will not be subject to the lock-up restrictions described elsewhere in this prospectus. For</w:t>
            </w:r>
          </w:p>
        </w:tc>
      </w:tr>
      <w:tr>
        <w:trPr>
          <w:trHeight w:val="234"/>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additional information, see the section titled “Underwriting—Directed Share Program.”</w:t>
            </w:r>
          </w:p>
        </w:tc>
      </w:tr>
      <w:tr>
        <w:trPr>
          <w:trHeight w:val="441"/>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686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For a discussion of factors you should carefully consider before deciding whether to invest</w:t>
            </w:r>
          </w:p>
        </w:tc>
      </w:tr>
      <w:tr>
        <w:trPr>
          <w:trHeight w:val="234"/>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in our common stock, see the section titled “Risk Factors.”</w:t>
            </w:r>
          </w:p>
        </w:tc>
      </w:tr>
      <w:tr>
        <w:trPr>
          <w:trHeight w:val="473"/>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Proposed Nasdaq Global Market trading symbol</w:t>
            </w:r>
          </w:p>
        </w:tc>
        <w:tc>
          <w:tcPr>
            <w:tcW w:w="6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6"/>
              </w:rPr>
              <w:t>“SPTX”</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780" w:type="dxa"/>
            <w:vAlign w:val="bottom"/>
            <w:tcBorders>
              <w:right w:val="single" w:sz="8" w:color="auto"/>
            </w:tcBorders>
          </w:tcPr>
          <w:p>
            <w:pPr>
              <w:spacing w:after="0"/>
              <w:rPr>
                <w:sz w:val="24"/>
                <w:szCs w:val="24"/>
                <w:color w:val="auto"/>
              </w:rPr>
            </w:pPr>
          </w:p>
        </w:tc>
      </w:tr>
      <w:tr>
        <w:trPr>
          <w:trHeight w:val="186"/>
        </w:trPr>
        <w:tc>
          <w:tcPr>
            <w:tcW w:w="4160" w:type="dxa"/>
            <w:vAlign w:val="bottom"/>
            <w:tcBorders>
              <w:left w:val="single" w:sz="8" w:color="auto"/>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2780" w:type="dxa"/>
            <w:vAlign w:val="bottom"/>
            <w:tcBorders>
              <w:bottom w:val="single" w:sz="8" w:color="auto"/>
              <w:right w:val="single" w:sz="8" w:color="auto"/>
            </w:tcBorders>
          </w:tcPr>
          <w:p>
            <w:pPr>
              <w:spacing w:after="0"/>
              <w:rPr>
                <w:sz w:val="16"/>
                <w:szCs w:val="16"/>
                <w:color w:val="auto"/>
              </w:rPr>
            </w:pPr>
          </w:p>
        </w:tc>
      </w:tr>
      <w:tr>
        <w:trPr>
          <w:trHeight w:val="361"/>
        </w:trPr>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7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21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60217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Unless otherwise noted, the number of shares of our common stock that will be outstanding after this offering is based on        shares of common stock (which includes         shares of unvested restricted common stock) outstanding as of December 31, 2025, after giving effect to the conversion of all outstanding shares of our convertible preferred stock into an aggregate of         shares of common stock immediately prior to the completion of this offering, or the Preferred Stock Conversion, and excludes:</w:t>
      </w:r>
    </w:p>
    <w:p>
      <w:pPr>
        <w:spacing w:after="0" w:line="85" w:lineRule="exact"/>
        <w:rPr>
          <w:sz w:val="20"/>
          <w:szCs w:val="20"/>
          <w:color w:val="auto"/>
        </w:rPr>
      </w:pPr>
    </w:p>
    <w:p>
      <w:pPr>
        <w:ind w:left="1240" w:right="360" w:hanging="415"/>
        <w:spacing w:after="0" w:line="261"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shares of common stock issuable upon exercise of outstanding stock options as of December 31, 2025 under our 2024 Equity Incentive Plan, as amended, or the 2024 Plan, with a weighted-average exercise price of $        per share, and       </w:t>
      </w: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upon exercise of outstanding stock options granted after December 31, 2025 pursuant to our 2024</w:t>
      </w:r>
    </w:p>
    <w:p>
      <w:pPr>
        <w:spacing w:after="0" w:line="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Plan, with a weighted-average exercise price of $            per share;</w:t>
      </w:r>
    </w:p>
    <w:p>
      <w:pPr>
        <w:spacing w:after="0" w:line="112"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89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shares of common stock reserved for future issuance as of December 31, 2025 under the 2024 Plan, which will cease to be</w:t>
            </w:r>
          </w:p>
        </w:tc>
      </w:tr>
      <w:tr>
        <w:trPr>
          <w:trHeight w:val="234"/>
        </w:trPr>
        <w:tc>
          <w:tcPr>
            <w:tcW w:w="240" w:type="dxa"/>
            <w:vAlign w:val="bottom"/>
          </w:tcPr>
          <w:p>
            <w:pPr>
              <w:spacing w:after="0"/>
              <w:rPr>
                <w:sz w:val="20"/>
                <w:szCs w:val="20"/>
                <w:color w:val="auto"/>
              </w:rPr>
            </w:pPr>
          </w:p>
        </w:tc>
        <w:tc>
          <w:tcPr>
            <w:tcW w:w="97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available for issuance at the time that our 2026 Stock Option and Incentive Plan, or the 2026 Plan, becomes effective;</w:t>
            </w:r>
          </w:p>
        </w:tc>
      </w:tr>
      <w:tr>
        <w:trPr>
          <w:trHeight w:val="319"/>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8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of our common stock to be granted to an executive officer and a director under the 2026 Plan, issuable upon the</w:t>
            </w:r>
          </w:p>
        </w:tc>
      </w:tr>
      <w:tr>
        <w:trPr>
          <w:trHeight w:val="216"/>
        </w:trPr>
        <w:tc>
          <w:tcPr>
            <w:tcW w:w="240" w:type="dxa"/>
            <w:vAlign w:val="bottom"/>
          </w:tcPr>
          <w:p>
            <w:pPr>
              <w:spacing w:after="0"/>
              <w:rPr>
                <w:sz w:val="18"/>
                <w:szCs w:val="18"/>
                <w:color w:val="auto"/>
              </w:rPr>
            </w:pPr>
          </w:p>
        </w:tc>
        <w:tc>
          <w:tcPr>
            <w:tcW w:w="97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9"/>
              </w:rPr>
              <w:t>exercise of stock options, with an exercise price that is equal to the initial public offering price in this offering, or a number of shares</w:t>
            </w:r>
          </w:p>
        </w:tc>
      </w:tr>
      <w:tr>
        <w:trPr>
          <w:trHeight w:val="216"/>
        </w:trPr>
        <w:tc>
          <w:tcPr>
            <w:tcW w:w="240" w:type="dxa"/>
            <w:vAlign w:val="bottom"/>
          </w:tcPr>
          <w:p>
            <w:pPr>
              <w:spacing w:after="0"/>
              <w:rPr>
                <w:sz w:val="18"/>
                <w:szCs w:val="18"/>
                <w:color w:val="auto"/>
              </w:rPr>
            </w:pPr>
          </w:p>
        </w:tc>
        <w:tc>
          <w:tcPr>
            <w:tcW w:w="97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of restricted common stock, as applicable, or the IPO Grants, equal to approximately 12.5% of the number of shares of our common</w:t>
            </w:r>
          </w:p>
        </w:tc>
      </w:tr>
      <w:tr>
        <w:trPr>
          <w:trHeight w:val="216"/>
        </w:trPr>
        <w:tc>
          <w:tcPr>
            <w:tcW w:w="240" w:type="dxa"/>
            <w:vAlign w:val="bottom"/>
          </w:tcPr>
          <w:p>
            <w:pPr>
              <w:spacing w:after="0"/>
              <w:rPr>
                <w:sz w:val="18"/>
                <w:szCs w:val="18"/>
                <w:color w:val="auto"/>
              </w:rPr>
            </w:pPr>
          </w:p>
        </w:tc>
        <w:tc>
          <w:tcPr>
            <w:tcW w:w="97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stock to be outstanding upon the closing of this offering calculated on a fully diluted basis; see the sections titled “Executive</w:t>
            </w:r>
          </w:p>
        </w:tc>
      </w:tr>
      <w:tr>
        <w:trPr>
          <w:trHeight w:val="216"/>
        </w:trPr>
        <w:tc>
          <w:tcPr>
            <w:tcW w:w="240" w:type="dxa"/>
            <w:vAlign w:val="bottom"/>
          </w:tcPr>
          <w:p>
            <w:pPr>
              <w:spacing w:after="0"/>
              <w:rPr>
                <w:sz w:val="18"/>
                <w:szCs w:val="18"/>
                <w:color w:val="auto"/>
              </w:rPr>
            </w:pPr>
          </w:p>
        </w:tc>
        <w:tc>
          <w:tcPr>
            <w:tcW w:w="97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Compensation—Narrative disclosure to the 2025 Summary Compensation Table—Equity Incentive Compensation” and “Director</w:t>
            </w:r>
          </w:p>
        </w:tc>
      </w:tr>
      <w:tr>
        <w:trPr>
          <w:trHeight w:val="216"/>
        </w:trPr>
        <w:tc>
          <w:tcPr>
            <w:tcW w:w="240" w:type="dxa"/>
            <w:vAlign w:val="bottom"/>
          </w:tcPr>
          <w:p>
            <w:pPr>
              <w:spacing w:after="0"/>
              <w:rPr>
                <w:sz w:val="18"/>
                <w:szCs w:val="18"/>
                <w:color w:val="auto"/>
              </w:rPr>
            </w:pPr>
          </w:p>
        </w:tc>
        <w:tc>
          <w:tcPr>
            <w:tcW w:w="97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Compensation” for more information on such grants, including a description of how the number of shares issuable pursuant to such</w:t>
            </w:r>
          </w:p>
        </w:tc>
      </w:tr>
      <w:tr>
        <w:trPr>
          <w:trHeight w:val="234"/>
        </w:trPr>
        <w:tc>
          <w:tcPr>
            <w:tcW w:w="240" w:type="dxa"/>
            <w:vAlign w:val="bottom"/>
          </w:tcPr>
          <w:p>
            <w:pPr>
              <w:spacing w:after="0"/>
              <w:rPr>
                <w:sz w:val="20"/>
                <w:szCs w:val="20"/>
                <w:color w:val="auto"/>
              </w:rPr>
            </w:pPr>
          </w:p>
        </w:tc>
        <w:tc>
          <w:tcPr>
            <w:tcW w:w="97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grants will be determined;</w:t>
            </w:r>
          </w:p>
        </w:tc>
      </w:tr>
      <w:tr>
        <w:trPr>
          <w:trHeight w:val="33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 of our common stock that will become available for future issuance under our 2026 Plan, including shares reserved</w:t>
            </w:r>
          </w:p>
        </w:tc>
      </w:tr>
    </w:tbl>
    <w:p>
      <w:pPr>
        <w:ind w:left="1240" w:right="240"/>
        <w:spacing w:after="0" w:line="253" w:lineRule="auto"/>
        <w:rPr>
          <w:sz w:val="20"/>
          <w:szCs w:val="20"/>
          <w:color w:val="auto"/>
        </w:rPr>
      </w:pPr>
      <w:r>
        <w:rPr>
          <w:rFonts w:ascii="Times New Roman" w:cs="Times New Roman" w:eastAsia="Times New Roman" w:hAnsi="Times New Roman"/>
          <w:sz w:val="18"/>
          <w:szCs w:val="18"/>
          <w:color w:val="auto"/>
        </w:rPr>
        <w:t>for the IPO Grants, which will become effective on the date immediately prior to the effectiveness of the registration statement of which this prospectus forms a part, as well as any automatic increases in the number of shares of common stock reserved for future issuance under the 2026 Plan and any shares underlying outstanding stock awards granted under the 2024 Plan that expire or are repurchased, forfeited, cancelled, or withheld; and</w:t>
      </w:r>
    </w:p>
    <w:p>
      <w:pPr>
        <w:spacing w:after="0" w:line="94" w:lineRule="exact"/>
        <w:rPr>
          <w:sz w:val="20"/>
          <w:szCs w:val="20"/>
          <w:color w:val="auto"/>
        </w:rPr>
      </w:pPr>
    </w:p>
    <w:p>
      <w:pPr>
        <w:ind w:left="1240" w:right="60" w:hanging="415"/>
        <w:spacing w:after="0" w:line="266"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common stock reserved for future issuance under our 2026 Employee Stock Purchase Plan, or the ESPP, which will become effective on the date immediately prior to the effectiveness of the registration statement of which this prospectus forms a part, as well as any automatic increases in the number of shares of common stock reserved for future issuance under the ESPP.</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Unless otherwise indicated, the information in this prospectus reflects or assumes the following:</w:t>
      </w:r>
    </w:p>
    <w:p>
      <w:pPr>
        <w:sectPr>
          <w:pgSz w:w="11900" w:h="16838" w:orient="portrait"/>
          <w:cols w:equalWidth="0" w:num="1">
            <w:col w:w="10900"/>
          </w:cols>
          <w:pgMar w:left="320" w:top="455" w:right="679" w:bottom="1440" w:gutter="0" w:footer="0" w:header="0"/>
        </w:sectPr>
      </w:pPr>
    </w:p>
    <w:p>
      <w:pPr>
        <w:spacing w:after="0" w:line="1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1-for-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reverse stock split of our common stock, which will become effective prior to the completion of this offering;</w:t>
      </w:r>
    </w:p>
    <w:p>
      <w:pPr>
        <w:spacing w:after="0" w:line="142" w:lineRule="exact"/>
        <w:rPr>
          <w:sz w:val="20"/>
          <w:szCs w:val="20"/>
          <w:color w:val="auto"/>
        </w:rPr>
      </w:pPr>
    </w:p>
    <w:p>
      <w:pPr>
        <w:sectPr>
          <w:pgSz w:w="11900" w:h="16838" w:orient="portrait"/>
          <w:cols w:equalWidth="0" w:num="5">
            <w:col w:w="880" w:space="360"/>
            <w:col w:w="580" w:space="140"/>
            <w:col w:w="40" w:space="140"/>
            <w:col w:w="220" w:space="140"/>
            <w:col w:w="8400"/>
          </w:cols>
          <w:pgMar w:left="320" w:top="455" w:right="679"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automatic conversion of all outstanding shares of our convertible preferred stock into an aggregate of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shares of common</w:t>
      </w:r>
    </w:p>
    <w:p>
      <w:pPr>
        <w:spacing w:after="0" w:line="39" w:lineRule="exact"/>
        <w:rPr>
          <w:sz w:val="20"/>
          <w:szCs w:val="20"/>
          <w:color w:val="auto"/>
        </w:rPr>
      </w:pPr>
    </w:p>
    <w:p>
      <w:pPr>
        <w:sectPr>
          <w:pgSz w:w="11900" w:h="16838" w:orient="portrait"/>
          <w:cols w:equalWidth="0" w:num="6">
            <w:col w:w="880" w:space="360"/>
            <w:col w:w="7620" w:space="140"/>
            <w:col w:w="40" w:space="140"/>
            <w:col w:w="40" w:space="140"/>
            <w:col w:w="40" w:space="180"/>
            <w:col w:w="1320"/>
          </w:cols>
          <w:pgMar w:left="320" w:top="455" w:right="679" w:bottom="1440" w:gutter="0" w:footer="0" w:header="0"/>
          <w:type w:val="continuous"/>
        </w:sectPr>
      </w:pPr>
    </w:p>
    <w:p>
      <w:pPr>
        <w:ind w:left="1240"/>
        <w:spacing w:after="0"/>
        <w:rPr>
          <w:sz w:val="20"/>
          <w:szCs w:val="20"/>
          <w:color w:val="auto"/>
        </w:rPr>
      </w:pPr>
      <w:r>
        <w:rPr>
          <w:rFonts w:ascii="Times New Roman" w:cs="Times New Roman" w:eastAsia="Times New Roman" w:hAnsi="Times New Roman"/>
          <w:sz w:val="17"/>
          <w:szCs w:val="17"/>
          <w:color w:val="auto"/>
        </w:rPr>
        <w:t>stock immediately prior to the completion of this offering</w:t>
      </w:r>
      <w:r>
        <w:rPr>
          <w:rFonts w:ascii="Times New Roman" w:cs="Times New Roman" w:eastAsia="Times New Roman" w:hAnsi="Times New Roman"/>
          <w:sz w:val="17"/>
          <w:szCs w:val="17"/>
          <w:b w:val="1"/>
          <w:bCs w:val="1"/>
          <w:color w:val="auto"/>
        </w:rPr>
        <w:t>;</w:t>
      </w:r>
    </w:p>
    <w:p>
      <w:pPr>
        <w:sectPr>
          <w:pgSz w:w="11900" w:h="16838" w:orient="portrait"/>
          <w:cols w:equalWidth="0" w:num="1">
            <w:col w:w="10900"/>
          </w:cols>
          <w:pgMar w:left="320" w:top="455" w:right="679" w:bottom="1440" w:gutter="0" w:footer="0" w:header="0"/>
          <w:type w:val="continuous"/>
        </w:sectPr>
      </w:pPr>
    </w:p>
    <w:p>
      <w:pPr>
        <w:spacing w:after="0" w:line="124" w:lineRule="exact"/>
        <w:rPr>
          <w:sz w:val="20"/>
          <w:szCs w:val="20"/>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outstanding stock options described above after December 31, 2025;</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up to an additional shares of common stock in this offering;</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purchases by existing stockholders or their affiliates pursuant to the directed share program; and</w:t>
      </w:r>
    </w:p>
    <w:p>
      <w:pPr>
        <w:spacing w:after="0" w:line="130" w:lineRule="exact"/>
        <w:rPr>
          <w:rFonts w:ascii="Times New Roman" w:cs="Times New Roman" w:eastAsia="Times New Roman" w:hAnsi="Times New Roman"/>
          <w:sz w:val="18"/>
          <w:szCs w:val="18"/>
          <w:color w:val="auto"/>
        </w:rPr>
      </w:pPr>
    </w:p>
    <w:p>
      <w:pPr>
        <w:ind w:left="1240" w:right="280" w:hanging="415"/>
        <w:spacing w:after="0" w:line="266"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amended and restated certificate of incorporation immediately prior to the completion of this offering and the adoption of our amended and restated bylaws to be in effect upon the effectiveness of the registration statement of which this prospectus forms a part.</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320" w:top="455" w:right="67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56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57562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229" w:lineRule="exact"/>
        <w:rPr>
          <w:sz w:val="20"/>
          <w:szCs w:val="20"/>
          <w:color w:val="auto"/>
        </w:rPr>
      </w:pPr>
    </w:p>
    <w:p>
      <w:pPr>
        <w:ind w:left="300" w:right="60" w:firstLine="426"/>
        <w:spacing w:after="0" w:line="270" w:lineRule="auto"/>
        <w:rPr>
          <w:sz w:val="20"/>
          <w:szCs w:val="20"/>
          <w:color w:val="auto"/>
        </w:rPr>
      </w:pPr>
      <w:r>
        <w:rPr>
          <w:rFonts w:ascii="Times New Roman" w:cs="Times New Roman" w:eastAsia="Times New Roman" w:hAnsi="Times New Roman"/>
          <w:sz w:val="17"/>
          <w:szCs w:val="17"/>
          <w:color w:val="auto"/>
        </w:rPr>
        <w:t>The following tables set forth our summary consolidated statements of operations data for the years ended December 31, 2024 and 2025 and our summary consolidated balance sheet data as of December 31, 2025. We have derived the summary consolidated statements of operations data for years ended December 31, 2024 and 2025, and the summary consolidated balance sheet data as of December 31, 2025, from our audited consolidated financial statements included elsewhere in this prospectus. The historical results for the period from January 1, 2024 to April 7, 2024, which are included in the consolidated financial statements for the year ended December 31, 2024, have been prepared on a “carve-out” basis and are not necessarily indicative of results that may be expected in the future, nor are our other historical results necessarily indicative of the results that may be expected for any period in the future. You should read the following summary financial data together with “Management’s Discussion and Analysis of Financial Condition and Results of Operations” and our consolidated financial statements and the related notes included elsewhere in this prospectus. The summary consolidated financial data included in this section are not intended to replace the consolidated financial statements and are qualified in their entirety by our consolidated financial statements and the related notes included elsewhere in this prospectus.</w:t>
      </w:r>
    </w:p>
    <w:p>
      <w:pPr>
        <w:spacing w:after="0" w:line="18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3"/>
        </w:trPr>
        <w:tc>
          <w:tcPr>
            <w:tcW w:w="6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6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Borders>
              <w:bottom w:val="single" w:sz="8" w:color="auto"/>
            </w:tcBorders>
            <w:gridSpan w:val="2"/>
          </w:tcPr>
          <w:p>
            <w:pPr>
              <w:jc w:val="right"/>
              <w:ind w:right="33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7"/>
        </w:trPr>
        <w:tc>
          <w:tcPr>
            <w:tcW w:w="6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80" w:type="dxa"/>
            <w:vAlign w:val="bottom"/>
            <w:gridSpan w:val="8"/>
          </w:tcPr>
          <w:p>
            <w:pPr>
              <w:jc w:val="center"/>
              <w:ind w:left="178"/>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 share and per share</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87"/>
        </w:trPr>
        <w:tc>
          <w:tcPr>
            <w:tcW w:w="6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data)</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(including stock-based compensation of $0.7 million)</w:t>
            </w:r>
          </w:p>
        </w:tc>
        <w:tc>
          <w:tcPr>
            <w:tcW w:w="98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25,070</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(including stock-based compensation of $15.2 million)</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27,346</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6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52,416</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4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(52,416)</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980" w:type="dxa"/>
            <w:vAlign w:val="bottom"/>
            <w:gridSpan w:val="2"/>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6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48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(46,879)</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4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(46,879)</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96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Net loss per share, basic and diluted </w:t>
            </w:r>
            <w:r>
              <w:rPr>
                <w:rFonts w:ascii="Times New Roman" w:cs="Times New Roman" w:eastAsia="Times New Roman" w:hAnsi="Times New Roman"/>
                <w:sz w:val="24"/>
                <w:szCs w:val="24"/>
                <w:color w:val="auto"/>
                <w:vertAlign w:val="superscript"/>
              </w:rPr>
              <w:t>(1)</w:t>
            </w:r>
          </w:p>
        </w:tc>
        <w:tc>
          <w:tcPr>
            <w:tcW w:w="98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960" w:type="dxa"/>
            <w:vAlign w:val="bottom"/>
          </w:tcPr>
          <w:p>
            <w:pPr>
              <w:spacing w:after="0" w:line="223" w:lineRule="exact"/>
              <w:rPr>
                <w:sz w:val="20"/>
                <w:szCs w:val="20"/>
                <w:color w:val="auto"/>
              </w:rPr>
            </w:pPr>
            <w:r>
              <w:rPr>
                <w:rFonts w:ascii="Times New Roman" w:cs="Times New Roman" w:eastAsia="Times New Roman" w:hAnsi="Times New Roman"/>
                <w:sz w:val="17"/>
                <w:szCs w:val="17"/>
                <w:color w:val="auto"/>
              </w:rPr>
              <w:t xml:space="preserve">Weighted-average common shares outstanding, basic and diluted </w:t>
            </w:r>
            <w:r>
              <w:rPr>
                <w:rFonts w:ascii="Times New Roman" w:cs="Times New Roman" w:eastAsia="Times New Roman" w:hAnsi="Times New Roman"/>
                <w:sz w:val="25"/>
                <w:szCs w:val="25"/>
                <w:color w:val="auto"/>
                <w:vertAlign w:val="superscript"/>
              </w:rPr>
              <w:t>(1)</w:t>
            </w:r>
          </w:p>
        </w:tc>
        <w:tc>
          <w:tcPr>
            <w:tcW w:w="480" w:type="dxa"/>
            <w:vAlign w:val="bottom"/>
          </w:tcPr>
          <w:p>
            <w:pPr>
              <w:spacing w:after="0"/>
              <w:rPr>
                <w:sz w:val="19"/>
                <w:szCs w:val="19"/>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2,961,543</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2"/>
        </w:trPr>
        <w:tc>
          <w:tcPr>
            <w:tcW w:w="69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Pro forma net loss per share attributable to common stockholders, basic and diluted</w:t>
            </w: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34"/>
        </w:trPr>
        <w:tc>
          <w:tcPr>
            <w:tcW w:w="696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 xml:space="preserve">(unaudited) </w:t>
            </w:r>
            <w:r>
              <w:rPr>
                <w:rFonts w:ascii="Times New Roman" w:cs="Times New Roman" w:eastAsia="Times New Roman" w:hAnsi="Times New Roman"/>
                <w:sz w:val="26"/>
                <w:szCs w:val="26"/>
                <w:color w:val="auto"/>
                <w:vertAlign w:val="superscript"/>
              </w:rPr>
              <w:t>(2)</w:t>
            </w:r>
          </w:p>
        </w:tc>
        <w:tc>
          <w:tcPr>
            <w:tcW w:w="4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 xml:space="preserve">       </w:t>
            </w:r>
          </w:p>
        </w:tc>
        <w:tc>
          <w:tcPr>
            <w:tcW w:w="10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960" w:type="dxa"/>
            <w:vAlign w:val="bottom"/>
          </w:tcPr>
          <w:p>
            <w:pPr>
              <w:spacing w:after="0" w:line="223" w:lineRule="exact"/>
              <w:rPr>
                <w:sz w:val="20"/>
                <w:szCs w:val="20"/>
                <w:color w:val="auto"/>
              </w:rPr>
            </w:pPr>
            <w:r>
              <w:rPr>
                <w:rFonts w:ascii="Times New Roman" w:cs="Times New Roman" w:eastAsia="Times New Roman" w:hAnsi="Times New Roman"/>
                <w:sz w:val="17"/>
                <w:szCs w:val="17"/>
                <w:color w:val="auto"/>
              </w:rPr>
              <w:t xml:space="preserve">Pro forma weighted-average common shares outstanding, basic and diluted (unaudited) </w:t>
            </w:r>
            <w:r>
              <w:rPr>
                <w:rFonts w:ascii="Times New Roman" w:cs="Times New Roman" w:eastAsia="Times New Roman" w:hAnsi="Times New Roman"/>
                <w:sz w:val="25"/>
                <w:szCs w:val="25"/>
                <w:color w:val="auto"/>
                <w:vertAlign w:val="superscript"/>
              </w:rPr>
              <w:t>(2)</w:t>
            </w: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720" w:right="180" w:hanging="422"/>
        <w:spacing w:after="0" w:line="261"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2 and 15 to our consolidated financial statements included elsewhere in this prospectus for details on the calculation of basic and diluted net loss per share attributable to common stockholders.</w:t>
      </w:r>
    </w:p>
    <w:p>
      <w:pPr>
        <w:ind w:left="720" w:right="380" w:hanging="422"/>
        <w:spacing w:after="0" w:line="26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basic and diluted net loss per share attributable to common stockholders has been prepared to give effect to adjustments to our capital structure arising in connection with the completion of this offering</w:t>
      </w:r>
    </w:p>
    <w:p>
      <w:pPr>
        <w:spacing w:after="0" w:line="30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320" w:top="455" w:right="6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1301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5130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right="60"/>
        <w:spacing w:after="0" w:line="258" w:lineRule="auto"/>
        <w:rPr>
          <w:sz w:val="20"/>
          <w:szCs w:val="20"/>
          <w:color w:val="auto"/>
        </w:rPr>
      </w:pPr>
      <w:r>
        <w:rPr>
          <w:rFonts w:ascii="Times New Roman" w:cs="Times New Roman" w:eastAsia="Times New Roman" w:hAnsi="Times New Roman"/>
          <w:sz w:val="18"/>
          <w:szCs w:val="18"/>
          <w:color w:val="auto"/>
        </w:rPr>
        <w:t>and is calculated by dividing the pro forma net loss attributable to common stockholders by the pro forma weighted-average common shares outstanding for the period. Pro forma weighted-average common shares outstanding is computed by adjusting the weighted-average common shares outstanding to give pro forma effect to the Preferred Stock Conversion as if such conversion had occurred on January 1, 2025. Pro forma basic and diluted net loss per share attributable to common stockholders does not include the effect of the shares expected to be sold in this offering.</w:t>
      </w:r>
    </w:p>
    <w:p>
      <w:pPr>
        <w:spacing w:after="0" w:line="204"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85"/>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As</w:t>
            </w:r>
          </w:p>
        </w:tc>
        <w:tc>
          <w:tcPr>
            <w:tcW w:w="0" w:type="dxa"/>
            <w:vAlign w:val="bottom"/>
          </w:tcPr>
          <w:p>
            <w:pPr>
              <w:spacing w:after="0"/>
              <w:rPr>
                <w:sz w:val="1"/>
                <w:szCs w:val="1"/>
                <w:color w:val="auto"/>
              </w:rPr>
            </w:pPr>
          </w:p>
        </w:tc>
      </w:tr>
      <w:tr>
        <w:trPr>
          <w:trHeight w:val="173"/>
        </w:trPr>
        <w:tc>
          <w:tcPr>
            <w:tcW w:w="48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xml:space="preserve">Forma </w:t>
            </w:r>
            <w:r>
              <w:rPr>
                <w:rFonts w:ascii="Times New Roman" w:cs="Times New Roman" w:eastAsia="Times New Roman" w:hAnsi="Times New Roman"/>
                <w:sz w:val="10"/>
                <w:szCs w:val="10"/>
                <w:b w:val="1"/>
                <w:bCs w:val="1"/>
                <w:color w:val="auto"/>
              </w:rPr>
              <w:t>(1)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xml:space="preserve">adjusted </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300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 xml:space="preserve">$              </w:t>
            </w:r>
          </w:p>
        </w:tc>
        <w:tc>
          <w:tcPr>
            <w:tcW w:w="16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Working capital </w:t>
            </w:r>
            <w:r>
              <w:rPr>
                <w:rFonts w:ascii="Times New Roman" w:cs="Times New Roman" w:eastAsia="Times New Roman" w:hAnsi="Times New Roman"/>
                <w:sz w:val="25"/>
                <w:szCs w:val="25"/>
                <w:color w:val="auto"/>
                <w:vertAlign w:val="superscript"/>
              </w:rPr>
              <w:t>(3)</w:t>
            </w:r>
          </w:p>
        </w:tc>
        <w:tc>
          <w:tcPr>
            <w:tcW w:w="1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720" w:right="280" w:hanging="422"/>
        <w:spacing w:after="0" w:line="261"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balance sheet data give effect to (i) the Preferred Stock Conversion and (ii) the filing and effectiveness of our amended and restated certificate of incorporation in Delaware immediately prior to the completion of this offering.</w:t>
      </w:r>
    </w:p>
    <w:p>
      <w:pPr>
        <w:ind w:left="720" w:hanging="422"/>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as adjusted balance sheet data give effect to (i) the pro forma adjustments set forth in footnote (1) above and (ii) the issuance</w:t>
      </w:r>
    </w:p>
    <w:p>
      <w:pPr>
        <w:spacing w:after="0" w:line="9" w:lineRule="exact"/>
        <w:rPr>
          <w:sz w:val="20"/>
          <w:szCs w:val="20"/>
          <w:color w:val="auto"/>
        </w:rPr>
      </w:pPr>
    </w:p>
    <w:p>
      <w:pPr>
        <w:ind w:left="720" w:right="20"/>
        <w:spacing w:after="0" w:line="250" w:lineRule="auto"/>
        <w:rPr>
          <w:sz w:val="20"/>
          <w:szCs w:val="20"/>
          <w:color w:val="auto"/>
        </w:rPr>
      </w:pPr>
      <w:r>
        <w:rPr>
          <w:rFonts w:ascii="Times New Roman" w:cs="Times New Roman" w:eastAsia="Times New Roman" w:hAnsi="Times New Roman"/>
          <w:sz w:val="18"/>
          <w:szCs w:val="18"/>
          <w:color w:val="auto"/>
        </w:rPr>
        <w:t xml:space="preserve">and sale of shares of our common stock in this offering at an assumed initial public offering price of $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 per share, which is the midpoint of the price range set forth on the cover page of this prospectus, after deducting the estimated underwriting discounts and commissions and estimated offering expenses payable by us. Pro forma as adjusted balance sheet data is illustrative only and will change based on the actual initial public offering price and other terms of this offering determined at pricing. Each $1.00 increase (decrease) in the assumed initial public offering price of $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 per share, which is the midpoint of the price range set forth on the cover page of this prospectus, would increase (decrease) the pro forma as adjusted amount of each of cash, cash equivalents, and investments, working capital, total assets, and total stockholders’ equity by approximately $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 , assuming that the number of shares offered by us, as set forth on the cover page of this prospectus, remains the same, and after deducting the estimated underwriting discounts and commissions and estimated offering expenses payable by us. Each 1,000,000 increase (decrease) in the number of shares offered by us, as set forth on the cover page of this prospectus, would increase (decrease) the pro forma as adjusted amount of each of cash, cash equivalents, and investments, working capital, total assets and total stockholders’ equity by approximately $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 million, assuming no change in the assumed initial offering price per share, and after deducting the estimated underwriting discounts and commissions and estimated offering expenses payable by us.</w:t>
      </w:r>
    </w:p>
    <w:p>
      <w:pPr>
        <w:spacing w:after="0" w:line="5" w:lineRule="exact"/>
        <w:rPr>
          <w:sz w:val="20"/>
          <w:szCs w:val="20"/>
          <w:color w:val="auto"/>
        </w:rPr>
      </w:pPr>
    </w:p>
    <w:p>
      <w:pPr>
        <w:ind w:left="720" w:right="440" w:hanging="422"/>
        <w:spacing w:after="0" w:line="260"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working capital as current assets less current liabilities. See our consolidated financial statements appearing elsewhere in this prospectus for further details regarding our current assets and current liabilities.</w:t>
      </w:r>
    </w:p>
    <w:p>
      <w:pPr>
        <w:spacing w:after="0" w:line="30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320" w:top="455" w:right="6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consider and read carefully all of the risks and uncertainties described below, as well as the other information in this prospectus, including our consolidated financial statements and the related notes included elsewhere in this prospectus and “Management’s Discussion and Analysis of Financial Condition and Results of Operations” before deciding whether to invest in our common stock. The risks described below are not the only ones facing us. The following risks or additional risks and uncertainties not presently known to us or that we currently believe to be immaterial could materially and adversely affect our business, financial condition, results of operations, and growth prospects. In such an event, the trading price of our common stock could decline, and you may lose all or part of your investment. This prospectus also contains forward-looking statements and estimates that involve risks and uncertainties not presently known to us or that we currently deem immaterial that also may impair our business operations. Our actual results could differ materially from those anticipated in our forward-looking statements as a result of specific factors, including the risks and uncertainties described below.</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Condition, and Need for Additional Capital</w:t>
      </w:r>
    </w:p>
    <w:p>
      <w:pPr>
        <w:spacing w:after="0" w:line="117"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therapeutics company with a limited operating history, which may make it difficult to evaluate our current business and predict our future success and viability. We have incurred significant financial losses since our inception and anticipate that we will continue to incur significant financial losses for the foreseeable future.</w:t>
      </w:r>
    </w:p>
    <w:p>
      <w:pPr>
        <w:spacing w:after="0" w:line="175" w:lineRule="exact"/>
        <w:rPr>
          <w:sz w:val="20"/>
          <w:szCs w:val="20"/>
          <w:color w:val="auto"/>
        </w:rPr>
      </w:pPr>
    </w:p>
    <w:p>
      <w:pPr>
        <w:ind w:left="120" w:firstLine="440"/>
        <w:spacing w:after="0" w:line="242" w:lineRule="auto"/>
        <w:rPr>
          <w:sz w:val="20"/>
          <w:szCs w:val="20"/>
          <w:color w:val="auto"/>
        </w:rPr>
      </w:pPr>
      <w:r>
        <w:rPr>
          <w:rFonts w:ascii="Times New Roman" w:cs="Times New Roman" w:eastAsia="Times New Roman" w:hAnsi="Times New Roman"/>
          <w:sz w:val="18"/>
          <w:szCs w:val="18"/>
          <w:color w:val="auto"/>
        </w:rPr>
        <w:t>We are a clinical-stage therapeutics company with a limited operating history. We were formed by PureTech Health plc, or PureTech, in April 2024 and our operations to date have been limited to organizing and staffing our company, business planning, raising capital, advancing our Glyph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and technology, identifying potential product candidates, securing intellectual property rights, and planning and undertaking preclinical studies and clinical trials. Our Glyph platform was being developed by members of our current team during their tenure at PureTech up to the date of our entry into an Asset Transfer Agreement , or the Asset Transfer Agreement, with PureTech Health LLC, or PureTech Health, and PureTech LYT, Inc., or PureTech LYT, at which time we became a standalone company. As such, our results of operations for the period from January 1, 2024 to April 7, 2024, which are included in the consolidated financial statements for the year ended December 31, 2024, have been carved out from the results of operations of PureTech that were attributable to operations related to our Glyph platform and our product candidates, based on management estimates, assumptions, and judgments about appropriate allocation and may not be indicative of what they would have been had we actually been an independent standalone entity throughout such period, nor are they necessarily indicative of our future results of operations, financial position, and cash flows.</w:t>
      </w:r>
    </w:p>
    <w:p>
      <w:pPr>
        <w:spacing w:after="0" w:line="196" w:lineRule="exact"/>
        <w:rPr>
          <w:sz w:val="20"/>
          <w:szCs w:val="20"/>
          <w:color w:val="auto"/>
        </w:rPr>
      </w:pPr>
    </w:p>
    <w:p>
      <w:pPr>
        <w:ind w:left="120" w:right="100" w:firstLine="440"/>
        <w:spacing w:after="0" w:line="227" w:lineRule="auto"/>
        <w:rPr>
          <w:sz w:val="20"/>
          <w:szCs w:val="20"/>
          <w:color w:val="auto"/>
        </w:rPr>
      </w:pPr>
      <w:r>
        <w:rPr>
          <w:rFonts w:ascii="Times New Roman" w:cs="Times New Roman" w:eastAsia="Times New Roman" w:hAnsi="Times New Roman"/>
          <w:sz w:val="18"/>
          <w:szCs w:val="18"/>
          <w:color w:val="auto"/>
        </w:rPr>
        <w:t>At Seaport, we have not yet demonstrated an ability to generate product or collaboration revenues, obtain regulatory approvals, manufacture any product on a commercial scale or arrange for a third party to do so on our behalf or conduct sales and marketing activities necessary for successful product commercialization. All preclinical and early clinical development of GlyphAllo</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(SPT-300), certain preclinical development of GlyphAgo</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(SPT-320) and our other candidates prior to our formation was conducted when we were part of PureTech. Despite our affiliation with PureTech, and members of our current team’s involvement in the development of the Glyph platform while at PureTech, our limited operating history as a standalone company makes any reliance on past performance uncertain. We will encounter risks and difficulties frequently experienced by early-stage therapeutics companies in rapidly evolving fields, and we have not yet demonstrated an ability to successfully overcome such risks and difficulties. If we do not address these risks and difficulties successfully, our business will suffer.</w:t>
      </w:r>
    </w:p>
    <w:p>
      <w:pPr>
        <w:spacing w:after="0" w:line="204"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success of our business depends primarily upon our ability to identify, develop, and commercialize product candidates based on our Glyph platform. We do not know whether we will be able to develop any product candidates that succeed through clinical development or to develop products of commercial value. We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have no products approved for commercial sale and have not generated any revenue from product sales or collaboration arrangements to date. We will continue to incur significant research and development and other expenses related to our preclinical and clinical development and ongoing operations. As a result, we are not profitable and have incurred losses in each period since our inception. Net losses and negative cash flows have had, and will continue to have, an adverse effect on our stockholders’ equity and working capital. Our net losses totaled $46.9 and $        million for the years ended December 31, 2024 and 2025, respectively. As of December 31, 2025, we have not yet generated product or collaboration revenue and had an accumulated deficit of $        . We expect to continue to incur significant losses for the foreseeable future, and we expect these losses to increase as we continue our research and development of, and seek regulatory approvals for, our product candidates. The success of our product candidates will depend on several factors, including the following:</w:t>
      </w:r>
    </w:p>
    <w:p>
      <w:pPr>
        <w:spacing w:after="0" w:line="97" w:lineRule="exact"/>
        <w:rPr>
          <w:sz w:val="20"/>
          <w:szCs w:val="20"/>
          <w:color w:val="auto"/>
        </w:rPr>
      </w:pPr>
    </w:p>
    <w:p>
      <w:pPr>
        <w:ind w:left="1080" w:right="3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and completion of preclinical studies with favorable results, including toxicology and other studies designed to be compliant with good laboratory practice, or GLP, requirements;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to proceed with clinical trials under Investigational New Drug applications, or INDs, by the United States Food and Drug Administration, or the FDA, or of similar regulatory submissions by comparable foreign regulatory authorities for the conduct of clinical trials of our product candidates;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enrollment, and completion of clinical studies in accordance with good clinical practice, or GCPs, requirements and other applicable rules and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 or AEs, observed in clinical trials;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establishing relationships with contract research organizations, or CROs, and clinical sites for the clinical development of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the safety and efficacy of our product candidates to the satisfaction of the FDA and other applicable regulatory authorities;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 including approvals of New Drug applications, or NDAs, from the FDA, and maintaining any such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for, or establishing, clinical or commercial manufacturing capabilities;</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 candidates, if and when approved, either alone or in collaboration with others;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establishing, and maintaining patent and trade secret protection or regulatory exclusivity for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our product candidates following regulatory approval, if any;</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people who can develop and, if approved, commercialize, market and sell our product candidates, if approved;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approved, by patients, the medical community and third-party payors.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131" w:lineRule="exact"/>
        <w:rPr>
          <w:sz w:val="20"/>
          <w:szCs w:val="20"/>
          <w:color w:val="auto"/>
        </w:rPr>
      </w:pPr>
    </w:p>
    <w:p>
      <w:pPr>
        <w:ind w:left="10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product candidates through preclinical and clinical development, including advancing GlyphAllo and GlyphAgo through later-stage clinical trials, and other candidates through discovery and early clinical and preclinical stages;</w:t>
      </w:r>
    </w:p>
    <w:p>
      <w:pPr>
        <w:spacing w:after="0" w:line="67" w:lineRule="exact"/>
        <w:rPr>
          <w:rFonts w:ascii="Times New Roman" w:cs="Times New Roman" w:eastAsia="Times New Roman" w:hAnsi="Times New Roman"/>
          <w:sz w:val="18"/>
          <w:szCs w:val="18"/>
          <w:color w:val="auto"/>
        </w:rPr>
      </w:pPr>
    </w:p>
    <w:p>
      <w:pPr>
        <w:ind w:left="1080" w:right="11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our product candidates that successfully complete clinical trials from the U.S. Food and Drug Administration, or the FDA, and/or other foreign comparable regulatory authorities;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medical, scientific, and other technical personnel to support the clinical development of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internal capabilities to support clinical-stage development;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headcount as we expand our research and development organization, and pre-commercial planning activities;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any activities to establish sales, marketing, and distribution capabilities in preparation for commercialization, as applicable, including hiring additional personnel to support such operations;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acquire, and develop additional product candidates where we can leverage our Glyph platform, including through business development efforts to invest in or in-license other technologies or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heightened regulatory scrutiny;</w:t>
      </w:r>
    </w:p>
    <w:p>
      <w:pPr>
        <w:spacing w:after="0" w:line="130" w:lineRule="exact"/>
        <w:rPr>
          <w:rFonts w:ascii="Times New Roman" w:cs="Times New Roman" w:eastAsia="Times New Roman" w:hAnsi="Times New Roman"/>
          <w:sz w:val="18"/>
          <w:szCs w:val="18"/>
          <w:color w:val="auto"/>
        </w:rPr>
      </w:pPr>
    </w:p>
    <w:p>
      <w:pPr>
        <w:ind w:left="1080" w:right="760" w:hanging="424"/>
        <w:spacing w:after="0" w:line="312" w:lineRule="auto"/>
        <w:tabs>
          <w:tab w:leader="none" w:pos="10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milestone, royalty, or other payments due under the Asset Transfer Agreement and/or the License Agreement with Monash University, or the Monash License Agreement, and any future in-license or collaboration agreements with third parties; and</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associated with operating as a public company.</w:t>
      </w:r>
    </w:p>
    <w:p>
      <w:pPr>
        <w:spacing w:after="0" w:line="225"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Therapeutic product development entails substantial upfront capital expenditures and significant risk that any potential product candidate will fail to demonstrate adequate efficacy or an acceptable safety profile, gain regulatory approval, secure market access, and reimbursement and become commercially viable, and therefore any investment in us is highly speculative. Accordingly, before making an investment in us, you should consider our prospects, factoring in the costs, uncertainties, delays, and difficulties frequently encountered by companies in clinical development, especially clinical-stage therapeutics companies such as ours. Any predictions you make about our future success or viability may not be as accurate as they would otherwise be if we had a longer operating history or a history of successfully developing and commercializing pharmaceutical products. We may encounter unforeseen expenses, difficulties, complications, delays, and other known or unknown factors in achieving our business objectives.</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Additionally, our expenses could increase beyond our expectations if we are required by the FDA or other comparable regulatory authorities to perform clinical trials in addition to those that we currently expect, or if there are any delays in establishing appropriate manufacturing arrangements for or in completing our clinical trials or the development of any of our product candidates.</w:t>
      </w:r>
    </w:p>
    <w:p>
      <w:pPr>
        <w:spacing w:after="0" w:line="172" w:lineRule="exact"/>
        <w:rPr>
          <w:sz w:val="20"/>
          <w:szCs w:val="20"/>
          <w:color w:val="auto"/>
        </w:rPr>
      </w:pPr>
    </w:p>
    <w:p>
      <w:pPr>
        <w:ind w:left="120" w:right="26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Even if this offering is successful, 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13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Developing therapeutic products, including conducting preclinical studies and clinical trials, is a very time-consuming, expensive, and uncertain process that takes years to complete. We expect our expenses to continue to increase in connection with our ongoing activities, particularly as we conduct clinical trials of, and seek regulatory approval for, our product candidates. Even if our current or future product candidates are approved for commercial sale, we anticipate incurring significant costs associated with commercializing any approved product candidate. To date, we have funded our operations principally through private financings. We expect our expenses to increase in connection with our ongoing activities, particularly as we continue the clinical and preclinical development of our product candidates, continue to identify additional targets using our Glyph platform, commence additional preclinical studies and clinical trials, and continue to identify and develop additional product candidates either through internal development or through acquisitions or in-licensing product candidates.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As of December 31, 2025, we had $        million of cash, cash equivalents and investments. Based upon our current operating plan, we believe that our existing cash, cash equivalents, and investments, together with the net proceeds from this offering, will enable us to fund our operating expenses and capital expenditure requirements through        . We have based this estimate on assumptions that may prove to be wrong, and we could utilize our available capital resources sooner than we expect. We may also raise additional financing on an opportunistic basis in the future. For example,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future capital requirements will depend on many factors, including but not limited to:</w:t>
      </w:r>
    </w:p>
    <w:p>
      <w:pPr>
        <w:spacing w:after="0" w:line="77" w:lineRule="exact"/>
        <w:rPr>
          <w:sz w:val="20"/>
          <w:szCs w:val="20"/>
          <w:color w:val="auto"/>
        </w:rPr>
      </w:pPr>
    </w:p>
    <w:p>
      <w:pPr>
        <w:ind w:left="1080" w:right="3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costs, and results of discovery, preclinical development and clinical trials for our current or future product candidates and effectiveness of our Glyph platform;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trials required for regulatory approval of our current or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any of our current or future product candidates;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acquiring or licensing additional product candidates, technologies or assets, including the timing and amount of any milestones, royalties or other payments due in connection with our acquisitions and licenses, as applicable;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and commercial supplies of our current or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81" w:lineRule="exact"/>
        <w:rPr>
          <w:rFonts w:ascii="Times New Roman" w:cs="Times New Roman" w:eastAsia="Times New Roman" w:hAnsi="Times New Roman"/>
          <w:sz w:val="18"/>
          <w:szCs w:val="18"/>
          <w:color w:val="auto"/>
        </w:rPr>
      </w:pPr>
    </w:p>
    <w:p>
      <w:pPr>
        <w:ind w:left="1080" w:right="480" w:hanging="424"/>
        <w:spacing w:after="0" w:line="312" w:lineRule="auto"/>
        <w:tabs>
          <w:tab w:leader="none" w:pos="10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existing, and establish new, strategic collaborations or other arrangements and the financial terms of any such agreements, including the timing and amount of any future milestone, royalty, or other payments due under any such agreement;</w:t>
      </w:r>
    </w:p>
    <w:p>
      <w:pPr>
        <w:spacing w:after="0" w:line="45" w:lineRule="exact"/>
        <w:rPr>
          <w:rFonts w:ascii="Times New Roman" w:cs="Times New Roman" w:eastAsia="Times New Roman" w:hAnsi="Times New Roman"/>
          <w:sz w:val="17"/>
          <w:szCs w:val="17"/>
          <w:color w:val="auto"/>
        </w:rPr>
      </w:pPr>
    </w:p>
    <w:p>
      <w:pPr>
        <w:ind w:left="1080" w:right="3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manufacturing, marketing, sales, and distribution, for any of our product candidates for which we receive marketing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to attract, hire, and retain skilled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 commercially viable pricing structure and obtain approval for coverage and adequate reimbursement from third-party and government payors;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macroeconomic trends including inflation, tariffs, and fluctuating interest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potential supply chain interruptions or delays;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and development of product candidates, we are unable to predict the timing or amount of our working capital requirements. In addition, if we obtain regulatory approval for our product candidates, we expect to incur significant commercialization expenses related to product manufacturing, marketing, sales, and distribution which make it difficult to predict when or if we will be able to achieve or maintain profitability. Furthermore, upon the completion of this offering, we expect to incur additional costs associated with operating as a public company. Accordingly, we will need to obtain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substantial additional funding in order to support our continuing operations. Our ability to raise additional funds will depend on financial, economic, political and market conditions and other factors, over which we may have no or limited control. Additional funds may not be available when we need them, on terms that are acceptable to us, or at all. If we fail to obtain necessary capital when needed on acceptable terms, or at all, it could force us to delay, limit, reduce, or terminate our product development programs, future commercialization efforts or other operations.</w:t>
      </w:r>
    </w:p>
    <w:p>
      <w:pPr>
        <w:spacing w:after="0" w:line="176" w:lineRule="exact"/>
        <w:rPr>
          <w:sz w:val="20"/>
          <w:szCs w:val="20"/>
          <w:color w:val="auto"/>
        </w:rPr>
      </w:pPr>
    </w:p>
    <w:p>
      <w:pPr>
        <w:ind w:left="120" w:right="4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product candidates.</w:t>
      </w:r>
    </w:p>
    <w:p>
      <w:pPr>
        <w:spacing w:after="0" w:line="15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with our existing cash, cash equivalents, and investments, the net proceeds from this offering, any future equity, debt, royalty, or other financings and upfront and milestone and royalty payments, if any, received under any future licenses or collaborations. If we raise additional capital through the sale of equity or convertible debt securities, or issue any equity or convertible debt securities in connection with a collaboration agreement or other contractual arrangement, your ownership interest will be diluted, and the terms of these securities may include liquidation or other preferences that adversely affect your rights as a holder of our common stock. In addition, the possibility of such issuance may cause the market price of our common stock to decline. Debt financing, if available, may result in increased fixed payment obligations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 If we raise additional funds through collaborations, strategic alliances, or marketing, distribution, or licensing arrangements with third parties, we may have to relinquish valuable rights to our intellectual property, technologies, future revenue streams, or product candidates, or grant licenses on terms that may not be favorable to us. We could also be required to seek funds through arrangements with collaborators, or others at an earlier stage than otherwise would be desirable. Attempting to secure additional financing may also divert management from our day-to-day activities. Any of these occurrences may have a material adverse effect on our business, financial condition, results of operations, and prospects.</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the success of our product candidates, particularly GlyphAllo for the treatment of major depressive disorder, or MDD, with or without anxious distress and GlyphAgo for the treatment of generalized anxiety disorder, or GAD, and MDD. If we are unable to successfully complete clinical development, obtain regulatory approval for or commercialize one or more of our product candidates, or if we experience delays in doing so, our business will be materially harmed.</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To date, as an organization, we have not completed the development of any product candidates and nearly all of our candidates remain in early-stage clinical or preclinical development. Our future success and ability to generate revenue from our product candidates is dependent on our ability to successfully develop, obtain regulatory approval for, and commercialize one or more of our product candidates. All of our product candidates that we pursue will require substantial additional investment for clinical development, regulatory review, and approval in one or more jurisdictions. If any of our product candidates, particularly GlyphAllo for MDD with or without anxious distress, and GlyphAgo for GAD and MDD, encounters safety or efficacy problems, development delays or regulatory issues, or other problems, our development plans and business would be materially harmed.</w:t>
      </w:r>
    </w:p>
    <w:p>
      <w:pPr>
        <w:spacing w:after="0" w:line="18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We may not have the financial resources to continue development of our product candidates if we experience any issues that delay or prevent regulatory approval of, or our ability to commercialize, our product candidates, including:</w:t>
      </w:r>
    </w:p>
    <w:p>
      <w:pPr>
        <w:spacing w:after="0" w:line="67" w:lineRule="exact"/>
        <w:rPr>
          <w:sz w:val="20"/>
          <w:szCs w:val="20"/>
          <w:color w:val="auto"/>
        </w:rPr>
      </w:pPr>
    </w:p>
    <w:p>
      <w:pPr>
        <w:ind w:left="1080" w:right="1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other comparable regulatory authorities that our product candidates are safe and effective;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insufficiency of our financial and other resources to complete the necessary clinical trials and preclinical studies;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preclinical studies, or the clinical trials of others for product candidates similar to ours, leading to a decision or requirement to conduct additional clinical trials or preclinical studies, or abandon a program;</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AEs experienced by subjects in our clinical trials, including unexpected toxicity results, or by individuals using drugs or therapeutic biologics similar to our product candidates;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an IND application, a New Drug Application, or an NDA, or other regulatory submission to the FDA or other comparable regulatory authorities, delays or failure in obtaining the necessary approvals from regulators to commence a clinical trial, or a suspension, termination, or hold, of a clinical trial once commenced;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other comparable regulatory authorities regarding the scope or design of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effectiveness of our product candidates during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subjects in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subjects from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product candidates or other materials necessary for the conduct of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clinical trial or manufacturing costs;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comparable regulatory authority inspection and review of our clinical trial sites, manufacturing sites, or those of our partners;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the clinical trial protocol or otherwise meet their contractual obligations in a timely manner, or at all;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existing platforms, product candidates, or therapies;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policies, and guidelines, including the imposition of additional regulatory oversight around clinical testing generally or with respect to our therapies in particular;</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insufficiency of our financial and other resources to complete the necessary activities to prepare for launch, commercialization and/or resources to address coverage and reimbursement matters to the extent any of our products receive approval;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or other comparable regulatory authorities.</w:t>
      </w:r>
    </w:p>
    <w:p>
      <w:pPr>
        <w:spacing w:after="0" w:line="221"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and preclinical development involves a lengthy and expensive process and is highly uncertain. Any difficulties or delays in the commencement or completion, or the termination or suspension, of our current or planned clinical trials could result in increased costs to us, delay or limit our ability to generate revenue or adversely affect our commercial prospects.</w:t>
      </w:r>
    </w:p>
    <w:p>
      <w:pPr>
        <w:spacing w:after="0" w:line="17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Before obtaining approval from regulatory authorities for the commercialization of any of our product candidates, we must conduct extensive clinical trials to demonstrate the safety and efficacy of the product candidate in humans. Before we can initiate clinical trials for any product candidates, we must submit the results of preclinical studies to the FDA or other comparable regulatory authorities along with other information, including information about product candidate chemistry, manufacturing and controls, and our proposed clinical trial protocol, as part of an IND or similar regulatory submission. The FDA or other comparable regulatory authorities may require us to conduct additional preclinical studies for any product candidate before it allows us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to initiate clinical trials under any IND or similar regulatory submission, which may lead to delays and increase the costs of our preclinical development programs. Moreover, even if we commence clinical trials, issues may arise that could cause regulatory authorities to suspend or terminate such clinical trials. Any such delays in the commencement or completion of our ongoing and planned clinical trials for our product candidates could significantly affect our product development timelines and product development costs and harm our financial position.</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do not know whether our planned clinical trials will begin on time or be completed on schedule, if at all. The timing for commencement, data readouts, and completion of clinical trials can be delayed for a number of reasons, including delays related to:</w:t>
      </w:r>
    </w:p>
    <w:p>
      <w:pPr>
        <w:spacing w:after="0" w:line="65" w:lineRule="exact"/>
        <w:rPr>
          <w:sz w:val="20"/>
          <w:szCs w:val="20"/>
          <w:color w:val="auto"/>
        </w:rPr>
      </w:pPr>
    </w:p>
    <w:p>
      <w:pPr>
        <w:ind w:left="1080" w:right="240" w:hanging="424"/>
        <w:spacing w:after="0" w:line="284"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or continuation of clinical trials;</w:t>
      </w:r>
    </w:p>
    <w:p>
      <w:pPr>
        <w:spacing w:after="0" w:line="65"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allowance or approval from regulatory authorities to commence a trial or reaching a consensus with regulatory authorities on trial design;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regulatory authorities disagreeing as to the design or implementation of our clinical trials;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recruiting, and training suitable clinical investigators;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from one or more institutional review boards, or IRBs, or ethics committees at clinical trial sites;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IRBs refusing to approve, suspending, or terminating the trial at an investigational site, precluding enrollment of additional subjects, or withdrawing their approval of the trial;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amendments to the clinical trial protocol;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the trial protocol or dropping out of a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to perform in accordance with GCP requirements or applicable regulatory rules and guidelines in other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our product candidates for use in clinical trials;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failing to enroll or remain in our trials at the rate we expect, or failing to return for post-treatment follow-up, including subjects failing to remain in our trials;</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choosing an alternative product for the indications for which we are developing our product candidates, or participating in competing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a clinical trial or costs being greater than we anticipate;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experiencing severe or serious unexpected drug-related AEs;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AEs in trials of the same class of agents conducted by other companies that could be considered similar to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extended analysis of the resulting data;</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manufacturing processes to larger-scale facilities operated by a contract manufacturing organization, or CMO, delays or failure by our CMOs or us to make any necessary changes to such manufacturing process, or failure of our CMOs to produce clinical trial materials in accordance with current Good Manufacturing Practice, or cGMP, regulations or other applicable requirements;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being unwilling or unable to satisfy their contractual obligations to us in a timely manner.</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60"/>
          </w:cols>
          <w:pgMar w:left="320" w:top="455" w:right="5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Clinical trials must be conducted in accordance with the FDA and other comparable regulatory authorities’ legal requirements, regulations, and guidelines, and remain subject to oversight by these governmental agencies and ethics committees or IRBs at the medical institutions where such clinical trials are conducted. We could also encounter delays if a clinical trial is suspended or terminated by us, by the IRBs of the institutions in which such trials are being conducted, by a Data Safety Monitoring Board for such trial, or by the FDA or other comparable regulatory authorities. Such authorities may impose such a suspension or termination due to a number of factors, including failure to conduct the clinical trial in accordance with regulatory requirements or applicable clinical trial protocols, adverse findings from inspections of clinical trial sites by the FDA or other comparable regulatory authorities, unforeseen safety issues or adverse side effects, failure to demonstrate a benefit from using a product candidate,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regulators or to IRBs for reexamination, which may impact the costs, timing or successful completion of a clinical trial.</w:t>
      </w:r>
    </w:p>
    <w:p>
      <w:pPr>
        <w:spacing w:after="0" w:line="17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Further, conducting clinical trials in foreign countries, as we are currently doing and may do for our current or future product candidates, presents additional risks that may delay completion of our clinical trials. These risks include the failure of enrolled subjects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w:t>
      </w:r>
    </w:p>
    <w:p>
      <w:pPr>
        <w:spacing w:after="0" w:line="180"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addition, many of the factors that cause or lead to the termination, suspension of, or a delay in the commencement or completion of clinical trials may also ultimately lead to the denial of regulatory approval of a product candidate. Any resulting delays to our clinical trials could shorten any period during which we may have the exclusive right to commercialize our product candidates. In such cases, our competitors may be able to bring products to market before we do, and the commercial viability of our product candidates could be significantly reduced. Any of these occurrences may harm our business, financial condition, results of operations, and prospects.</w:t>
      </w:r>
    </w:p>
    <w:p>
      <w:pPr>
        <w:spacing w:after="0" w:line="179"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the significant resources required for the development of our pipeline and uncertainty regarding our ability to access capital, we must prioritize the development of certain product candidates over others. Moreover, we may fail to expend our limited resources on product candidates or indications that may have been more profitable or for which there is a greater likelihood of success.</w:t>
      </w:r>
    </w:p>
    <w:p>
      <w:pPr>
        <w:spacing w:after="0" w:line="17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seek to invent and develop new medicines for patients with depression, anxiety, and other debilitating neuropsychiatric disorders. Our lead product candidate, GlyphAllo for the treatment of MDD, with or without anxious distress, has been evaluated in Phase 1 and Phase 2a studies in healthy volunteers and is currently in Phase 2b clinical development in our BUOY-1 trial. Our second product candidate, GlyphAgo, is being evaluated in a key proof-of-concept Phase 1 clinical study, our third product candidate, Glyph2BLSD is in preclinical studies and our other programs are at various stages of discovery and preclinical development.</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therapeutic areas, or indications may not lead to the development of viable commercial products and may divert resources away from better opportunities. If we make incorrect determinations regarding the viability or market potential of any of our product candidates or misread trends in the pharmaceutical industry, in particular for disorders of the brain and nervous system, our business, financial condition, and results of operations could be materially and adversely affected. As a result, we may fail to capitalize on viable commercial products or profitable market opportunities, be required to forego or delay pursuit of opportunities with other product candidates or other diseases and disease pathways that may later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prove to have greater commercial potential than those we choose to pursue, or relinquish valuable rights to such product candidates through collaboration, licensing, or royalty arrangements in cases in which it would have been advantageous for us to invest additional resources to retain sole development and commercialization rights.</w:t>
      </w:r>
    </w:p>
    <w:p>
      <w:pPr>
        <w:spacing w:after="0" w:line="172"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third parties on which we rely, and our service providers are, or may become, subject to a variety of stringent and evolving privacy and data security laws, regulations, and rules, contractual obligations, industry standards, policies, and other obligations related to privacy and data security. Any actual or perceived failure to comply with such obligations could expose us to significant fines or other penalties and otherwise harm our business and operations.</w:t>
      </w:r>
    </w:p>
    <w:p>
      <w:pPr>
        <w:spacing w:after="0" w:line="180"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(such as our third-party CROs, and other contractors and consultants) collect, receive, store, process, generate, use, transfer, disclose, make accessible, protect, secure, dispose of, transmit, and share, or, collectively, process, personal data and other sensitive information, including proprietary and confidential business data, trade secrets, intellectual property, sensitive third-party data, business plans, transactions, financial information, and data we collect about trial participants in connection with clinical trials, or, collectively, sensitive data. Our data processing activities subject us to numerous evolving privacy and data security obligations, such as various laws, regulations, guidance, industry standards, external and internal privacy and security policies, contractual requirements, and other obligations relating to privacy and data security.</w:t>
      </w:r>
    </w:p>
    <w:p>
      <w:pPr>
        <w:spacing w:after="0" w:line="18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legislative and regulatory framework for the processing of personal data worldwide is rapidly evolving and is likely to remain uncertain for the foreseeable future. Numerous federal, state, and local laws and regulations, including federal and state information security and data breach notification laws and regulations, federal and state consumer protection laws (e.g., Section 5 of the Federal Trade Commission Act), and other similar laws (e.g., wiretapping laws) govern the processing of health-related and other personal data. Many of these laws and regulations differ from each other and from the Health Insurance Portability and Accountability Act of 1996, or HIPAA, thus complicating compliance efforts. Failure to comply with these laws, where applicable, can result in the imposition of significant civil and/or criminal penalties, private litigation, and injunctive relief. In the event that we are subject to or affected by HIPAA or other domestic privacy and data protection laws, any liability from failure to comply with the requirements of these laws could adversely affect our financial condition.</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At the state level, numerous U.S. states have enacted comprehensive privacy laws that impose certain obligations on covered businesses, including providing specific disclosures in privacy notices and affording individuals certain rights concerning their personal data. Similar laws are being considered in several other states, as well as at the federal and local levels, and we expect more states to pass similar laws in the future. While the comprehensive privacy laws that are in effect at the state level generally exempt certain data processed in the context of clinical trials, the continued development of new privacy laws at the state level may further complicate compliance efforts, and increase legal risk and compliance costs for us and the third parties upon whom we rely. Further proposed privacy legislation, if enacted, may add additional complexity, variation in requirements, restrictions and potential legal risk, require additional investment of resources in compliance programs, impact strategies and the availability of data and information that could be of potential use to the growth and development of our business, and could result in increased compliance costs and/or the necessity of making changes in our business practices and policies. The continued further development of privacy laws in different states in the country would make our compliance obligations more complex and costly and may increase the likelihood that we may be subject to enforcement actions or otherwise incur liability for noncompliance.</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Additionally, we may be subject to new laws governing the privacy of certain specific types of data, including, most notably, consumer health data. For example, Washington State’s My Health My Data Act broadly defines consumer health data, creates a private right of action to allow individuals to sue for violations of the law, imposes stringent consent requirements, and grants consumers certain rights with respect to their health data, including to request deletion of their information. Connecticut and Nevada have also passed similar laws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spacing w:after="0" w:line="289" w:lineRule="auto"/>
        <w:rPr>
          <w:sz w:val="20"/>
          <w:szCs w:val="20"/>
          <w:color w:val="auto"/>
        </w:rPr>
      </w:pPr>
      <w:r>
        <w:rPr>
          <w:rFonts w:ascii="Times New Roman" w:cs="Times New Roman" w:eastAsia="Times New Roman" w:hAnsi="Times New Roman"/>
          <w:sz w:val="17"/>
          <w:szCs w:val="17"/>
          <w:color w:val="auto"/>
        </w:rPr>
        <w:t>regulating consumer health data. State laws are changing rapidly and there is ongoing discussion in the U.S. Congress of a new comprehensive federal data privacy law to which we would likely become subject, if enacted. These various privacy and data security laws may impact our business activities, including our identification of research subjects, relationships with business partners, and ultimately the marketing and distribution of our products.</w:t>
      </w:r>
    </w:p>
    <w:p>
      <w:pPr>
        <w:spacing w:after="0" w:line="158"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may govern privacy and data security. For example, the European Union’s General Data Protection Regulation, or EU GDPR, and the United Kingdom’s, or UK’s, GDPR, or UK GDPR, impose strict requirements for processing personal data. The EU GDPR and the UK GDPR, or together, GDPR, establish stringent requirements regarding the processing of personal data, including strict requirements relating to processing of sensitive data (such as health data), ensuring there is a legal basis or condition to justify the processing of personal data, where required strict requirements relating to obtaining consent of individuals, expanded disclosures about how personal data is to be used, limitations on retention of information, implementing safeguards to protect the security and confidentiality of personal data, where required providing notification of data breaches, maintaining records of processing activities, and documenting data protection impact assessments where there is high risk processing and taking certain measures when engaging third-party processors.</w:t>
      </w:r>
    </w:p>
    <w:p>
      <w:pPr>
        <w:spacing w:after="0" w:line="192"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Under GDPR, companies may face temporary or definitive bans on data processing and other corrective activities, fines of up to €20 million (£17.5 million GBP) or 4% of annual global revenues, whichever is greater, and private litigation related to processing of personal data brought by classes of data subjects or consumer protection organizations authorized at law to represent their interests. Non-compliance could also result in a material adverse effect on our business, financial condition, and results of operations.</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or EEA, and the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 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activist groups. Some European regulators have ordered certain companies to suspend or permanently cease certain transfers of personal data out of Europe for allegedly violating the GDPR’s cross-border data transfer limitations.</w:t>
      </w:r>
    </w:p>
    <w:p>
      <w:pPr>
        <w:spacing w:after="0" w:line="193"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In addition to privacy and data security laws, we are contractually subject to industry standards adopted by industry groups and may become subject to such obligations in the future. We are also bound by other contractual obligations related to privacy and data security, and our efforts to comply with such obligations may not be successful. We may publish privacy policies and marketing materials, and other statements, such as compliance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with certain certifications or self-regulatory principles, regarding privacy and data security. If these policies, materials or statements are found to be deficient, lacking in transparency, deceptive, unfair, or misrepresentative of our practices, we may be subject to investigation, enforcement actions by regulators, or other adverse consequences. Obligations related to privacy and data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privacy and data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privacy and data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financial condition, or results of operations,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Current or Future Product Candidates</w:t>
      </w:r>
    </w:p>
    <w:p>
      <w:pPr>
        <w:spacing w:after="0" w:line="117" w:lineRule="exact"/>
        <w:rPr>
          <w:sz w:val="20"/>
          <w:szCs w:val="20"/>
          <w:color w:val="auto"/>
        </w:rPr>
      </w:pPr>
    </w:p>
    <w:p>
      <w:pPr>
        <w:ind w:left="120" w:right="16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and other comparable regulatory authorities are lengthy, time-consuming and inherently unpredictable, and if we are ultimately unable to obtain regulatory approval for our product candidates, our business will be substantially harmed.</w:t>
      </w:r>
    </w:p>
    <w:p>
      <w:pPr>
        <w:spacing w:after="0" w:line="13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United States without obtaining regulatory approval from the FDA. Other comparable regulatory authorities impose similar requirements. The time required to obtain approval by the FDA or other comparable regulatory authorities is inherently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For instance, jurisdictions outside of the United States, such as the EU, may have different requirements for regulatory approval, which may require us to conduct additional clinical, nonclinical, or chemistry, manufacturing, and control studies. To date, we have not submitted an NDA to the FDA or similar drug approval submissions to other comparable regulatory authorities for any product candidate. We must complete additional preclinical studies and clinical trials to demonstrate the safety and efficacy of our product candidates in humans before we will be able to obtain these approvals.</w:t>
      </w:r>
    </w:p>
    <w:p>
      <w:pPr>
        <w:spacing w:after="0" w:line="194"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inherently uncertain as to outcome. We cannot guarantee that our clinical trials will be conducted as planned or completed on schedule, if at all. The clinical development of our initial and potential additional product candidates is susceptible to the risk of failure inherent at any stage of development, including failure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demonstrate efficacy in a clinical trial or across a broad population of patients, the occurrence of AEs that are severe or medically or commercially unacceptable, failure to comply with protocols or applicable regulatory requirements and determination by the FDA or other comparable regulatory authorities that a product candidate may not continue development or is not approvable. It is possible that even if any of our product candidates have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such product candidate that is greater than the actual positive effect, if any. Similarly, in our clinical trials we may fail to detect toxicity of, or intolerability caused by, such product candidate, or mistakenly believe that our product candidates are toxic or not well tolerated when that is not in fact the case. Serious AEs or other AEs, as well as tolerability issues, could hinder or prevent market acceptance of the product candidate at issue.</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current and future product candidates could fail to receive regulatory approval for many reasons, including the following:</w:t>
      </w:r>
    </w:p>
    <w:p>
      <w:pPr>
        <w:spacing w:after="0" w:line="131"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regulatory authorities may disagree as to the design or implementation of our clinical trials;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other comparable regulatory authorities that a product candidate is safe and effective for its proposed indication;</w:t>
      </w:r>
    </w:p>
    <w:p>
      <w:pPr>
        <w:spacing w:after="0" w:line="67"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other comparable regulatory authorities for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regulatory authorities may disagree with our interpretation of data from clinical trials or preclinical studies;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to the FDA or other submission or to obtain regulatory approval in the United States, the European Union or elsewhere;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regulatory authorities may find deficiencies with or fail to approve the manufacturing processes or facilities of third-party manufacturers with which we contract for clinical and commercial supplies;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other comparable regulatory authorities may significantly change in a manner rendering our clinical data insufficient for approval.</w:t>
      </w:r>
    </w:p>
    <w:p>
      <w:pPr>
        <w:spacing w:after="0" w:line="162"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clinical trial results may result in our failing to obtain regulatory approval to market any product candidate we develop, which would substantially harm our business, results of operations and prospects. The FDA and other comparable regulatory authorities have substantial discretion in the approval process and determining when or whether regulatory approval will be granted for any product candidate that we develop. Even if we believe the data collected from future clinical trials of our product candidates are promising, such data may not be sufficient to support approval by the FDA or other comparable regulatory authorities. Furthermore, the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w:t>
      </w:r>
    </w:p>
    <w:p>
      <w:pPr>
        <w:spacing w:after="0" w:line="19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successful commercialization of that product candidate. Any of the foregoing scenarios could materially harm the commercial prospects for our product candidates.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FDA and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Council of the EU and the proposals may therefore be substantially revised before adoption, which is not anticipated before early 2026. The revisions may, however, have a significant impact on the pharmaceutical industry and our business in the long term.</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FDA or other comparable regulatory authorities may disagree with our regulatory plan for our product candidates.</w:t>
      </w:r>
    </w:p>
    <w:p>
      <w:pPr>
        <w:spacing w:after="0" w:line="22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general approach for FDA approval of a new drug is dispositive data from two or more adequate and well-controlled clinical trials of the product candidate in the relevant patient population. Adequate and well-controlled clinical trials typically involve a large number of patients, have significant costs and take years to complete. The FDA or other comparable regulatory authorities may disagree with us about whether a clinical trial is adequate and well-controlled or may request that we conduct additional clinical trials prior to regulatory approval. In addition, there is no assurance that the doses, endpoints, and trial designs that we intend to use for our planned clinical trials, including those that we have developed based on feedback from regulatory agencies or those that have been used for the approval of similar drugs, will be acceptable for future approvals. For instance, if we elect to pursue an indication of MDD with anxious distress, we will need to be able to reliably and consistently identify this sub-population of MDD patients, and we will need to demonstrate that GlyphAllo has a differentiated effect in these patients. However, the FDA may not agree with our proposed development plans, and our clinical trial results may not support approval of our product candidates for our target indications. In addition, our product candidates could fail to receive regulatory approval, or regulatory approval could be delayed, for many reasons, including the following:</w:t>
      </w:r>
    </w:p>
    <w:p>
      <w:pPr>
        <w:spacing w:after="0" w:line="100"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regulatory authorities may not file or accept our NDA or marketing application for substantive review;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regulatory authorities may disagree with the dosing regimen, design, or implementation of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regulatory authorities may determine there is not substantial evidence of effectiveness to support approval;</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other comparable regulatory authorities that our product candidates are safe and effective for any of their proposed indications;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significance required by the FDA or other comparable regulatory authorities for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product candidates’ clinical and other benefits outweigh their safety risks;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regulatory authorities may disagree with our interpretation of data from preclinical studies or clinical trials;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the satisfaction of the FDA or other comparable regulatory authorities to support the submission of an NDA or other comparable submission in foreign jurisdictions or to obtain regulatory approval in the United States or elsewhere;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regulatory authorities may find deficiencies with or fail to approve the manufacturing processes or facilities of third-party manufacturers with which we contract for clinical and commercial supplies;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other comparable regulatory authorities may significantly change in a manner rendering our clinical data insufficient for approval.</w:t>
      </w:r>
    </w:p>
    <w:p>
      <w:pPr>
        <w:spacing w:after="0" w:line="158"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Glyph platform is based on a novel approach that may not result in approvable or marketable products, which exposes us to unforeseen risks and makes it difficult for us to predict the time and cost of product development and potential for regulatory approval.</w:t>
      </w:r>
    </w:p>
    <w:p>
      <w:pPr>
        <w:spacing w:after="0" w:line="15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 key element of our strategy is utilizing our proprietary Glyph platform, which is designed to leverage the lymphatic system to enable and enhance the oral administration of drugs, avoid first-pass liver metabolism and reduce side effects that have previously impeded the development of certain active drugs. Despite favorable results in third-party clinical trials of the active moiety that is chemically identical to the active moiety within our product candidates and the favorable results in clinical trials of our molecules and mechanisms to date, the scientific research that forms the basis of our approach is still ongoing. Each of our current product candidates utilizes our Glyph platform. As a result, we are exposed to a number of unforeseen risks related to our Glyph platform, and these risks could impact each of our product candidates.</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Although our research and development efforts to date have resulted in a development portfolio of programs and product candidates, we may not be able to discover or identify additional candidates that could appropriately utilize our Glyph platform and thus not be able to develop product candidates to expand our development portfolio. Even if we are successful in continuing to build and expand our development portfolio, the potential product candidates that we identify may not be successful in clinical development. For example, even though our Glyph platform is intended to reduce certain side effects, our product candidates may nonetheless be shown to have harmful side effects or other characteristics that indicate that they are unlikely to offer an improvement over standard of care or receive marketing approval and achieve market acceptance. If we do not successfully develop and commercialize product candidates, we will not be able to obtain drug revenues in future periods, which likely would result in significant harm to our financial position and adversely affect our stock price.</w:t>
      </w:r>
    </w:p>
    <w:p>
      <w:pPr>
        <w:spacing w:after="0" w:line="188"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clinical trials fail to replicate positive results from earlier preclinical studies or clinical trials conducted by us or third parties, we may be unable to successfully develop, obtain regulatory approval for or commercialize our product candidates.</w:t>
      </w:r>
    </w:p>
    <w:p>
      <w:pPr>
        <w:spacing w:after="0" w:line="159"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results observed from preclinical studies or early-stage clinical trials of our product candidates may not necessarily be predictive of the results of later-stage clinical trials that we conduct. Similarly, positive results from such preclinical studies or early-stage clinical trials may not be replicated in our subsequent preclinical studies or clinical trials. For instance, results seen in preclinical animal models may not translate to similar results in patients, and results from our initial studies in healthy volunteers may not translate to clinical trials in patients with MDD or GAD.</w:t>
      </w:r>
    </w:p>
    <w:p>
      <w:pPr>
        <w:spacing w:after="0" w:line="180"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There can be no assurance that any of our clinical trials will ultimately be successful or support further clinical development of any of our product candidates. There is a high failure rate for drugs proceeding through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AEs. Additionally, GlyphAllo is a novel, Glyphed oral prodrug of allopregnanolone, an endogenous neurosteroid with a well-established, clinically validated antidepressant, anxiolytic, and sleep-promoting effect, and GlyphAgo is a novel, Glyphed oral prodrug of agomelatine, a clinically validated antidepressant and anxiolytic. We may be unable to replicate the previous clinical efficacy observed with such molecules in clinical trials utilizing our Glyph platform.</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Additionally, we may in the future utilize an “open-label” clinical trial design for certain of our future clinical trials. An “open-label” clinical trial is one where both the patient and investigator know whether the patient is receiving the investigational product candidate or either an existing approved drug or placebo. Most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of a product candidate when studied in a controlled environment with a placebo or active control.</w:t>
      </w:r>
    </w:p>
    <w:p>
      <w:pPr>
        <w:spacing w:after="0" w:line="188"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or other comparable regulatory authority approval.</w:t>
      </w:r>
    </w:p>
    <w:p>
      <w:pPr>
        <w:spacing w:after="0" w:line="172" w:lineRule="exact"/>
        <w:rPr>
          <w:sz w:val="20"/>
          <w:szCs w:val="20"/>
          <w:color w:val="auto"/>
        </w:rPr>
      </w:pPr>
    </w:p>
    <w:p>
      <w:pPr>
        <w:ind w:left="120" w:right="13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unexpected costs or experience delays in completing, or ultimately be unable to complete, the development and commercialization of our product candidates.</w:t>
      </w:r>
    </w:p>
    <w:p>
      <w:pPr>
        <w:spacing w:after="0" w:line="15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To obtain the requisite regulatory approvals to commercialize any of our product candidates, we must demonstrate through extensive preclinical studies and clinical trials that our product candidates are safe and effective in humans. We have and may in the future experience delays in our clinical trials or preclinical studies and initiating or completing additional clinical trials or preclinical studies, including as a result of regulators not allowing or delay in allowing clinical trials to proceed under an IND or similar foreign authorization (e.g. regulatory hold), or not approving or delaying approval for any clinical trial grant or similar approval we need to initiate a clinical trial or a hold on an ongoing clinical trial. We may also experience numerous unforeseen events during our clinical trials that could delay or prevent our ability to receive marketing approval or commercialize the product candidates we develop, including:</w:t>
      </w:r>
    </w:p>
    <w:p>
      <w:pPr>
        <w:spacing w:after="0" w:line="94" w:lineRule="exact"/>
        <w:rPr>
          <w:sz w:val="20"/>
          <w:szCs w:val="20"/>
          <w:color w:val="auto"/>
        </w:rPr>
      </w:pPr>
    </w:p>
    <w:p>
      <w:pPr>
        <w:ind w:left="1080" w:right="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other reviewing bodies may not authorize us or our investigators to commence a clinical trial, to conduct, or continue a clinical trial at a prospective or specific trial site;</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reach agreement on acceptable terms with prospective CROs and clinical trial sites, the terms of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challenges or delays in recruiting principal investigators or study sites to lead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or patients required for clinical trials of our product candidates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those manufacturing our product candidates or conducting clinical trials on our behalf, may fail to comply with regulatory requirements or meet their contractual obligations to us in a timely manner or at all;</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amend clinical trial protocols submitted to regulatory authorities or conduct additional studies to reflect changes in regulatory requirements or guidance, which may be required to resubmit to an IRB and regulatory authorities for re-examination;</w:t>
      </w:r>
    </w:p>
    <w:p>
      <w:pPr>
        <w:spacing w:after="0" w:line="6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other reviewing bodies may find deficiencies with, fail to approve, or subsequently find fault with the manufacturing processes or facilities of third-party manufacturers with which we enter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380"/>
        <w:spacing w:after="0" w:line="266" w:lineRule="auto"/>
        <w:rPr>
          <w:sz w:val="20"/>
          <w:szCs w:val="20"/>
          <w:color w:val="auto"/>
        </w:rPr>
      </w:pPr>
      <w:r>
        <w:rPr>
          <w:rFonts w:ascii="Times New Roman" w:cs="Times New Roman" w:eastAsia="Times New Roman" w:hAnsi="Times New Roman"/>
          <w:sz w:val="18"/>
          <w:szCs w:val="18"/>
          <w:color w:val="auto"/>
        </w:rPr>
        <w:t>into agreements for clinical and commercial supplies, or the supply or quality of any product candidate or other materials necessary to conduct clinical trials of our product candidates may be insufficient, inadequate, or not available at an acceptable cost, or we may experience interruptions in supply; and</w:t>
      </w:r>
    </w:p>
    <w:p>
      <w:pPr>
        <w:spacing w:after="0" w:line="81" w:lineRule="exact"/>
        <w:rPr>
          <w:sz w:val="20"/>
          <w:szCs w:val="20"/>
          <w:color w:val="auto"/>
        </w:rPr>
      </w:pPr>
    </w:p>
    <w:p>
      <w:pPr>
        <w:ind w:left="10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or other comparable regulatory authorities to significantly change in a manner rendering our clinical data insufficient for approval.</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Regulators or IRBs of the institutions in which clinical trials are being conducted may suspend, limit, or terminate a clinical trial, or data monitoring committees may recommend that we suspend or terminate a clinical trial, due to a number of factors, including failure to conduct the clinical trial in accordance with regulatory requirements or our clinical protocols, inspection of the clinical trial operations or trial site by the FDA or other comparable regulatory authorities resulting in the imposition of a clinical hold, safety issues, or adverse side effects, failure to demonstrate a benefit from using a drug, changes in governmental regulations, or administrative actions or lack of adequate funding to continue the clinical trial. Negative or inconclusive results from our clinical trials or preclinical studies could mandate repeated or additional clinical trials and, to the extent we choose to conduct clinical trials in other indications, could result in changes to or delays in clinical trials of our product candidates in such other indications. We do not know whether any clinical trials that we conduct will demonstrate adequate efficacy and safety to result in regulatory approval to market our product candidates for the indications that we are pursuing. If later-stage clinical trials do not produce favorable results, our ability to obtain regulatory approval for our product candidates will be adversely impacted.</w:t>
      </w:r>
    </w:p>
    <w:p>
      <w:pPr>
        <w:spacing w:after="0" w:line="194"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failure to successfully initiate and complete clinical trials and to demonstrate the efficacy and safety necessary to obtain regulatory approval to market our product candidates would significantly harm our business. Our product candidate development costs will also increase if we experience delays in testing or regulatory approvals and we may be required to obtain additional funds to complete clinical trials. We cannot assure you that our clinical trials will begin as planned or be completed on schedule, if at all, or that we will not need to restructure or otherwise modify our trials after they have begun.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which may harm our business and results of operations. In addition, many of the factors that cause, or lead to, delays of clinical trials may ultimately lead to the denial of regulatory approval of our product candidates.</w:t>
      </w:r>
    </w:p>
    <w:p>
      <w:pPr>
        <w:spacing w:after="0" w:line="188"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be associated with adverse side effects, AEs, or other undesirable properties or safety risks, which could delay or prevent their regulatory approval, cause us to suspend or discontinue clinical trials or abandon a product candidate, limit the commercial profile of an approved label, or result in significant negative consequences following regulatory approval, if obtained, or result in other significant negative consequences that could severely harm our business, financial condition, results of operations, and prospects.</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Undesirable side effects caused by any of our product candidates could cause us or regulatory authorities to interrupt, delay, or halt clinical trials and could result in a more restrictive label, the inclusion of a Risk Evaluation and Mitigation Strategy, or REMS, or the delay or denial of regulatory approval by the FDA or other comparable regulatory authorities. Any treatment-related side effects could also affect patient recruitment or the ability of enrolled patients to complete the trial, or could result in potential product liability claims. Any of these occurrences may harm our business, financial condition, and prospects significantly.</w:t>
      </w:r>
    </w:p>
    <w:p>
      <w:pPr>
        <w:spacing w:after="0" w:line="183"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may observe safety or tolerability issues beyond those we anticipate with our product candidates in ongoing or future clinical trials. For example, to date, we have only completed clinical studies evaluating GlyphAllo in healthy volunteers, and it is possible that serious AEs related to GlyphAllo may occur in this clinical program or in our clinical programs for other product candidates. Additionally, it is possible that human subjects with MDD may experience greater side effects in our clinical program for GlyphAllo than observed in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healthy volunteers. We continue to learn more about our product candidates, and unfavorable profiles could lead to adverse outcomes or concerns by the FDA or other comparable regulatory authorities.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Many compounds that initially showed promise in clinical or earlier-stage testing are later found to cause undesirable or unexpected side effects that prevented further development of the compound. Results of future clinical trials of our product candidates could reveal a high and unacceptable severity and prevalence of side effects or unexpected characteristics, despite a favorable tolerability profile observed in earlier-stage testing. At any time, we may decide to terminate or greatly narrow the target population for a clinical development program due to unacceptable side effects or safety concerns.</w:t>
      </w:r>
    </w:p>
    <w:p>
      <w:pPr>
        <w:spacing w:after="0" w:line="183"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If unacceptable side effects arise in the development of our product candidates, we, the FDA or other comparable regulatory authorities, the IRBs, or independent ethics committees at the institutions in which our trials are conducted, could suspend, limit, or terminate our clinical trials, or the independent safety monitoring committee could recommend that we suspend, limit, or terminate our trials, or the FDA or other comparable regulatory authorities could order us to cease clinical trials or deny approval of our product candidates for any or all targeted indications. We may be unable to overcome any such suspensions or holds that are placed on our clinical trials. Treatment-emergent side effects that are deemed to be drug-related could delay recruitment of clinical trial subjects or may cause subjects that enroll in our clinical trials to discontinue participation in our clinical trials. In addition, these side effects may not be appropriately recognized or managed by the treating medical staff. We may need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harm to patients that are administered our product candidates. Any of these occurrences may materially adversely affect our business, financial condition, results of operations, and prospects.</w:t>
      </w:r>
    </w:p>
    <w:p>
      <w:pPr>
        <w:spacing w:after="0" w:line="177"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Moreover, clinical trials of our product candidates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some of our product candidates utilize prodrugs of drugs that have been approved by regulatory authorities, such as the FDA and other comparable regulatory authorities, which if such approval is revoked, could negatively impact the success of our own products. For example, GlyphAllo is an oral prodrug of allopregnanolone, and brexanolone, a synthetic formulation of allopregnanolone, is currently approved by FDA for the treatment of postpartum depression. GlyphAgo is an oral prodrug of agomelatine, which has been approved for the treatment of GAD in Australia and MDD in Australia and Europe. It is possible that one or more of the active moieties of our product candidates has also been approved by FDA or other comparable regulatory authorities. In addition, even if our product candidates were to receive marketing approval or be commercialized, we would continue to be subject to the risks that the FDA or other comparable regulatory authorities could revoke approval of an active moiety that is chemically identical to the active moiety within our product candidates or any active moiety as our product candidates, if applicable, or that efficacy or safety issues could arise with any active moiety that is chemically identical to the active moiety within our product candidates or active moiety as our product candidates, if applicable, which could negatively impact the commercial opportunity for our own products.</w:t>
      </w:r>
    </w:p>
    <w:p>
      <w:pPr>
        <w:spacing w:after="0" w:line="19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education, certification of health care professionals or specific monitoring, if we or others later identify undesirable side effects caused by any product that we develop alone. Other potentially significant negative consequences associated with AEs include:</w:t>
      </w:r>
    </w:p>
    <w:p>
      <w:pPr>
        <w:spacing w:after="0" w:line="67"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suspend marketing of a product, or we may decide to remove such product from the marketplace;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change their approvals of a product;</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limit access of a product to selective specialized centers with additional safety reporting and with requirements that patients be geographically close to these centers for all or part of their treatment;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a product for patients, or to conduct post-marketing studies;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is administered;</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fines, injunctions, or the imposition of criminal or civil penalties, or be sued and held liable for harm caused to subjects or patients;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may become less competitive, and our reputation may suffer.</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Any of these events could diminish the usage or otherwise limit the commercial success of our product candidates and prevent us from achieving or maintaining market acceptance of our product candidates, if approved by the FDA or other regulatory authorities.</w:t>
      </w:r>
    </w:p>
    <w:p>
      <w:pPr>
        <w:spacing w:after="0" w:line="158"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our product candidates.</w:t>
      </w:r>
    </w:p>
    <w:p>
      <w:pPr>
        <w:spacing w:after="0" w:line="15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Any product candidate we develop and the activities associated with its development and commercialization, including its design, testing, manufacture, safety, efficacy, recordkeeping, labeling, storage, approval, advertising, promotion, sale, and distribution, are subject to comprehensive regulation by the FDA and other comparable regulatory authorities in the United States, and by other comparable foreign regulatory authorities.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are developing or may seek to develop in the future will ever obtain regulatory approval.</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team expects to rely, in addition to in-house regulatory personnel, on third-party CROs and regulatory consultants to assist us in submitting and supporting the applications necessary to gain marketing approvals.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its obtaining marketing approval or prevent or limit commercial use.</w:t>
      </w:r>
    </w:p>
    <w:p>
      <w:pPr>
        <w:spacing w:after="0" w:line="189"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the approval or rejection of an application. The FDA and other comparable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that we may ultimately obtain could be limited or subject to restrictions or post-approval commitments that render the approved product not commercially viable.</w:t>
      </w:r>
    </w:p>
    <w:p>
      <w:pPr>
        <w:spacing w:after="0" w:line="183"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any product candidates we may develop, the commercial prospects for those product candidates may be harmed, and our ability to generate revenues will be materially impaired.</w:t>
      </w:r>
    </w:p>
    <w:p>
      <w:pPr>
        <w:spacing w:after="0" w:line="158"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becomes available and are subject to audit and verification procedures that could result in material changes in the final data.</w:t>
      </w:r>
    </w:p>
    <w:p>
      <w:pPr>
        <w:spacing w:after="0" w:line="15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clinical trials and preclinical studies. Such announcements or publications are typically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9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 Further, disclosure of such data by us or by our competitors could result in volatility in the price of our common stock.</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184"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and commercialization goals in the timeframes we announce and expect, the development and commercialization of our product candidates may be delayed, and our business, financial condition, and results of operations may be harmed.</w:t>
      </w:r>
    </w:p>
    <w:p>
      <w:pPr>
        <w:spacing w:after="0" w:line="15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For planning purposes, we sometimes estimate the timing of the accomplishment of various scientific, clinical, regulatory and other product development objectives. These milestones may include our expectations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if not realized as expected, may cause the timing of achievement of the milestones to vary considerably from our estimates, including:</w:t>
      </w:r>
    </w:p>
    <w:p>
      <w:pPr>
        <w:spacing w:after="0" w:line="89"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capital resources or capital constraints we experience;</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enroll patients who meet clinical trial eligibility criteria;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approvals by the FDA and other comparable regulatory authorities and the timing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decisions, or rules issued by regulators;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materials used to manufacture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of our collaborators with respect to the commercialization of our product candidates;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securing of, costs related to, and timing issues associated with, product manufacturing as well as sales and marketing activities.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we fail to achieve announced milestones in the timeframes we expect, the development and commercialization of our product candidates may be delayed, and our business, financial condition, and results of operations may be harmed.</w:t>
      </w:r>
    </w:p>
    <w:p>
      <w:pPr>
        <w:spacing w:after="0" w:line="158"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concentrated our research and development efforts on the treatment of disorders of the brain and central nervous system, a field that faces certain challenges in drug development.</w:t>
      </w:r>
    </w:p>
    <w:p>
      <w:pPr>
        <w:spacing w:after="0" w:line="15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focused our research and development efforts on addressing disorders of the brain and central nervous system. Developing a product candidate for treatment of these diseases is difficult and subjects us to a number of challenges specific to central nervous system, or CNS, companies. In particular, many neuropsychiatric disorders, such as MDD and GAD, rely on subjective patient-reported outcomes as key clinical endpoints. This makes them more vulnerable to the placebo effect as compared to evaluating outcomes with more objective endpoints. For example, our Phase 2b BUOY-1 trial of GlyphAllo is using endpoints based on subjective assessment scales such as the HAMD-17 and the Clinical Global Impressions-Severity scale.</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Moreover, given the history of clinical failures in this field, future clinical or regulatory failures by us or others may result in further negative perception of the likelihood of success in this field, which may significantly and adversely affect the market price of our common stock. We intend to work closely with the FDA and other comparable regulatory authorities to perform the requisite scientific analyses and evaluation in an effort to obtain regulatory approval for our product candidates; however, the process of developing our product candidates may be complex and time-consuming for the reasons described herein. We cannot be certain that our approach will lead to the development of product candidates that effectively and safely address the underlying diseases.</w:t>
      </w:r>
    </w:p>
    <w:p>
      <w:pPr>
        <w:spacing w:after="0" w:line="183"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5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Patient enrollment is a significant factor impacting the duration of our clinical trials, along with treatment duration and completion of required follow-up periods. We may experience difficulties in patient enrollment 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our clinical trials for a variety of reasons. The timely completion of clinical trials in accordance with our protocols depends, among other things, on our ability to enroll a sufficient number of patients who remain in the study until its conclusion.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Patient enrollment is affected by many factors, including:</w:t>
      </w:r>
    </w:p>
    <w:p>
      <w:pPr>
        <w:spacing w:after="0" w:line="13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study sites;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misrepresentation of their eligibility or non-compliance with the clinical trial protocol, resulting in the need to drop such patients from the clinical trial, increase the needed enrollment size for the clinical trial, or extend the clinical trial’s duration;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new indications for existing therapies or approval of new therapies in general;</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and clinicians’ and patients’ perceptions as to the potential advantages and risks of the product candidate being studied in relation to other available therapies, including any new drugs that may be approved for the indications that we are investigating;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enrollment of prospective patients by clinical trial sites;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our clinical trials will drop out of the trials before completion.</w:t>
      </w:r>
    </w:p>
    <w:p>
      <w:pPr>
        <w:spacing w:after="0" w:line="22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We may experience challenges in recruiting principal investigators and patients to participate in ongoing and future clinical trials for such product candidates if we are unable to sufficiently demonstrate the potential of such product candidates to them. Furthermore, we may experience difficulties in reliably and consistently identifying the subpopulation of MDD patients with anxious distress, which may delay our recruitment efforts for our Phase 2b BUOY-1 trial. We also plan to take additional screening steps for patients beyond what certain other sponsors have done in similar trials, which may further narrow the eligible population of patients for our trials and cause delays in our recruitment efforts. In addition, our clinical trials may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for our clinical trials in such clinical trial site. Furthermore, if significant AEs or other side effects are observed in any of our clinical trials, we may have difficulty recruiting patients to our trials and patients may drop out of our trials. Additionally, patients, including patients in any control groups, may withdraw from the clinical trial for various reasons, including but not limited to if they are not experiencing improvement in their underlying disease or condition, or if they experience other difficulties or issues relating to their underlying disease or condition. Participants with neuropsychiatric disorders such as MDD and GAD constitute a vulnerable patient population and may withdraw from the clinical trial if they are not experiencing improvement in their underlying disease or condition or if they experience other difficulties or issues relating to their underlying disease or condition or otherwise, which may or may not be related to our product candidate in clinical trial. Withdrawal of patients from our clinical trials may compromise the quality of our data.</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also rely on, and will continue to rely on, CROs and clinical trial sites to ensure proper and timely conduct of our clinical trials and preclinical studies. Though we have entered into agreements governing their services, we will have limited influence over their actual performance. Our inability to enroll a sufficient number of patients for our clinical trials would result in significant delays or might require us to abandon one or more clinical trials or our development efforts altogether. Delays in patient enrollment may result in increased costs, affect the timing or outcome of the planned clinical trials, product candidate development and approval process, and jeopardize our ability to seek and obtain the regulatory approval required to commence product sales and generate revenue, which could prevent completion of these trials, adversely affect our ability to advance the development of our product candidates, cause our value to decline, and limit our ability to obtain additional financing if needed.</w:t>
      </w:r>
    </w:p>
    <w:p>
      <w:pPr>
        <w:spacing w:after="0" w:line="185"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conduct clinical trials for our product candidates outside of the United States and the FDA may not accept data from such trials, in which case our development plans may be delayed, which could materially harm our business.</w:t>
      </w:r>
    </w:p>
    <w:p>
      <w:pPr>
        <w:spacing w:after="0" w:line="15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have conducted and are conducting clinical trials for our product candidates outside the United States. The acceptance of study data from clinical trials conducted outside the U.S. or another jurisdiction by the FDA or other comparable regulatory authorities may be subject to certain conditions or may not be accepted at all. In cases where data from foreign clinical trials are intended to serve as the sole basis for regulatory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study was not otherwise subject to an IND, the FDA will not accept the data as support for an application for regulatory approval unless the study is well-designed and well-conducted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In addition, such foreign trials would be subject to the applicable local laws of the foreign jurisdictions where the trials are conducted. There can be no assurance that the FDA or any other comparable regulatory authorities will accept data from trials conducted outside of the United States or the relevant jurisdiction. If the FDA or any other comparable regulatory authority does not accept such data, it may result in the need for additional trials, which could be costly and time-consuming, and which may result in current or future product candidates that we may develop not receiving approval for commercialization in the applicable jurisdiction.</w:t>
      </w:r>
    </w:p>
    <w:p>
      <w:pPr>
        <w:spacing w:after="0" w:line="192"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regulatory approval, it may fail to achieve the degree of market acceptance by physicians, patients, third-party payors, and others in the medical community necessary for commercial success, in which case we may not generate significant revenues or become profitable.</w:t>
      </w:r>
    </w:p>
    <w:p>
      <w:pPr>
        <w:spacing w:after="0" w:line="175" w:lineRule="exact"/>
        <w:rPr>
          <w:sz w:val="20"/>
          <w:szCs w:val="20"/>
          <w:color w:val="auto"/>
        </w:rPr>
      </w:pPr>
    </w:p>
    <w:p>
      <w:pPr>
        <w:ind w:left="120" w:firstLine="440"/>
        <w:spacing w:after="0" w:line="241" w:lineRule="auto"/>
        <w:rPr>
          <w:sz w:val="20"/>
          <w:szCs w:val="20"/>
          <w:color w:val="auto"/>
        </w:rPr>
      </w:pPr>
      <w:r>
        <w:rPr>
          <w:rFonts w:ascii="Times New Roman" w:cs="Times New Roman" w:eastAsia="Times New Roman" w:hAnsi="Times New Roman"/>
          <w:sz w:val="18"/>
          <w:szCs w:val="18"/>
          <w:color w:val="auto"/>
        </w:rPr>
        <w:t>We have never commercialized a product, and even if any of our product candidates are approved by the appropriate regulatory authorities for marketing and sale, it may nonetheless fail to achieve sufficient market acceptance by physicians, patients, third-party payors and others in the medical community. The commercial success of any of our product candidates will depend significantly on the broad adoption and use of the resulting product by these individuals and organizations for approved indications. For example, Glyph2BLSD</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(SPT-348), in development for the treatment of depressive disorders, including treatment-resistant depression, or TRD, post-traumatic stress disorder, or PTSD, and headache disorders, is a Glyphed oral prodrug of the non-hallucinogenic neuroplastogen, 2-bromo-LSD. There has been recent interest in psychedelics in part because of their potential to demonstrate therapeutic effects in neuropsychiatric disorders. Although Glyph2BLSD is not a psychedelic, there is a risk that it will be viewed as such by investors and the public, or could be classified as such by regulatory authorities based on its final structure. Treatments containing controlled substances or drugs</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that have similar effects or characteristics of controlled substances may generate public controversy or unfavorable views, which could lead to delays in, and increased expenses for, and limit or restrict the introduction and marketing of such types of therapeutic candidates. For more information on controlled substances, see subsection titled “—Certain of our product candidates may be regulated as controlled substances, the making, use, sale, importation, exportation, and distribution of which are subject to significant regulation by the U.S. Drug Enforcement Administration and other regulatory agencies.”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Many of the indications for our product candidates have well-established standards of care that physicians, patients and payors are familiar with and, in some cases, are available generically. Even if our product candidates are successful in registrational clinical trials, they may not be successful in displacing these current standards of care if we are unable to demonstrate superior efficacy, safety, ease of administration, and/or cost-effectiveness. For example, physicians may be reluctant to take their patients off their current medications and switch their treatment regimen to our product candidates. Further, patients often acclimate to the treatment regimen that they are currently taking and do not want to switch unless their physicians recommend switching products or they are required to switch due to inadequate coverage or reimbursement by third-party payors. Even if we are able to demonstrate our product candidates’ safety and efficacy to the FDA and other comparable regulatory authorities, safety or efficacy concerns in the medical community may hinder market acceptance.</w:t>
      </w:r>
    </w:p>
    <w:p>
      <w:pPr>
        <w:spacing w:after="0" w:line="19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product candidates may require significant resources, including management time, and financial resources, and may not be successful. If any product candidate is approved but does not achieve an adequate level of market acceptance, we may not generate significant revenues and we may not become profitable. The degree of market acceptance of our product candidates, if approved for commercial sale, will depend on a number of factors, including:</w:t>
      </w:r>
    </w:p>
    <w:p>
      <w:pPr>
        <w:spacing w:after="0" w:line="85" w:lineRule="exact"/>
        <w:rPr>
          <w:sz w:val="20"/>
          <w:szCs w:val="20"/>
          <w:color w:val="auto"/>
        </w:rPr>
      </w:pPr>
    </w:p>
    <w:p>
      <w:pPr>
        <w:ind w:left="1080" w:right="1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 including as compared to any more-established products or other alternative products that may later be approved;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the product compared to competitive therapies;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indications for which the product is approved,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 second- or third-line therapy;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ability of any future collaborators, to offer the product for sale at competitive prices;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convenience and ease of administration compared to alternative treatments;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physicians to prescribe, the product;</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all, or a portion of, out-of-pocket costs associated with the product in the absence of sufficient third-party coverage and adequate reimbursement;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acceptance into standard of care treatment algorithms by medical societies that could limit payor and physician uptake;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the product;</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adequacy of coverage and reimbursement from government payors, managed care plans, and other third-party payors, including any price concessions required by third-party payors to obtain coverage;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 or favorable publicity about competitive products.</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Any failure by one or more of our product candidates that obtains regulatory approval to achieve market acceptance or commercial success would adversely affect our business prospects.</w:t>
      </w:r>
    </w:p>
    <w:p>
      <w:pPr>
        <w:spacing w:after="0" w:line="158"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discover, develop, and commercialize other product candidates, we may be unable to grow our business and our ability to achieve our strategic objectives would be impaired.</w:t>
      </w:r>
    </w:p>
    <w:p>
      <w:pPr>
        <w:spacing w:after="0" w:line="15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Although the development and commercialization of our current product candidates are our initial focus, as part of our longer-term growth strategy, we may seek to develop other product candidates leveraging our Glyph platform. We intend to evaluate internal opportunities from our existing product candidates or other potential product candidates, and also may choose to in-license or acquire other product candidates to treat patients suffering from other disorders with significant unmet medical needs and limited treatment options. Any other potential product candidates will require additional, time-consuming development efforts prior to commercial sale, including preclinical studies, clinical trials, and approval by the FDA or other comparable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successfully commercialized or widely accepted in the marketplace or be more effective than other commercially available alternatives.</w:t>
      </w:r>
    </w:p>
    <w:p>
      <w:pPr>
        <w:spacing w:after="0" w:line="188"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addition, we intend to devote capital and resources for basic research to discover and identify additional product candidates. These research programs require substantial technical, financial, and human resources, whether or not any product candidates are ultimately identified. Our research programs may initially show promise in identifying potential product candidates, yet fail to yield product candidates for clinical development for many reasons, including the following:</w:t>
      </w:r>
    </w:p>
    <w:p>
      <w:pPr>
        <w:spacing w:after="0" w:line="85"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that we develop may nevertheless be covered by third parties’ patents or other exclusive rights;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future, we may also seek to in-license or acquire product candidates or the underlying technology. The process of proposing, negotiating, and implementing a license or acquisition is lengthy and complex. Other companies, including some with substantially greater financial, marketing, and sales resources, may compete with us for the license or acquisition of product candidates.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future acquisitions may entail numerous operational and financial risks, including:</w:t>
      </w:r>
    </w:p>
    <w:p>
      <w:pPr>
        <w:spacing w:after="0" w:line="131"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management’s time and attention to develop acquired products or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dilutive issuances of securities or depletion of cash to pay for acquisitions;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combining the operations and personnel of any acquired businesses with our operations and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new markets in which we have limited or no experience;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motivate key employees of any acquired businesses.</w:t>
      </w:r>
    </w:p>
    <w:p>
      <w:pPr>
        <w:spacing w:after="0" w:line="225" w:lineRule="exact"/>
        <w:rPr>
          <w:sz w:val="20"/>
          <w:szCs w:val="20"/>
          <w:color w:val="auto"/>
        </w:rPr>
      </w:pPr>
    </w:p>
    <w:p>
      <w:pPr>
        <w:jc w:val="both"/>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To finance any acquisitions, we may choose to issue shares of our common stock as consideration, which could dilute the ownership of our stockholders. If the price of our common stock is low or volatile, we may be unable to consummate any acquisitions using our common stock as consideration. Additional funds may not be available on terms that are favorable to us, or at all.</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we are unsuccessful in identifying and developing additional product candidates, either through internal development or licensing or acquisition from third parties, our potential for growth and achieving our strategic objectives may be impaired.</w:t>
      </w:r>
    </w:p>
    <w:p>
      <w:pPr>
        <w:spacing w:after="0" w:line="158" w:lineRule="exact"/>
        <w:rPr>
          <w:sz w:val="20"/>
          <w:szCs w:val="20"/>
          <w:color w:val="auto"/>
        </w:rPr>
      </w:pPr>
    </w:p>
    <w:p>
      <w:pPr>
        <w:ind w:left="120" w:right="2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number of patients with the diseases and disorders for which we are developing our product candidates has not been established with precision. If the actual number of patients with the diseases or disorders we elect to pursue with our product candidates is smaller than we anticipate, we may have difficulties in enrolling patients in our clinical trials, which may delay or prevent development of our product candidates. Even if such product candidates are successfully developed and approved, the markets for our product candidates may be smaller than we expect and our revenue potential and ability to achieve profitability may be materially adversely affected.</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pipeline includes product candidates for a variety of neuropsychiatric disorders, including MDD and GAD. There is no precise method of establishing the actual number of patients with any of these disorders in any geography over any time period. With respect to many of the indications in which we have developed, are developing, or plan to develop our product candidates, we have estimates of the prevalence of the disease or disorder. Our estimates as to prevalence may not be accurate, and the actual prevalence or addressable patient population for some or all of those indications, or any other indication that we elect to pursue, may be significantly smaller than our estimates. In estimating the potential prevalence of indications we are pursuing, or may in the future pursue, including our estimates as to the prevalence of MDD and GAD, we apply assumptions to available information that may not prove to be accurate. In each case, there is a range of estimates in the published literature and in marketing studies, which include estimates within the range that are lower than our estimates. The actual number of patients with these disease indications may, however, be significantly lower than we believe. Even if our prevalence estimates are correct, our product candidates may be developed for only a subset of patients with the relevant disease or disorder or our product candidates, if approved, may be indicated for or used by only a subset. In the event the number of patients with the diseases and disorders we are studying is significantly lower than we expect, we may have difficulties in enrolling patients in our clinical trials, which may delay or prevent development of our product candidates. If any of our product candidates are approved and</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our prevalence estimates with respect to any indication or our other market assumptions are not accurate, the markets for our product candidates for these indications may be smaller than we anticipate, which could limit our ability to generate revenues and achieve profitability or to meet our expectations with respect to the foregoing.</w:t>
      </w:r>
    </w:p>
    <w:p>
      <w:pPr>
        <w:spacing w:after="0" w:line="280"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Competitive products may reduce or eliminate the commercial opportunity for our product candidates, if approved. If our competitors develop technologies or product candidates more rapidly than we do, or their technologies or product candidates are more effective or safer than ours, our ability to develop and successfully commercialize our product candidates may be adversely affected.</w:t>
      </w:r>
    </w:p>
    <w:p>
      <w:pPr>
        <w:spacing w:after="0" w:line="17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clinical and commercial landscapes for the treatment of neuropsychiatric disorders are highly competitive and subject to rapid and significant technological change. We face competition with respect to our indications for our product candidates and will face competition with respect to any other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drug candidates for the treatment of the CNS indications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are aware that a significant number of product candidates are currently under development for MDD, GAD, and other indications that we are currently pursuing and may pursue, and some or all may become commercially available in the future for the treatment of conditions for which we are trying or may try to develop product candidates. Additionally, if our product candidates were to be approved, they would likely compete with historical standard of care therapies. Our potential competitors include large pharmaceutical and biotechnology companies, specialty pharmaceutical and generic drug companies, academic institutions, government agencies, and research institutions. For examples of the competition that our product candidates face, see the section titled “Business—Competition” included elsewhere in this prospectus.</w:t>
      </w:r>
    </w:p>
    <w:p>
      <w:pPr>
        <w:spacing w:after="0" w:line="187"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most cases, we do not currently plan to run head-to-head clinical trials evaluating our product candidates against the current standards of care, which may make it more challenging for our product candidates to compete against the current standards of care due to the lack of head-to-head clinical trial data.</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Accordingly, our competitors may be more successful than we may be in obtaining regulatory approval for therapies and achieving widespread market acceptance. Our competitors’ products may be more effective, or more effectively marketed and sold, than any product candidate we may commercialize and may render our therapies obsolete or non-competitive before we can recover development and commercialization expenses. If any of our product candidates are approved, it could compete with a range of therapeutic treatments that are in development. In addition, our competitors may succeed in developing, acquiring, or licensing technologies and drug products that are more effective or less costly than our product candidates, which could render our product candidates obsolete and noncompetitive.</w:t>
      </w:r>
    </w:p>
    <w:p>
      <w:pPr>
        <w:spacing w:after="0" w:line="19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If we obtain approval for any of our product candidates, we may face competition based on many different factors, including the efficacy, safety, and tolerability of our products, the ease with which our products can be administered, the timing and scope of regulatory approvals for these products, the availability and cost of manufacturing, marketing and sales capabilities, price, reimbursement coverage, and patent position. Existing and future competing products could present superior treatment alternatives, including being more effective, safer, less expensive, or marketed and sold more effectively than any products we may develop. Competitive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products may make any products we develop obsolete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our competitors may obtain patent protection, regulatory exclusivities, or FDA approval and commercialize products more rapidly than we do, which may impact future approvals or sales of any of our product candidates that receive regulatory approval. If the FDA approves the commercial sale of any product candidate, we will also be competing with respect to marketing capabilities and manufacturing efficiency. We expect competition among products will be based on product efficacy and safety, the timing and scope of regulatory approvals, availability of supply, marketing and sales capabilities, product price, reimbursement coverage by government and private third-party payors, regulatory exclusivities, and patent position. Our profitability and financial position will suffer if our product candidates receive regulatory approval but cannot compete effectively in the marketplace.</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as well as in acquiring technologies complementary to, or necessary for, our programs.</w:t>
      </w:r>
    </w:p>
    <w:p>
      <w:pPr>
        <w:spacing w:after="0" w:line="176"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our sales, marketing, and distribution capability on our own or through collaborations with marketing partners, we will not be successful in commercializing our product candidates.</w:t>
      </w:r>
    </w:p>
    <w:p>
      <w:pPr>
        <w:spacing w:after="0" w:line="15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currently have no marketing, sales, or distribution capabilities. We intend to establish a sales and marketing organization, either on our own or in collaboration with third parties, with technical expertise and supporting distribution capabilities to commercialize one or more of our product candidates that may receive regulatory approval in key territories. These efforts will require substantial additional resources, some or all of which may be incurred in advance of any approval of the product candidate. Any failure or delay in the development of our or third parties’ internal sales, marketing, and distribution capabilities would adversely impact the commercialization of our product candidates.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 candidates on our own include:</w:t>
      </w:r>
    </w:p>
    <w:p>
      <w:pPr>
        <w:spacing w:after="0" w:line="13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our failure to educate an adequate number of physicians on the benefits of any future products;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With respect to our existing and future product candidates, we may choose to collaborate with third parties that have direct sales forces and established distribution systems to serve as an alternative to our own sales force and distribution systems. Our future product revenue may be lower than if we directly marketed or sold our product candidates, if approved. In addition, any revenue we receive will depend in whole or in part upon the efforts of these third parties, which may not be successful and are generally not within our control. If we are not successful in commercializing any approved products, our future product revenue will suffer and we may incur significant additional losses.</w:t>
      </w:r>
    </w:p>
    <w:p>
      <w:pPr>
        <w:spacing w:after="0" w:line="18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be able to develop in-house sales and distribution capabilities or establish or maintain relationships with third-party collaborators to commercialize any product in the United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States or overseas. If we do not establish sales and marketing capabilities successfully, either on our own or in collaboration with third parties, we will not be successful in commercializing our product candidates.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17" w:lineRule="exact"/>
        <w:rPr>
          <w:sz w:val="20"/>
          <w:szCs w:val="20"/>
          <w:color w:val="auto"/>
        </w:rPr>
      </w:pPr>
    </w:p>
    <w:p>
      <w:pPr>
        <w:ind w:left="120" w:right="6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organization, and as a result, we may encounter difficulties in managing our growth, which could disrupt our operations.</w:t>
      </w:r>
    </w:p>
    <w:p>
      <w:pPr>
        <w:spacing w:after="0" w:line="15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As of December 31, 2025, we had 55 full-time employees. We expect to experience significant growth in the number of our employees and the scope of our operations over time. To manage these growth activities, we must continue to implement and improve our managerial, operational, quality, and financial systems, expand our facilities and continue to recruit and train additional qualified personnel.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or relocation of our operations, retain key employees, or identify, recruit, and train additional qualified personnel. Our inability to manage the expansion or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spacing w:after="0" w:line="188"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develop product candidates, leverage our Glyph platform and our future growth depends on attracting, hiring, and retaining our key personnel and recruiting additional qualified personnel.</w:t>
      </w:r>
    </w:p>
    <w:p>
      <w:pPr>
        <w:spacing w:after="0" w:line="15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success depends upon the continued contributions of our key management and scientific personnel, many of whom have been instrumental for us and have substantial experience with developing therapies, identifying potential product candidates and building the technologies related to the clinical development of our product candidates. Given the specialized nature of neuropsychiatric disorders and our approach, there is an inherent scarcity of experienced personnel in these fields. As we continue developing our product candidates in our pipeline, we will require personnel with medical, scientific, or technical qualifications specific to each program. The loss of key personnel, in particular our Co-Founder and Chief Executive Officer, Co-Founder, and Chair of the Board, Chief Financial Officer, Chief Medical Officer, Co-Founder and Chief Scientific Officer, Chief Operating Officer, General Counsel, and clinical development personnel, would delay our research and development activities. The competition for qualified personnel in the therapeutics, biotechnology and biopharmaceutical industries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implement our business strategy, which would have a material adverse effect on our business.</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our clinical operations and research and development programs depend on our ability to attract and retain highly skilled employees across multiple functions, particularly in Massachusetts. There is powerful competition for skilled personnel in this geographical market, and we have from time to time experienced, and we expect to continue to experience, difficulty in hiring and retaining employees with appropriate qualifications on acceptable terms, or at all. Many of the companies with which we compete for experienced personnel have greater resources than we do, and any of our employees may terminate their employment with us at any time. If we hire employees from competitors or other companies, their former employers may attempt to assert that these employees or we have breached legal obligations, resulting in a diversion of our time and resources and, potentially, damages. Furthermore, job candidates and existing employees often consider the value of the stock</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 appreciated in value relative to the original purchase prices of the shares, or if the exercise prices of the options they hold are significantly below the market price of our common stock, particularly after the expiration of the lock-up agreements described herein. If we fail to attract new personnel or fail to retain and motivate our current personnel, our business and future growth prospects would be harmed.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assist in conducting our clinical trials and preclinical studies. If they do not successfully carry out their contractual duties, comply with applicable regulatory requirements, or meet expected deadlines, we may not be able to obtain regulatory approval or commercialize our product candidates, or such approval or commercialization may be delayed, and our business could be substantially harmed.</w:t>
      </w:r>
    </w:p>
    <w:p>
      <w:pPr>
        <w:spacing w:after="0" w:line="17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relied upon and plan to continue to rely on third parties, such as CROs, clinical data management organizations, medical institutions and clinical investigators, to conduct our clinical trials and preclinical studies and expect to rely on these third parties to conduct clinical trials and preclinical studies of any other product candidate that we develop. Our ability to complete clinical trials in a timely fashion depends on a number of key factors. These factors include protocol design, regulatory, and IRB approval, patient enrollment rates, and compliance with GCPs. In most cases, we use the services of third parties, including CROs, to carry out our clinical trial-related activities and rely on such parties to accurately report their results. Our reliance on third parties for clinical development activities may impact or limit our control over the timing, conduct, expense, and quality of our clinical trials. Moreover, the FDA requires us to comply with GCPs for conducting, recording, and reporting the results of clinical trials to assure that data and reported results are credible and accurate and that the rights, integrity, and confidentiality of trial participants are protected. The FDA enforces these GCPs through periodic inspections of clinical trial sponsors, principal investigators, clinical trial sites, and IRBs.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w:t>
      </w:r>
    </w:p>
    <w:p>
      <w:pPr>
        <w:spacing w:after="0" w:line="19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remain responsible for ensuring that each of our trials is conducted in accordance with the applicable protocol, legal and regulatory requirements and scientific standards. Our failure or the failure of third parties to comply with the applicable protocol, legal and regulatory requirements and scientific standards can result in rejection of our clinical trial data or other sanctions. If we or our third-party clinical trial providers or third-party CROs do not successfully carry out these clinical activities, our clinical trials, or the potential regulatory approval of a product candidate may be delayed or be unsuccessful. Additionally, if we or our third-party contractors fail to comply with applicable GCPs for any reason, the clinical data generated in our clinical trials may be deemed unreliable and the FDA may require us to perform additional clinical trials before approving our product candidates, which would delay the regulatory approval process. We cannot be certain that, upon inspection, the FDA will determine that any of our clinical trials comply with GCPs.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Moreover, many CROs, including some of those that we have engaged to conduct our clinical trials, are experiencing enrollment challenges as a result of, among other things, high employee turnover driven by macroeconomic environment and the inexperience of new employees. Additionally, at clinical trial sites, the availability of staff and trial participants has been limited due to a decrease in the number of clinical investigative sites across the globe. These contractors may also have relationships with other commercial entities, including our competitors, for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 In addition, principal investigators for our clinical trials may be asked to serve as scientific advisors or consultants to us from time to time and may receive cash or equity compensation in connection with such services. If these relationships and any related compensation result in perceived or actual conflicts of interest, or the FDA or foreign regulatory authorities conclude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or foreign regulatory authorities of any NDA or foreign application we submit. Any such delay or rejection could prevent us from commercializing our product candidates.</w:t>
      </w:r>
    </w:p>
    <w:p>
      <w:pPr>
        <w:spacing w:after="0" w:line="190" w:lineRule="exact"/>
        <w:rPr>
          <w:sz w:val="20"/>
          <w:szCs w:val="20"/>
          <w:color w:val="auto"/>
        </w:rPr>
      </w:pPr>
    </w:p>
    <w:p>
      <w:pPr>
        <w:jc w:val="both"/>
        <w:ind w:left="120" w:right="760" w:firstLine="440"/>
        <w:spacing w:after="0" w:line="266" w:lineRule="auto"/>
        <w:rPr>
          <w:sz w:val="20"/>
          <w:szCs w:val="20"/>
          <w:color w:val="auto"/>
        </w:rPr>
      </w:pPr>
      <w:r>
        <w:rPr>
          <w:rFonts w:ascii="Times New Roman" w:cs="Times New Roman" w:eastAsia="Times New Roman" w:hAnsi="Times New Roman"/>
          <w:sz w:val="18"/>
          <w:szCs w:val="18"/>
          <w:color w:val="auto"/>
        </w:rPr>
        <w:t>We also rely on other third parties to store and distribute drug supplies for our clinical trials. Any performance failure on the part of our distributors could delay clinical development or regulatory approval of our product candidates or commercialization of any resulting products, producing additional losses, and depriving us of potential product revenue.</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of the third-party organizations we utilize may terminate their engagements with us under certain circumstances. The replacement of an existing CRO or other third party may result in the delay of the affected trials or otherwise adversely affect our efforts to obtain regulatory approvals and commercialize our product candidates. We may not be able to enter into alternative arrangements or do so on commercially reasonable terms. In addition, even if there are suitable replacements for one or more of these service providers, there is a natural transition period when a new service provider begins work. As a result, delays may occur, which could negatively impact our ability to meet our expected clinical development timelines and harm our business, financial condition, results of operations, and prospects.</w:t>
      </w:r>
    </w:p>
    <w:p>
      <w:pPr>
        <w:spacing w:after="0" w:line="18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In addition, we currently and may in the future rely on foreign CROs and CMOs. Such foreign CROs and CMOs may be subject to U.S. legislation,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For example, in January 2024, there was congressional activity, including the introduction of the BIOSECURE Act (H.R. 7085) in the House of Representatives and a substantially similar Senate bill (S.3558). In September 2024, the U.S. House of Representatives passed a version of the BIOSECURE Act (H.R. 8333), however, the Senate did not approve that legislation. In October 2025, both the U.S. House of Representatives and Senate passed their respective versions of the National Defense Authorization Act of 2026 (NDAA), each including an amendment often referred to as “BIOSECURE 2.0.” While BIOSECURE 2.0 has not yet been enacted and must still be reconciled in conference, the current text would establish federal government contracting, grant, and loan restrictions similar in effect to prior BIOSECURE proposals. However, unlike earlier versions of BIOSECURE that named specific Chinese companies, BIOSECURE 2.0 would implement a process-based designation system through which biotechnology companies “of concern” would be identified based on whether companies fall within statutorily define categories, including entities identified on the Department of Defense’s Section 1260H list of “Chinese military companies” and other entities that are subject to the direction, control, or jurisdiction of a foreign adversary’s government which pose national security risks based on specified criteria. If BIOSECURE 2.0 becomes law or similar laws are passed, they would have the potential to severely restrict the ability of therapeutics companies like us to purchase services or products from, or otherwise collaborate with, certain Chinese biotechnology companies “of concern” without losing the ability to contract with, or otherwise receive funding from, the U.S. government. We do business with companies in China, and it is possible some of our contractual counterparties could be impacted by this legislation.</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of third parties to manufacture our product candidates, including those located outside of the United States, may increase the risk that we will not have sufficient quantities of our product candidates, raw materials, active pharmaceutical ingredients, or APIs, or drug products when needed or at an acceptable cost.</w:t>
      </w:r>
    </w:p>
    <w:p>
      <w:pPr>
        <w:spacing w:after="0" w:line="175"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clinical or commercial quantities of our product candidates, and we lack the resources and the capabilities to do so. Our current strategy is to outsource all manufacturing of our product candidates to third parties, including in jurisdictions outside of the United States.</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currently rely on and engage third-party manufacturers to provide all of the API and the final drug product formulation of all of our product candidates that are being used in our clinical trials and preclinical studies. If we were to need an alternate manufacturer, we would incur added costs and delays in identifying and qualifying any such replacement. In addition, we typically order raw materials, API, and drug product and services on a purchase order basis and do not enter into long-term dedicated capacity or minimum supply arrangements with any commercial manufacturer. We may not be able to timely secure needed supply arrangements on satisfactory terms, or at all. Our failure to secure these arrangements as needed could have a material adverse effect on our ability to complete the development of our product candidates or, to commercialize them, if approved. We may be unable to conclude agreements for commercial supply with third-party manufacturers or may be unable to do so on acceptable terms. There may be difficulties in scaling up to commercial quantities and formulation of our product candidates, and the costs of manufacturing could be prohibitive.</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Some of the third-party manufacturers we rely on have only recently begun working with us and have limited experience manufacturing our API and final drug products. If our manufacturers have difficulty or suffer delays in successfully manufacturing material that meets our specifications, it may limit supply of our product candidates and could delay our clinical trials.</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Even if we are able to establish and maintain arrangements with third-party manufacturers, reliance on third-party manufacturers entails additional risks, including:</w:t>
      </w:r>
    </w:p>
    <w:p>
      <w:pPr>
        <w:spacing w:after="0" w:line="67" w:lineRule="exact"/>
        <w:rPr>
          <w:sz w:val="20"/>
          <w:szCs w:val="20"/>
          <w:color w:val="auto"/>
        </w:rPr>
      </w:pPr>
    </w:p>
    <w:p>
      <w:pPr>
        <w:ind w:left="1080" w:right="10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third-party manufacturer to comply with applicable regulatory requirements and reliance on third parties for manufacturing process development, regulatory compliance, and quality assurance;</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if our third-party manufacturers give greater priority to the supply of other products over our product candidates or otherwise do not satisfactorily perform according to the terms of the agreement between 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supply availability resulting from capacity and scheduling constraints of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third-party manufacturer to produce materials with acceptable quality on a larger scale;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manufacturing agreements by third parties because of factors beyond our control;</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manufacturing agreements by the third party, at a time that is costly or inconvenient to us;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If we do not maintain our key manufacturing relationships, we may fail to find replacement manufacturers or develop our own manufacturing capabilities, which could delay or impair our ability to obtain regulatory approval for our product candidates. If we do find replacement manufacturers, we may not be able to enter into agreements with them on terms and conditions favorable to us and there could be a substantial delay before new facilities could be qualified and registered with the FDA and other comparable regulatory authorities.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Additionally, if any third-party manufacturer with whom we contract fails to perform its obligations, we may be forced to manufacture the materials ourselves, for which we may not have the capabilities or resources, or enter into an agreement with a different manufacturer. In either scenario, our clinical trials supply could be delayed significantly as we establish alternative supply sources. In some cases, the technical skills required to manufacture our product candidates may be proprietary to the original manufacturer and we may have difficulty, or there may be contractual restrictions prohibiting us from transferring such skills to a back-up or alternate supplier, or we may be unable to transfer such skills at all. In addition, if we are required to change third-party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other comparable regulatory authorities. We may be unsuccessful in demonstrating the comparability of clinical supplies, which could require the conduct of additional clinical trials. The delays associated with the verification of a new third-party manufacturer could negatively affect our ability to develop product candidates or commercialize our products in a timely manner or within budget. Furthermore, a third-party manufacturer may possess technology related to the manufacture of our product candidate that such third party owns independently. This would increase our reliance on such third-party manufacturer or require us to obtain a license from such third-party manufacturer in order to have another third party manufacture our product candidates.</w:t>
      </w:r>
    </w:p>
    <w:p>
      <w:pPr>
        <w:spacing w:after="0" w:line="197"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If any of our product candidates is approved by any regulatory agency, we intend to utilize arrangements with third-party contract manufacturers for the commercial production of those products. This process is difficult and time-consuming and we may face competition for access to manufacturing facilities as there are a limited number of contract manufacturers operating under cGMPs that are capable of manufacturing our product candidates. Consequently, we may not be able to reach agreement with third-party manufacturers on satisfactory terms, which could delay our commercialization.</w:t>
      </w:r>
    </w:p>
    <w:p>
      <w:pPr>
        <w:spacing w:after="0" w:line="16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Some of our manufacturers are located outside of the United States. There is currently significant uncertainty about the future relationship between the United States and various other countries with respect to trade policies, treaties, government regulations, and tariffs. Increased tariffs or pending legislation that would impose federal contracting or federal funding limitations on parties directly using or connected to those using the services or equipment of certain foreign entities with known or alleged associations with foreign adversaries could potentially disrupt our existing supply chains and impose additional costs on our business. Additionally, it is possible further tariffs may be imposed that could affect imports of any APIs used in our product candidates in the future, or our business may be adversely impacted by retaliatory trade measures taken by China or other countries, including restricted access to such raw materials used in our product candidates. Given the uncertainty regarding how the U.S. or foreign governments will act with respect to tariffs, international trade agreements, and policies, further governmental action related to tariffs, additional taxes, contracting matters, regulatory changes, or other retaliatory trade measures in the future could occur with a corresponding detrimental impact on our business and financial condition.</w:t>
      </w:r>
    </w:p>
    <w:p>
      <w:pPr>
        <w:spacing w:after="0" w:line="19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failure, or the failure of our third-party manufacturers, to comply with applicable regulations could result in sanctions being imposed on us, including clinical holds, fines, injunctions, civil penalties, delays, suspension or withdrawal of approvals, seizures or voluntary recalls of product candidates, operating restrictions, and criminal prosecutions, any of which could significantly affect supplies of our product candidates. The facilities used by our contract manufacturers to manufacture our product candidates must be evaluated by the FDA and are required to register their facilities with the FDA, subjecting them to inspections to assess whether these facilities are in compliance with cGMPs.</w:t>
      </w:r>
    </w:p>
    <w:p>
      <w:pPr>
        <w:spacing w:after="0" w:line="183"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We do not control the manufacturing process of, and are completely dependent on, our contract manufacturing partners for compliance with cGMPs and comparable foreign requirements. If our contract manufacturers cannot successfully manufacture material that conforms to our specifications and the strict regulatory requirements of the FDA or other comparable regulatory authorities, we may not be able to secure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and/or maintain regulatory approval for our product candidates manufactured at these facilities. In addition, we have no control over the ability of our contract manufacturers to maintain adequate quality control, quality assurance, and qualified personnel. If the FDA finds deficiencies or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Contract manufacturers may face manufacturing or quality control problems causing drug substance production and shipment delays or a situation where the contractor may not be able to maintain compliance with the applicable cGMP and comparable foreign requirements. Any failure to comply with cGMP requirements or other FDA and comparable foreign regulatory requirements could adversely affect our clinical research activities and our ability to develop our product candidates and market our products, if approved.</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Contract manufacturers may face manufacturing or quality control problems causing drug substance production and shipment delays or a situation where the contractor may not be able to maintain compliance with the applicable cGMP requirements. Any failure to comply with cGMP requirements or other FDA and other comparable regulatory requirements could adversely affect our clinical research activities and our ability to develop our product candidates and market our products following approval, if obtained.</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Furthermore, should we decide to use any APIs in any of our product candidates that are proprietary to one or more third parties, we would need to maintain licenses to those APIs from those third parties. If we are unable to gain or continue to access rights to such APIs prior to conducting preclinical toxicology studies intended to support clinical trials, we may need to develop alternate product candidates from these programs by either accessing or developing alternate APIs, resulting in increased development costs and delays in commercialization of these product candidates. If we are unable to gain or maintain continued access rights to the desired APIs on commercially reasonable terms or develop suitable alternate APIs, we may not be able to commercialize product candidates from these programs.</w:t>
      </w:r>
    </w:p>
    <w:p>
      <w:pPr>
        <w:spacing w:after="0" w:line="183"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5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may in the future opportunistically pursue strategic partnerships or collaborations, as the advancement of our product candidates and development programs and the potential commercialization of our current and future product candidates will require substantial additional cash to fund expenses. If we believe that partnerships or collaborations can accelerate the development or maximize the market potential of our product candidates, we will consider entering into product, target and/or geographic specific strategic partnerships or collaborations on an opportunistic basis. Likely collaborators may include large and mid-size pharmaceutical companies, regional and national pharmaceutical companies, and biotechnology companies. In addition, if we are able to obtain regulatory approval for product candidates from foreign regulatory authorities, we may enter into partnerships or collaborations with international biotechnology or pharmaceutical companies for the commercialization of such product candidates.</w:t>
      </w:r>
    </w:p>
    <w:p>
      <w:pPr>
        <w:spacing w:after="0" w:line="18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partnership or collaboration will depend, among other things, upon our assessment of the collaborator’s resources and expertise, the terms and conditions of the proposed partnerships or collaboration, and the proposed collaborator’s evaluation of a number of factors. Those factors may include the potential differentiation of our product candidate from competing product candidates, design, or results of clinical trials, the likelihood of approval by the FDA or other comparable regulatory authorities and the regulatory pathway for any such approval, the potential market for the product candidate, the costs and complexities of manufacturing and delivering the product to patients, and the potential of competing products. The collaborator may also consider alternative product candidates or technologies for similar indications that may be available for partnership or collaboration and whether such a partnership or collaboration could be more attractive than the one with us for our product candidate. If we elect to increase our expenditures to fund development or commercialization activities on our own, we may need to</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80"/>
          </w:cols>
          <w:pgMar w:left="320" w:top="455" w:right="4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obtain additional capital, which may not be available to us on acceptable terms or at all. If we do not have sufficient funds, we may not be able to further develop our product candidates or bring them to market and generate product revenue.</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Partnerships and collaborations are each complex and time-consuming to negotiate and document. Further, there have been a significant number of recent business combinations among large pharmaceutical companies that have resulted in a reduced number of potential future collaborators. Any partnership or collaboration agreements that we enter into in the future may contain restrictions on our ability to enter into potential partnerships or collaborations or to otherwise develop specified product candidates. We may not be able to negotiate partnerships or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reduce the scope of any sales or marketing activities, or increase our expenditures and undertake development or commercialization activities at our own expense.</w:t>
      </w:r>
    </w:p>
    <w:p>
      <w:pPr>
        <w:spacing w:after="0" w:line="192"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Furthermore, if conflicts arise between our collaborators and us, the other party may act in a manner adverse to us and could limit our ability to implement our strategies. Our collaborators could conduct multiple product development efforts and could develop, either alone or with others, products in related fields that are competitive with the product candidates we may develop that are the subject of these partnerships or collaborations with us.</w:t>
      </w:r>
    </w:p>
    <w:p>
      <w:pPr>
        <w:spacing w:after="0" w:line="15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Competing products may preclude us from entering into partnerships or collaborations with their competitors, fail to obtain timely regulatory approvals, prevent us from obtaining timely regulatory approvals, terminate their agreements with us prematurely or fail to devote sufficient resources to the partnership or collaboration efforts, including development, delivery, manufacturing, and commercialization of products. Any of these developments could harm our company and product development efforts.</w:t>
      </w:r>
    </w:p>
    <w:p>
      <w:pPr>
        <w:spacing w:after="0" w:line="176"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enter into collaborations with third parties for the development and/or commercialization of our product candidates, our prospects with respect to those product candidates will depend in significant part on the success of those collaborations.</w:t>
      </w:r>
    </w:p>
    <w:p>
      <w:pPr>
        <w:spacing w:after="0" w:line="15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may enter into collaborations with third parties for the development and/or commercialization of certain of our product candidates. If we enter into such collaborations, we will have limited control over the amount and timing of resources that our collaborators will dedicate to the development or commercialization of our product candidates.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Collaborations involving our product candidates pose a number of risks, including the following:</w:t>
      </w:r>
    </w:p>
    <w:p>
      <w:pPr>
        <w:spacing w:after="0" w:line="131"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30" w:lineRule="exact"/>
        <w:rPr>
          <w:rFonts w:ascii="Times New Roman" w:cs="Times New Roman" w:eastAsia="Times New Roman" w:hAnsi="Times New Roman"/>
          <w:sz w:val="18"/>
          <w:szCs w:val="18"/>
          <w:color w:val="auto"/>
        </w:rPr>
      </w:pPr>
    </w:p>
    <w:p>
      <w:pPr>
        <w:jc w:val="both"/>
        <w:ind w:left="1080" w:right="46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and/or commercialization of our product candidates or may elect not to continue or renew development or commercialization programs, based on clinical trial results, changes in the collaborators’ strategic focus or available funding or external factors, such as an acquisition, which divert resources or create competing priorities;</w:t>
      </w:r>
    </w:p>
    <w:p>
      <w:pPr>
        <w:spacing w:after="0" w:line="81"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 marketing and distribution of such product or products;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424"/>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including trade secrets and intellectual property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85"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 and</w:t>
      </w:r>
    </w:p>
    <w:p>
      <w:pPr>
        <w:spacing w:after="0" w:line="130"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future collaborator of ours is involved in a business combination, it could decide to delay, diminish, or terminate the development or commercialization of any product candidate licensed to it by us.</w:t>
      </w:r>
    </w:p>
    <w:p>
      <w:pPr>
        <w:spacing w:after="0" w:line="172" w:lineRule="exact"/>
        <w:rPr>
          <w:sz w:val="20"/>
          <w:szCs w:val="20"/>
          <w:color w:val="auto"/>
        </w:rPr>
      </w:pPr>
    </w:p>
    <w:p>
      <w:pPr>
        <w:ind w:left="120" w:right="5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third-party manufacturer of our product candidates is unable to increase the scale of its production of our product candidates or increase the product yield of its manufacturing, then our manufacturing costs may increase and commercialization may be delayed.</w:t>
      </w:r>
    </w:p>
    <w:p>
      <w:pPr>
        <w:spacing w:after="0" w:line="159"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In order to produce sufficient quantities to meet the demand for clinical trials and, if approved, subsequent commercialization of our product candidates, our third-party manufacturers will be required to increase their production and optimize their manufacturing processes while maintaining the quality of our product candidates. The transition to larger scale production could prove difficult. In addition, if our third-party manufacturers are not able to optimize their manufacturing processes to increase the product yield for our product candidates, or if they are unable to produce increased amounts of our product candidates while maintaining the same quality then we may not be able to meet the demands of clinical trials or market demands, which could decrease our ability to generate profits and have a material adverse impact on our business, financial condition, and results of operations.</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product candidates proceed through preclinical studies to late-stage clinical trials towards potential approval and commercialization, it is common that various aspects of the development program, such as the vendors used to manufacture drug product or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and similar foreign notifications and approvals.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left="120" w:right="4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5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or delay in obtaining regulatory approval in one jurisdiction may have a negative effect on the regulatory approval process in others. For example, even if the FDA grants marketing approval of a product candidate, the European Commission or comparable foreign regulatory authorities must also approve the manufacturing and marketing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may also submit marketing authorization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83" w:lineRule="exact"/>
        <w:rPr>
          <w:sz w:val="20"/>
          <w:szCs w:val="20"/>
          <w:color w:val="auto"/>
        </w:rPr>
      </w:pPr>
    </w:p>
    <w:p>
      <w:pPr>
        <w:jc w:val="both"/>
        <w:ind w:left="120" w:right="6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7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are approved, they will be subject to ongoing regulatory requirements for manufacturing, labeling, packaging, storage, distribution, AE reporting, advertising, promotion, sampling, import, export,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comparable foreign requirements) and GCP requirements for any clinical trials that we conduct post-approval.</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Certain endpoint data we hope to include in any approved product labeling also may not make it into such labeling, including exploratory or secondary endpoint data such as patient-reported outcome measures.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other comparable regulatory authority approves our product candidates, we will have to comply with requirements including submissions of safety and other post-marketing information and reports and registration.</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AEs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93" w:lineRule="exact"/>
        <w:rPr>
          <w:sz w:val="20"/>
          <w:szCs w:val="20"/>
          <w:color w:val="auto"/>
        </w:rPr>
      </w:pPr>
    </w:p>
    <w:p>
      <w:pPr>
        <w:ind w:left="5540" w:right="240" w:hanging="4884"/>
        <w:spacing w:after="0" w:line="454" w:lineRule="auto"/>
        <w:tabs>
          <w:tab w:leader="none" w:pos="109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product recalls; 49</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withdrawal of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 The policies of the FDA and other comparable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5"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While we may in the future seek designations for our product candidates with the FDA and other comparable regulatory authorities that are intended to confer benefits such as a faster development process, an accelerated regulatory pathway, or regulatory exclusivity, there can be no assurance that we will successfully obtain such designations. In addition, even if one or more of our product candidates are granted such designations, we may not be able to realize the intended benefits of such designations.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FDA and other comparable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our product candidates. In addition, while such designations could expedite the development or approval process, they generally do not change the standards for approval. Even if we obtain such designations for our product candidates, there can be no assurance that we will realize their intended benefits.</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For example, we may seek a Fast Track Designation for future product candidates we develop. 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activities.</w:t>
      </w:r>
    </w:p>
    <w:p>
      <w:pPr>
        <w:spacing w:after="0" w:line="187"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We may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any product candidate we develop qualifies as a breakthrough therapy, the FDA may later decide that the drug no longer meets the conditions for qualification and rescind the designation.</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Even in the absence of obtaining Fast Track and/or Breakthrough Therapy Designations, a sponsor can seek priority review at the time of submitting a marketing application. The FDA may designate a product for priority review if it is a product that treats a serious condition and, if approved, would provide a significant improvement in safety or effectiveness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Priority review designation may be rescinded if a product no longer meets the qualifying criteria.</w:t>
      </w:r>
    </w:p>
    <w:p>
      <w:pPr>
        <w:spacing w:after="0" w:line="188"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Where appropriate, we may secure approval from the FDA or other comparable regulatory authorities through the use of the accelerated approval pathway.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or other comparable regulatory authorities, if our confirmatory trials do not verify clinical benefit, or if we do not comply with rigorous post-marketing requirements, the FDA or such other comparable regulatory authorities may seek to withdraw any accelerated approval we have obtained.</w:t>
      </w:r>
    </w:p>
    <w:p>
      <w:pPr>
        <w:spacing w:after="0" w:line="186" w:lineRule="exact"/>
        <w:rPr>
          <w:sz w:val="20"/>
          <w:szCs w:val="20"/>
          <w:color w:val="auto"/>
        </w:rPr>
      </w:pPr>
    </w:p>
    <w:p>
      <w:pPr>
        <w:ind w:left="120" w:right="60" w:firstLine="440"/>
        <w:spacing w:after="0" w:line="271" w:lineRule="auto"/>
        <w:rPr>
          <w:sz w:val="20"/>
          <w:szCs w:val="20"/>
          <w:color w:val="auto"/>
        </w:rPr>
      </w:pPr>
      <w:r>
        <w:rPr>
          <w:rFonts w:ascii="Times New Roman" w:cs="Times New Roman" w:eastAsia="Times New Roman" w:hAnsi="Times New Roman"/>
          <w:sz w:val="17"/>
          <w:szCs w:val="17"/>
          <w:color w:val="auto"/>
        </w:rPr>
        <w:t>We may seek an accelerated approval pathway for our one or more of our therapeutic candidates from the FDA or other comparable regulatory authorities. Under the accelerated approval provisions in the Federal Food, Drug, and Cosmetic Act, and the FDA’s implementing regulations, the FDA may grant accelerated approval to a therapeutic candidate designed to treat a serious or life-threatening condition that provides meaningful therapeutic benefit over available therapies upon a determination that the therapeutic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spacing w:after="0" w:line="17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Under FDORA, the FDA is permitted to require, as appropriate, that a post-approval confirmatory study or studies be underway prior to approval or within a specified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status updates on such studies to the FDA every 180 days to be publicly posted by the agency, or if such post-approval studies fail to verify the drug’s predicted clinical benefit. The FDA is empowered to take action, such as issuing fines, against companies that fail to conduct with due diligence any post-approval confirmatory study or submit timely reports to the agency on their progress.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80"/>
          </w:cols>
          <w:pgMar w:left="320" w:top="455"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Prior to seeking accelerated approval, we would seek feedback from the FDA or other comparable regulatory authorities and would otherwise evaluate our ability to seek and receive such accelerated approval.</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There can be no assurance that after our evaluation of the feedback and other factors we will decide to pursue or submit an NDA for accelerated approval or any other form of expedited development, review, or approval. Similarly, there can be no assurance that after subsequent feedback from the FDA or other comparable regulatory authorities, we will continue to pursue or apply for accelerated approval or any other form of expedited development, review, or approval, even if we initially decide to do so. Furthermore, if we decide to submit an application for accelerated approval, there can be no assurance that such application will be accepted or that any approval will be granted on a timely basis, or at all. The FDA or other comparable regulatory authorities could also require us to conduct further studies prior to considering our application or granting approval of any type, including, for example, if other products are approved via the accelerated pathway and subsequently converted by FDA to full approval. A failure to obtain accelerated approval or any other form of expedited development, review, or approval for our therapeutic candidate would result in a longer time period to commercialization of such therapeutic candidate, could increase the cost of development of such therapeutic candidate, and could harm our competitive position in the marketplace.</w:t>
      </w:r>
    </w:p>
    <w:p>
      <w:pPr>
        <w:spacing w:after="0" w:line="190"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 candidates may be regulated as controlled substances, the making, use, sale, importation, exportation, and distribution of which are subject to significant regulation by the U.S. Drug Enforcement Administration and other regulatory agencies.</w:t>
      </w:r>
    </w:p>
    <w:p>
      <w:pPr>
        <w:spacing w:after="0" w:line="15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do not yet fully understand the potential for GlyphAllo or Glyph2BLSD to be classified as controlled substances, but brexanolone is currently classified as a Schedule IV controlled substance under the Controlled Substances Act, or CSA and although non-hallucinogenic 2-bromo-LSD is not a controlled substance, it is an analogue of LSD, which is a Schedule I controlled substance under the CSA. Accordingly, we may need to conduct studies to assess the abuse potential of GlyphAllo and/or Glyph2BLSD, and pending the outcome of such evaluations, we may be required to provide a proposal for scheduling by the Drug Enforcement Administration, or the DEA, when submitting an NDA, which could cause delays in our development process or commercialization timing.</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DEA regulates controlled substances as Schedule I, II, III, IV, or V substances. Schedule I substances by definition have no established</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medicinal use and may not be marketed or sold in the United States. A pharmaceutical product may be listed as Schedule II, III, IV, or V, with Schedule</w:t>
      </w:r>
    </w:p>
    <w:p>
      <w:pPr>
        <w:spacing w:after="0" w:line="9" w:lineRule="exact"/>
        <w:rPr>
          <w:sz w:val="20"/>
          <w:szCs w:val="20"/>
          <w:color w:val="auto"/>
        </w:rPr>
      </w:pPr>
    </w:p>
    <w:p>
      <w:pPr>
        <w:jc w:val="both"/>
        <w:ind w:left="120" w:right="140" w:hanging="4"/>
        <w:spacing w:after="0" w:line="253" w:lineRule="auto"/>
        <w:tabs>
          <w:tab w:leader="none" w:pos="2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substances considered to present the highest risk of abuse and Schedule V substances the lowest relative risk of abuse among such substances. If any of our product candidates were to become subject to DEA oversight, such product candidates would be subject to additional restrictions regarding their manufacture, shipment, storage, sale, and use, depending on the scheduling of the active ingredients, and may limit the commercial potential of any of our product candidates, if approved.</w:t>
      </w:r>
    </w:p>
    <w:p>
      <w:pPr>
        <w:spacing w:after="0" w:line="18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Various states also independently regulate controlled substances. Though state controlled substances laws often mirror federal law, because the states are separate jurisdictions, they may separately schedule drugs as well. While some states automatically schedule a drug when the DEA does so, in other states there must be rulemaking or a legislative action. State scheduling may delay commercial sale of any controlled substance drug product for which we obtain federal regulatory approval and adverse scheduling could impair the commercial attractiveness of such product. If any of our product candidates is classified as a controlled substance, we or our collaborators would also be required to obtain separate state registrations in order to be able to obtain, handle, and distribute controlled substances for clinical trials or for commercial sale, and failure to meet applicable regulatory requirements could lead to enforcement and sanctions from the states in addition to those from the DEA or otherwise arising under federal law.</w:t>
      </w:r>
    </w:p>
    <w:p>
      <w:pPr>
        <w:spacing w:after="0" w:line="18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For any of our product candidates that may be classified as controlled substances, we and our suppliers, manufacturers, contractors, customers, and distributors are required to obtain and maintain applicable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registrations from state, federal, and foreign law enforcement and regulatory agencies and comply with state, federal, and foreign laws and regulations regarding the manufacture, use, sale, importation, exportation and distribution of controlled substances. There is a risk that DEA regulations may limit the supply of the compounds used in clinical trials for our product candidates, and, in the future, the ability to produce and distribute our products in the volume needed to meet commercial demand. Regulations associated with controlled substances govern manufacturing, labeling, packaging, testing, dispensing, production, and procurement quotas, recordkeeping, reporting, handling, storage,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Failure to obtain and maintain required registrations or comply with any applicable regulations could delay or preclude us from developing and commercializing our product candidates containing controlled substances and subject us to enforcement action. The DEA may seek civil penalties, refuse to renew necessary registrations, or initiate proceedings to revoke those registrations. In some circumstances, violations could lead to criminal proceedings. Because of their restrictive nature, these regulations could limit commercialization of any of our products or product candidates that are classified as controlled substances.</w:t>
      </w:r>
    </w:p>
    <w:p>
      <w:pPr>
        <w:spacing w:after="0" w:line="188" w:lineRule="exact"/>
        <w:rPr>
          <w:sz w:val="20"/>
          <w:szCs w:val="20"/>
          <w:color w:val="auto"/>
        </w:rPr>
      </w:pPr>
    </w:p>
    <w:p>
      <w:pPr>
        <w:ind w:left="120" w:right="4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and physicians and third-party payors subject us to anti-kickback, fraud and abuse and other healthcare laws and regulations, which could increase our compliance costs, and expose us to criminal sanctions, civil penalties, contractual damages, reputational harm and diminished profits, and future earnings.</w:t>
      </w:r>
    </w:p>
    <w:p>
      <w:pPr>
        <w:spacing w:after="0" w:line="17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pharmacies, consultants, marketing personnel, third-party payors, patient organizations, and customers expose us to broadly applicable foreign, federal and state fraud and abuse, and other healthcare laws and regulations. These laws include foreign, federal, and state anti-kickback laws, false claims statutes, civil monetary penalties laws, healthcare data privacy, and security laws, and consumer protection and unfair competition laws, as well as transparency laws regarding payments or other items of value provided to healthcare providers, and laws related to price reporting. Healthcare providers, physicians, and third-party payors in the United States and elsewhere play a primary role in the recommendation and prescription of pharmaceutical products. These laws may constrain the business or financial arrangements and relationships through which we conduct our operations, including how we research, market, sell, and distribute any product for which we obtain regulatory approval. For more information on healthcare laws and regulations that may impact our company, see the section titled “Business—Government Regulation—Other Healthcare Laws” included elsewhere in this prospectus.</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both internally and with third parties will comply with applicable healthcare and privacy laws and regulations will involve ongoing substantial costs. It is possible that governmental and enforcement authorities will conclude that our business practices may not comply with current or future statutes, regulations, or case law interpreting applicable fraud and abuse or other healthcare laws and regulations. Due to the breadth of these laws, the narrowness of statutory exceptions and regulatory safe harbors available, and the range of interpretations to which they are subject, it is possible that some of our current or future practices or arrangements might be challenged under one or more of these laws.</w:t>
      </w:r>
    </w:p>
    <w:p>
      <w:pPr>
        <w:spacing w:after="0" w:line="187" w:lineRule="exact"/>
        <w:rPr>
          <w:sz w:val="20"/>
          <w:szCs w:val="20"/>
          <w:color w:val="auto"/>
        </w:rPr>
      </w:pPr>
    </w:p>
    <w:p>
      <w:pPr>
        <w:ind w:left="120" w:right="360" w:firstLine="440"/>
        <w:spacing w:after="0" w:line="258"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time-consuming, resource-intensive, and can divert a company’s attention from the business.</w:t>
      </w:r>
    </w:p>
    <w:p>
      <w:pPr>
        <w:spacing w:after="0" w:line="183"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If our business practices or operations are found to be in violation of any of fraud and abuse, or other healthcare laws or governmental laws, regulations, agency guidance, or case law that may apply to us, we may be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subject to significant penalties, including administrative, civil, and criminal penalties, damages, fines, disgorgement, the exclusion from participation in federal and state healthcare programs, such as Medicare and Medicaid, integrity oversight, and reporting obligations, contractual damages, individual imprisonment, reputational harm, diminished profits, and future earnings,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184"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any of our product candidates, if approved, will depend in part on the extent to which governmental authorities and health insurers establish coverage, adequate reimbursement levels and favorable pricing policies. Coverage and reimbursement may be limited or unavailable in certain market segments for our product candidates, which could make it difficult for us to sell any approved product candidates profitably.</w:t>
      </w:r>
    </w:p>
    <w:p>
      <w:pPr>
        <w:spacing w:after="0" w:line="180"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success of our product candidates, if approved, depends on the availability of coverage and adequate reimbursement from third-party payors including governmental healthcare programs such as Medicare and Medicaid, private health insurers and other third-party payors. Patients who are provided medical treatment for their conditions generally rely on third-party payors to reimburse all or part of the costs associated with their treatment. Our ability to achieve coverage and acceptable levels of reimbursement for our product candidates by third-party payors will have an effect on our ability to successfully commercialize those products. We cannot be sure that coverage and reimbursement will be available for, or accurately estimate the potential revenue from, any product that we may develop. For more information on the laws and regulations that may impact coverage and reimbursement of our product candidates, see the section titled “Business—Government Regulation—Coverage and Reimbursement” included elsewhere in this prospectus.</w:t>
      </w:r>
    </w:p>
    <w:p>
      <w:pPr>
        <w:spacing w:after="0" w:line="19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81"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left="120" w:right="300" w:firstLine="440"/>
        <w:spacing w:after="0" w:line="277" w:lineRule="auto"/>
        <w:rPr>
          <w:sz w:val="20"/>
          <w:szCs w:val="20"/>
          <w:color w:val="auto"/>
        </w:rPr>
      </w:pPr>
      <w:r>
        <w:rPr>
          <w:rFonts w:ascii="Times New Roman" w:cs="Times New Roman" w:eastAsia="Times New Roman" w:hAnsi="Times New Roman"/>
          <w:sz w:val="17"/>
          <w:szCs w:val="17"/>
          <w:color w:val="auto"/>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if approved, on a payor-by-payor basis, with no assurance that coverage and adequate reimbursement will be obtained. Furthermore, rules and regulations regarding reimbursement change frequently, and, in some cases, at short notice, and we believe that additional changes in these rules and regulations are likely.</w:t>
      </w:r>
    </w:p>
    <w:p>
      <w:pPr>
        <w:spacing w:after="0" w:line="168"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Even if we obtain coverage for a given product, if approved, the resulting reimbursement payment rates might not be adequate for us to achieve or sustain profitability or may require cost-sharing (e.g., co-payments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coinsurance) that patients find unacceptably high. There is significant uncertainty related to insurance coverage and reimbursement of newly approved products. In the United States, the principal decisions about reimbursement for new medicines are typically made by U.S. Centers for Medicare &amp; Medicaid Services, or CMS. CMS decides whether and to what extent a new medicine will be covered and reimbursed under Medicare, and private payors tend to follow CMS coverage determinations to a substantial degree. Additionally, third-party payors may not cover or provide adequate reimbursement for a given product or, long-term follow-up evaluations, or other ancillary services required following the use of product candidates, once approved. Some third-party payors may require pre-approval of coverage or implement prior authorization or step therapy programs for new or innovative drug therapies before they will reimburse patients who use such therapies which may be time-consuming or costly for patients and lead to a reduction in revenue. Patients are unlikely to use our product candidates, once approved, unless coverage is provided and reimbursement is adequate to cover a significant portion of their cost. It is difficult to predict at this time what third-party payors will decide with respect to the coverage and reimbursement for our product candidates. Even if favorable coverage and reimbursement status is attained for one or more products for which we receive regulatory approval, less favorable coverage policies and reimbursement rates may be implemented in the future.</w:t>
      </w:r>
    </w:p>
    <w:p>
      <w:pPr>
        <w:spacing w:after="0" w:line="192" w:lineRule="exact"/>
        <w:rPr>
          <w:sz w:val="20"/>
          <w:szCs w:val="20"/>
          <w:color w:val="auto"/>
        </w:rPr>
      </w:pPr>
    </w:p>
    <w:p>
      <w:pPr>
        <w:jc w:val="both"/>
        <w:ind w:left="120" w:right="80" w:firstLine="440"/>
        <w:spacing w:after="0" w:line="257"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therapeutics products and services, and many third-party payors may refuse to provide coverage and reimbursement for particular drugs when an equivalent generic drug or a less expensive therapy is available. It is possible that a third-party payor may consider our product candidates as substitutable and offer to reimburse patients only for a less expensive competitor product.</w:t>
      </w:r>
    </w:p>
    <w:p>
      <w:pPr>
        <w:spacing w:after="0" w:line="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Even if we are successful in demonstrating improved efficacy or improved convenience of administration with our product candidates, pricing of existing drugs may limit the amount we will be able to charge for our products, if approved.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products, if approved, and may not be able to obtain a satisfactory financial return on products that we may develop.</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Moreover, increasing efforts by governmental and other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If, for example, we participate in the Medicaid Drug Rebate Program or other governmental pricing programs, in certain circumstances, our products, if approved, would be subject to ceiling prices set by such programs, which could reduce the revenue we may generate from any such products. Participation in such programs would also expose us to the risk of significant civil monetary penalties, sanctions, and fines should we be found to be in violation of any applicable obligations thereunder.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80"/>
          </w:cols>
          <w:pgMar w:left="320" w:top="455"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expect that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 if approved. 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or clearances of our product candidates, if any, may be.</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in some foreign countries, the proposed pricing for a product must be approved before it may be lawfully marketed. The requirements governing product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 do not follow price structures of the United States and generally prices tend to be significantly lower.</w:t>
      </w:r>
    </w:p>
    <w:p>
      <w:pPr>
        <w:spacing w:after="0" w:line="184"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Ongoing healthcare legislative and regulatory reform measures and cost containment initiatives may have a material adverse effect on our business and results of operations and increase the difficulty and cost for us to obtain coverage for and commercialize any of our current or future product candidates and may adversely affect the prices we may set.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could impact our business in the future by requiring, for example,</w:t>
      </w:r>
    </w:p>
    <w:p>
      <w:pPr>
        <w:spacing w:after="0" w:line="27" w:lineRule="exact"/>
        <w:rPr>
          <w:sz w:val="20"/>
          <w:szCs w:val="20"/>
          <w:color w:val="auto"/>
        </w:rPr>
      </w:pPr>
    </w:p>
    <w:p>
      <w:pPr>
        <w:ind w:left="380" w:hanging="264"/>
        <w:spacing w:after="0"/>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manufacturing arrangements, (2) additions or modifications to product labeling, (3) the recall or discontinuation of our products, or</w:t>
      </w:r>
    </w:p>
    <w:p>
      <w:pPr>
        <w:spacing w:after="0" w:line="9" w:lineRule="exact"/>
        <w:rPr>
          <w:rFonts w:ascii="Times New Roman" w:cs="Times New Roman" w:eastAsia="Times New Roman" w:hAnsi="Times New Roman"/>
          <w:sz w:val="18"/>
          <w:szCs w:val="18"/>
          <w:color w:val="auto"/>
        </w:rPr>
      </w:pPr>
    </w:p>
    <w:p>
      <w:pPr>
        <w:ind w:left="120" w:right="180" w:hanging="4"/>
        <w:spacing w:after="0" w:line="253" w:lineRule="auto"/>
        <w:tabs>
          <w:tab w:leader="none" w:pos="3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record-keeping requirements. Current and future legislation and regulations may increase the difficulty and cost for us to commercialize our drugs, if approved, and affect the prices we may obtain, including changes in coverage and reimbursement policies in certain market segments for our product candidates, which could make it difficult for us to sell our product candidates, if approved, profitably. If any such changes were to be imposed, they could adversely affect the operation of our business. See the section titled “Business—Current and Future U.S. Healthcare Reform” included elsewhere in this prospectus.</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Among policy makers and payors in the United States and elsewhere, there is significant interest in promoting changes in healthcare systems with the stated goals of containing healthcare costs, improving quality, and/or expanding access. For example, in March 2010, the ACA, was passed, which substantially changed the way healthcare is financed by both the government and private insurers, and continues to significantly impact the U.S. pharmaceutical industry. Since its enactment, certain provisions of the ACA have been subject to judicial, executive, and legislative challenges and may be subject to additional challenges in the future.</w:t>
      </w:r>
    </w:p>
    <w:p>
      <w:pPr>
        <w:spacing w:after="0" w:line="18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These changes included aggregate reductions to Medicare payments to providers, effective April 1, 2013, which, due to subsequent legislative amendments, will stay in effect through 2032 unless additional congressional action is taken.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 One Big Beautiful Bill Act, which was enacted in July 2025, imposes significant reductions in the funding of the Medicaid program. Such reductions are expected to apply significant funding pressure on state Medicaid budgets, decrease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55"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number of persons enrolled in Medicaid, and reduce the services covered by Medicaid, which could adversely affect our sales of any of our product candidates that we commercialize. These laws and regulatory changes may result in additional reductions in Medicare and other healthcare funding, which could have a material adverse effect on prescribers of our product candidates, if approved, and accordingly, our financial operations.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products have been a focus in this effort. There have been a number of federal and state proposals during the last few years regarding the pricing of pharmaceutical products, limiting coverage, and the amount of reimbursement for drugs and other medical products, government control and other changes to the healthcare system in the United States. Governments have shown significant interest in implementing cost-containment programs, including price controls, restrictions on reimbursement, and requirements for substitution of generic products. For example, the American Rescue Plan Act of 2021 eliminated the Medicaid statutory rebate cap of 100% of average manufacturer price as of January 1, 2024. Elimination of this cap may require pharmaceutical manufacturers to pay more in rebates than it receives on the sale of products, which could have a material impact on our business.</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cost of prescription pharmaceuticals in the United States has also been the subject of considerable discussion in the United States. There have been several Congressional inquiries, as well as legislative and regulatory initiatives and executive orders designed to, among other things, bring more transparency to product pricing, review the relationship between pricing and manufacturer patient programs, and reform government program reimbursement methodologies for drug products. Most significantly, in August 2022, President Biden signed the Inflation Reduction Act of 2022, or the IRA, into law. This statute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 program (beginning in 2025). CMS has published the negotiated prices for the initial ten drugs, which will first be effective in 2026, and has published the list of the subsequent 15 drugs that will be subject to negotiation. The IRA permits the Secretary of the Department of Health and Human Services, or the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The impact of the IRA on us and the pharmaceutical industry cannot yet be fully determined, but is likely to be significant.</w:t>
      </w:r>
    </w:p>
    <w:p>
      <w:pPr>
        <w:spacing w:after="0" w:line="18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Trump administration is pursuing a two-fold strategy to reduce drug costs in the U.S. While it is unclear whether and how the Trump proposals will be implemented, the Trump policies are likely to have a negative impact on the pharmaceutical industry and on our ability to receive adequate revenues for product candidates, if approved. On the one hand, the Trump administration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although proposed regulations have not yet been published.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Additional drug pricing proposals could appear in future legislation and it is possible that Congress could enact additional laws that negatively affect the pharmaceutical industry. Adoption of price controls and cost-containment measures, and adoption of more restrictive policies in jurisdictions with existing controls and measures, could further limit our revenue generated from the sale of any approved products.</w:t>
      </w:r>
    </w:p>
    <w:p>
      <w:pPr>
        <w:spacing w:after="0" w:line="19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CMS may develop new payment and delivery models, such as bundled payment models.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80"/>
          </w:cols>
          <w:pgMar w:left="320" w:top="455"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w:t>
      </w:r>
    </w:p>
    <w:p>
      <w:pPr>
        <w:spacing w:after="0" w:line="183"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At the state level, state governments have become increasingly active in developing proposals, passing legislation, and implementing regulations designed to control pharmaceutical and biological product pricing, including price or reimbursement constraints, discounts, formulary flexibility, restrictions on certain product access and marketing cost disclosure, drug price increase reporting, and transparency measures, and, in some cases, designed to encourage importation from other countries and bulk purchasing. Some states have enacted legislation creating so-called prescription drug affordability boards with the goal of imposing price limits on certain drugs in these states, while some states are also seeking to implement general, across the board price caps for pharmaceuticals, or are seeking to regulate drug distribution. These types of initiatives may result in additional reductions in Medicare, Medicaid, and other healthcare funding.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any of our current and future product candidates, if approved, or put pressure on our product pricing, which could negatively affect our business, financial condition, results of operations and prospects.</w:t>
      </w:r>
    </w:p>
    <w:p>
      <w:pPr>
        <w:spacing w:after="0" w:line="182"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We expect that these and other state and federal healthcare reform measures may be adopted in the future, any of which may result in additional reductions in Medicare and other healthcare funding, more rigorous coverage criteria, new payment methodologies, impose price controls, and additional downward pressure on the price that we receive for any approved product candidate for which we may obtain regulatory approval, and the frequency with which any such product candidate is prescribed or used. Any reduction in reimbursement from Medicare or other government programs may result in a similar reduction in payments from private payors. The implementation of cost containment measures, changes in healthcare spending and policy, or other healthcare reforms may prevent us from being able to generate revenue, attain profitability, or commercialize our product candidates, and materially affect our business. If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We cannot predict with certainty what impact any federal or state health reforms will have on us, but such changes could impose new or more stringent regulatory requirements on our activities or result in reduced reimbursement for our products.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If reimbursement of our products is unavailable or limited in scope or amount, or if pricing is set at unsatisfactory levels, our ability to generate revenues and become profitable could be impaired. For more details concerning the risks related to pricing and reimbursement in the EU, please refer to the discussion in the risk factor.</w:t>
      </w:r>
    </w:p>
    <w:p>
      <w:pPr>
        <w:spacing w:after="0" w:line="18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Similar political, economic, and regulatory developments are occurring in the EU and may affect the ability of pharmaceutical companies to profitably commercialize their products. In addition to continuing pressure on prices and cost containment measures, legislative developments at the EU or member state level may result in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December 13, 2021, Regulation No 2021/2282 on Health Technology Assessment, or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affected by litigation, government investigations and enforcement actions.</w:t>
      </w:r>
    </w:p>
    <w:p>
      <w:pPr>
        <w:spacing w:after="0" w:line="229" w:lineRule="exact"/>
        <w:rPr>
          <w:sz w:val="20"/>
          <w:szCs w:val="20"/>
          <w:color w:val="auto"/>
        </w:rPr>
      </w:pPr>
    </w:p>
    <w:p>
      <w:pPr>
        <w:ind w:left="120" w:right="260" w:firstLine="440"/>
        <w:spacing w:after="0" w:line="255" w:lineRule="auto"/>
        <w:rPr>
          <w:sz w:val="20"/>
          <w:szCs w:val="20"/>
          <w:color w:val="auto"/>
        </w:rPr>
      </w:pPr>
      <w:r>
        <w:rPr>
          <w:rFonts w:ascii="Times New Roman" w:cs="Times New Roman" w:eastAsia="Times New Roman" w:hAnsi="Times New Roman"/>
          <w:sz w:val="18"/>
          <w:szCs w:val="18"/>
          <w:color w:val="auto"/>
        </w:rPr>
        <w:t>We currently operate in a number of jurisdictions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claims and legal proceedings that may arise from conducting our business. Any determination that our operations or activities are not in compliance with existing laws or regulations could result in the imposition of fines, civil and criminal penalties, exclusion from participation in government-funded healthcare programs, such as Medicare and Medicaid, equitable remedies, including disgorgement, injunctive relief and/or other sanctions against us, and remediation of any such findings could have an adverse effect on our business operations.</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integrity oversight and reporting obligations, reputational damage and modifications of our business practices, which could have a material adverse effect on our business, financial condition, results of operations and prospects. Even if such a proceeding, investigation, or enforcement action is ultimately decided in our favor, the investigation and defense thereof could require substantial financial and management resources.</w:t>
      </w:r>
    </w:p>
    <w:p>
      <w:pPr>
        <w:spacing w:after="0" w:line="183" w:lineRule="exact"/>
        <w:rPr>
          <w:sz w:val="20"/>
          <w:szCs w:val="20"/>
          <w:color w:val="auto"/>
        </w:rPr>
      </w:pPr>
    </w:p>
    <w:p>
      <w:pPr>
        <w:ind w:left="120" w:right="7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and vendors may engage in misconduct or other improper activities, including noncompliance with regulatory standards and requirements.</w:t>
      </w:r>
    </w:p>
    <w:p>
      <w:pPr>
        <w:spacing w:after="0" w:line="159"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We are exposed to the risk of employee fraud or other illegal activity by our current and any future employees, independent contractors, consultants, CMOs, and vendors. Misconduct by these parties could include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intentional, reckless, and/or negligent conduct that fails to comply with the regulations set forth by the FDA or other comparable regulatory authorities, provide true, complete, and accurate information to the FDA and other comparable regulatory authorities, comply with manufacturing standards we may establish, comply with healthcare fraud and abuse laws and regulations, report financial information or data accurately, or disclose unauthorized activities to us. If we obtain FDA approval of any of our product candidates and begin commercializing those products in the United States, our potential exposure under these laws will increase significantly, and our costs associated with compliance with these laws are likely to increase. Employee misconduct could also involve the improper use of information obtained in the course of clinical 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and adverse effect on our business, financial condition, results of operations, and prospects,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business, financial condition, results of operations, and prospects.</w:t>
      </w:r>
    </w:p>
    <w:p>
      <w:pPr>
        <w:spacing w:after="0" w:line="1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comparable regulatory authorities actively enforce the laws and regulations prohibiting the promotion of off-label uses.</w:t>
      </w:r>
    </w:p>
    <w:p>
      <w:pPr>
        <w:spacing w:after="0" w:line="22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grants is limited to those specific diseases and indications for which a product is deemed to be safe and effective by FDA. While physicians in the United States may choose, and are generally permitted, to prescribe drugs for uses that are not described in the product’s labeling and for uses that differ from those tested in clinical trials and approved by the regulatory authorities, we may only promote or market our products in a manner that is consistent with their FDA-approved labeling. Similar requirements may apply in foreign jurisdictions.</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any product candidates, if approved, we could become subject to significant liability, which would materially adversely affect our business and financial condition. In addition, any such off-label use of our product candidates could harm our reputation in the marketplace among physicians and patients. There may also be increased risk of injury to patients if physicians attempt to use our product candidates for these uses for which they are not approved, which could lead to product liability suits that might require significant financial and management resources and that could harm our reputation.</w:t>
      </w:r>
    </w:p>
    <w:p>
      <w:pPr>
        <w:spacing w:after="0" w:line="188" w:lineRule="exact"/>
        <w:rPr>
          <w:sz w:val="20"/>
          <w:szCs w:val="20"/>
          <w:color w:val="auto"/>
        </w:rPr>
      </w:pPr>
    </w:p>
    <w:p>
      <w:pPr>
        <w:ind w:left="120" w:right="36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or other comparable regulatory authorities or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0"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of user fees, and statutory, regulatory, and policy changes.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Disruptions at the FDA or other comparable regulatory authorities or government agencies may also slow the time necessary for new drugs to be reviewed and/or approved by necessary government agencies, which would adversely affect our business. For example, in recent years, the U.S. government has shut down several times and certain regulatory agencies, such as the FDA, have had to furlough critical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w:t>
      </w:r>
    </w:p>
    <w:p>
      <w:pPr>
        <w:spacing w:after="0" w:line="187"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If a prolonged government shutdown occurs, including as a result of reaching the debt ceiling,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54"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EU drug marketing and reimbursement regulations may materially affect our ability to market and receive coverage for our products in the EU Member States.</w:t>
      </w:r>
    </w:p>
    <w:p>
      <w:pPr>
        <w:spacing w:after="0" w:line="15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intend to seek approval to market our product candidates in both the United States and potentially in selected foreign jurisdictions. If we obtain approval in one or more foreign jurisdictions for our product candidates, we will be subject to rules and regulations in those jurisdictions. In some foreign countries, particularly those in the European Union, the pricing of products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healthcare reform measures.</w:t>
      </w:r>
    </w:p>
    <w:p>
      <w:pPr>
        <w:spacing w:after="0" w:line="18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reward improper performance generally is typically governed by the national anti-bribery laws of EU Member States and the Bribery Act 2010 in the United Kingdom.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United Kingdom despite its departure from the European Union.</w:t>
      </w:r>
    </w:p>
    <w:p>
      <w:pPr>
        <w:spacing w:after="0" w:line="192" w:lineRule="exact"/>
        <w:rPr>
          <w:sz w:val="20"/>
          <w:szCs w:val="20"/>
          <w:color w:val="auto"/>
        </w:rPr>
      </w:pPr>
    </w:p>
    <w:p>
      <w:pPr>
        <w:jc w:val="both"/>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83"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In addition, in some foreign countries, including some countries in the European Union, the proposed pricing for a product must be approved before it may be lawfully marketed. The requirements governing product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40"/>
          </w:cols>
          <w:pgMar w:left="320" w:top="455"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pricing and reimbursement vary widely from country to country. For example, some EU Member States have the option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EU Member States, can further reduce prices. An EU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therapeutics products will allow favorable reimbursement and pricing arrangements for any of our products. Historically, products launched in the European Union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spacing w:after="0" w:line="186" w:lineRule="exact"/>
        <w:rPr>
          <w:sz w:val="20"/>
          <w:szCs w:val="20"/>
          <w:color w:val="auto"/>
        </w:rPr>
      </w:pPr>
    </w:p>
    <w:p>
      <w:pPr>
        <w:ind w:left="120" w:right="3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export and import controls, economic sanctions, and anti-corruption laws and regulations of the United States and other jurisdictions. We can face criminal liability and other serious consequences for violations of these laws and regulations, which can harm our business.</w:t>
      </w:r>
    </w:p>
    <w:p>
      <w:pPr>
        <w:spacing w:after="0" w:line="17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 Export controls and trade sanctions laws and regulations may restrict or prohibit altogether the provision, sale, or supply of our products to certain governments, persons, entities, countries, and territories, including those that are the target of comprehensive sanctions or an embargo. We are also subject to anti-corruption and anti-bribery laws, including the U.S. Foreign Corrupt Practices Act of 1977, as amended, the U.S. domestic bribery statute contained in 18 U.S.C. § 201, the U.S. Travel Act, and other state and national anti-bribery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3" w:lineRule="exact"/>
        <w:rPr>
          <w:sz w:val="20"/>
          <w:szCs w:val="20"/>
          <w:color w:val="auto"/>
        </w:rPr>
      </w:pPr>
    </w:p>
    <w:p>
      <w:pPr>
        <w:ind w:left="120" w:right="48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or any third-party manufacturer we engage now or in the future fail to comply with environmental, health and safety laws and regulations, we could become subject to fines or penalties or incur costs or liabilities that could have a material adverse effect on our business.</w:t>
      </w:r>
    </w:p>
    <w:p>
      <w:pPr>
        <w:spacing w:after="0" w:line="13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and third-party manufacturers we engage now are, and any third-party manufacturer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Although we maintain general liability insurance as well as workers’ compensation insurance to cover us for costs and expenses we may incur due to injuries to our employees resulting from the use of hazardous materials,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40"/>
          </w:cols>
          <w:pgMar w:left="320" w:top="455"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on our ability to obtain, maintain, enforce, and otherwise protect our intellectual property and proprietary technology, and if the scope of the intellectual property protection obtained is not sufficiently broad, our competitors or other third parties could develop and commercialize products and product candidates similar to ours and our ability to successfully develop and commercialize our product candidates may be adversely affected.</w:t>
      </w:r>
    </w:p>
    <w:p>
      <w:pPr>
        <w:spacing w:after="0" w:line="18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and maintain intellectual property rights protection through patents, trademarks, and trade secrets in the United States and other countries with respect to our technology and product candidates. If we do not adequately protect our intellectual property rights, competitors or other third parties may be able to erode, negate or preempt any competitive advantage we may have, which could harm our business and ability to achieve profitability. To protect our proprietary position, we and our licensors have filed patent applications and may file other patent applications in the United States or abroad related to our product candidates that are important to our business. In particular, we are heavily reliant on patent rights we have exclusively in-licensed from Monash University pursuant to the Monash License Agreement. The patent application process is expensive, time-consuming and complex. We may not be able to file, prosecute, maintain, enforce or license all necessary or desirable patent applications at a reasonable cost or in a timely manner.</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or our licensors may not be able to obtain patents on certain inventions if those inventions are publicly disclosed prior to our filing a patent application covering them. We enter into nondisclosure and confidentiality agreements with parties who have access to confidential information, including confidential information regarding inventions not yet disclosed in patent applications. We cannot guarantee that any of these parties will not breach these confidentiality agreements and publicly disclose any of our inventions before a patent application is filed covering such inventions. If such confidential information is publicly disclosed, we may not be able to successfully patent the inventions and consequently, we may not be able to prevent third parties from using such inventions.</w:t>
      </w:r>
    </w:p>
    <w:p>
      <w:pPr>
        <w:spacing w:after="0" w:line="187"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If the scope of the patent protection we obtain is not sufficiently broad, we may not be able to prevent others from developing and commercializing technology and products similar or identical to ours.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owned or in-licensed patents have, or that any of our owned or in-licensed pending patent applications that mature into issued patents will include claims with a scope sufficient</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80"/>
          </w:cols>
          <w:pgMar w:left="320" w:top="455" w:right="4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to protect our product candidates or otherwise provide any competitive advantage. Other parties have developed or may develop technologies that may be related to or competitive with our approach, and may have filed or may file patent applications and may have been issued or may be issued patents with claims that overlap or conflict with our patent portfolio, either by claiming the same compounds, formulations, or methods or by claiming subject matter that could dominate our patent position. In addition, the laws of foreign countries may not protect our rights to the same extent as the laws of the United States. Furthermore, patents have a limited lifespan. In the United States, the natural expiration of a patent is generally twenty years after the first non-provisional patent application has been filed. Various extensions may be available; however, the life of a patent, and the protection it affords, is limited. Given the amount of time required for the development, testing, and regulatory review of product candidates, patents protecting such product candidates might expire before or shortly after such product candidates are commercialized. As a result, our patent portfolio may not provide us with adequate and continuing patent protection sufficient to exclude others from commercializing products similar or identical to ours.</w:t>
      </w:r>
    </w:p>
    <w:p>
      <w:pPr>
        <w:spacing w:after="0" w:line="188"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Even if they are unchallenged, our owned and in-licensed patents and pending patent applications, if issued, may not provide us with any meaningful protection or prevent competitors from designing around our patent claims to circumvent our patent portfolio by developing similar or alternative product candidates in a non-infringing manner. For example, a third party may develop a product candidate that provides benefits similar to one of our product candidates but falls outside the scope of our owned or in-licensed patent rights. If the patent protection provided by the patent and patent applications we hold or pursue with respect to such product candidate is not sufficiently broad to impede such competition, our ability to successfully commercialize our product candidate could be negatively affected, which would harm our business.</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strengthen our patent position.</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It is possible that defects of form in the preparation or filing of our patent portfolio may exist, or may arise in the future, for example with respect to proper priority claims, inventorship, claim scope, or requests for patent term adjustments. If we or our partners, collaborators, or licensees, whether now or in the future, fail to establish, maintain or protect such patents and other intellectual property rights, such rights may be reduced or eliminated. If our partners, collaborators, or licensees are not fully cooperative or disagree with us as to the prosecution, maintenance, or enforcement of any patent rights, such patent rights could be compromised. If there are material defects in the form, preparation, prosecution, or enforcement of our patent portfolio, such patents may be held to be invalid and/or unenforceable, and such applications may never result in valid, enforceable patents. Periodic maintenance fees, renewal fees, annuity fees, and various other government fees on patents and/or applications will be due to be paid to the U.S. Patent and Trademark Office, or the USPTO, and various government patent agencies outside of the United States over the lifetime of our owned or licensed patents and patent applications. We rely on our outside counsel or our licensing partners to pay these fees due to U.S. and non-U.S. patent agencies. The USPTO and various non-U.S. government patent agencies require compliance with several procedural, documentary, fee payment and other similar provisions during the patent application process. While an inadvertent lapse can, and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Non-compliant events that could result in abandonment or lapse of a patent or patent application include, but are not limited to, failure to respond to official actions within prescribed time limits, non-payment of fees and failure to properly legalize and submit formal documents. The USPTO and various non-U.S. government agencies require compliance with certain foreign filing requirements during the patent application process. For example, in some countries, including the U.S.,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but not</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00"/>
          </w:cols>
          <w:pgMar w:left="320" w:top="455"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all cases, for example in China and India, a foreign filing license cannot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 In such an event, potential competitors might be able to enter the relevant markets with similar or identical products or technology, which could have a material adverse effect on our business, financial condition, results of operations and prospects. We may also be dependent on our licensors to take the necessary actions to comply with these requirements with respect to our licensed intellectual property. Any of these outcomes could impair our ability to prevent competition from third parties, which may have an adverse impact on our business.</w:t>
      </w:r>
    </w:p>
    <w:p>
      <w:pPr>
        <w:spacing w:after="0" w:line="18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patent position of pharmaceutical and biotechnology companies carries uncertainty. As a result, the issuance, scope, validity, enforceability and commercial value of our patent rights are characterized by uncertainty.</w:t>
      </w:r>
    </w:p>
    <w:p>
      <w:pPr>
        <w:spacing w:after="0" w:line="162"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not published until 18 months after filing, or in some cases not at all. Therefore, we cannot be certain that we were the first to make the inventions claimed in our patent portfolio, or that we were the first to file for patent protection of such inventions. If third parties have filed prior patent applications on inventions claimed in our patent portfolio that were filed on or before March 15, 2013, an interference proceeding in the United States can be initiated by such third parties to determine who was the first to invent any of the subject matter covered by our patent portfolio. If third parties have filed such prior applications after March 15, 2013, a derivation proceeding in the United States can be initiated by such third parties to determine whether our invention was derived from theirs.</w:t>
      </w:r>
    </w:p>
    <w:p>
      <w:pPr>
        <w:spacing w:after="0" w:line="19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Moreover, because the issuance of a patent is not conclusive as to its inventorship, scope, validity or enforceability, any patents we may own or license may be challenged in the courts or patent offices in the United States and abroad. There is no assurance that all the potentially relevant prior art relating to our patent portfolio has been published or found. Therefore, we cannot know with certainty whether we were the first to make the inventions claimed in our patent portfolio, or that we were the first to file for patent protection of such inventions. If such prior art exists, it may be used to invalidate a patent, or may prevent a patent from issuing from a pending patent application. For example, such patent filings may be subject to a third-party submission of prior art to the USPTO, or to other patent offices around the world. Alternatively or additionally, we may become involved in post-grant review procedures, oppositions, derivation proceedings, ex parte reexaminations, inter partes review, supplemental examinations, or interference proceedings or challenges before the USPTO or in district court in the United States, or similar proceedings in various foreign jurisdictions, including both national and regional, challenging patents or patent applications in which we have rights, including patents on which we rely to protect our business. An adverse determination in any such challenge may result in loss of the patent or claims in the patent portfolio being narrowed, invalidated or held unenforceable, in whole or in part, or in denial of the patent application or loss or reduction in the scope of one or more claims of the patent portfolio, any of which could limit our ability to stop others from using or commercializing similar or identical technology and products, or limit the duration of the patent protection of our technology and products.</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or our licensors’ pending and future patent applications may not result in patents being issued that protect our business, in whole or in part, or which effectively prevent others from commercializing competitive products. For example, our or our licensors’ provisional applications may never result in issued patents. A provisional patent application is not eligible to become an issued patent until, among other things, we or our licensors file a non-provisional patent application within 12 months of filing the provisional patent application. If we or our licensors do not timely file non-provisional patent applications, we or our licensors may lose the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00"/>
          </w:cols>
          <w:pgMar w:left="320" w:top="455" w:right="4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priority dates with respect to such provisional patent applications and any patent protection on the inventions disclosed in such provisional patent applications. While we intend to timely file non-provisional patent applications relating to our current and future provisional patent applications, we cannot predict whether any of our or our licensors’ non-provisional patent applications directed to our technology and product candidates will result in the issuance of patents that effectively protect our technology and product candidates. Further, competitors may be able to design around our patents. Changes in either the patent laws or interpretation of the patent laws in the United States and other countries also may diminish the value of our patents or narrow the scope of our patent protection. In addition, the laws of foreign countries may not protect our rights to the same extent or in the same manner as the laws of the United States. For example, patent laws in various jurisdictions, including jurisdictions that coincide with significant commercial markets, such as the European Patent Office, China, and Japan, restrict the patentability of methods of treatment of the human body more than United States law does, and India does not permit the patenting of methods of treatment at all. These differences in patent protection may have a material adverse effect on our ability to adequately protect our inventions against unauthorized use by third parties.</w:t>
      </w:r>
    </w:p>
    <w:p>
      <w:pPr>
        <w:spacing w:after="0" w:line="194"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any of our future development partners will be successful in protecting our product candidates by obtaining and defending patents. These risks and uncertainties include the following:</w:t>
      </w:r>
    </w:p>
    <w:p>
      <w:pPr>
        <w:spacing w:after="0" w:line="81" w:lineRule="exact"/>
        <w:rPr>
          <w:sz w:val="20"/>
          <w:szCs w:val="20"/>
          <w:color w:val="auto"/>
        </w:rPr>
      </w:pPr>
    </w:p>
    <w:p>
      <w:pPr>
        <w:ind w:left="1080" w:hanging="424"/>
        <w:spacing w:after="0" w:line="261"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There are situations in which noncompliance, whether intentional or not,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85"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 or even if issued may not provide adequate patent coverage to prevent a competitor from developing a competing product or otherwise provide us with any competitive advantage;</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company-owned or in-licensed patents that have been issued or may be issued in the future may be challenged, invalidated, modified, revoked, circumvented, found to be unenforceable or otherwise may not provide any competitive advantage;</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some of which may have substantially greater resources, may seek or may have already obtained patents that will limit, interfere with or eliminate our ability to make, use, and sell our product candidates, if approved;</w:t>
      </w:r>
    </w:p>
    <w:p>
      <w:pPr>
        <w:spacing w:after="0" w:line="67" w:lineRule="exact"/>
        <w:rPr>
          <w:rFonts w:ascii="Times New Roman" w:cs="Times New Roman" w:eastAsia="Times New Roman" w:hAnsi="Times New Roman"/>
          <w:sz w:val="18"/>
          <w:szCs w:val="18"/>
          <w:color w:val="auto"/>
        </w:rPr>
      </w:pPr>
    </w:p>
    <w:p>
      <w:pPr>
        <w:jc w:val="both"/>
        <w:ind w:left="1080" w:right="26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U.S. courts, allowing foreign competitors a better opportunity to create, develop and market competing products;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U.S. may, under certain circumstances, force us to grant a license under our patents to a competitor, thus allowing the competitor to compete with us in that jurisdiction or forcing us to lower the price of our drug in that jurisdiction;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also be delays at the USPTO caused by staffing cuts and other U.S. government actions as a result of the U.S. Department of Government Efficiency or other executive actions to reduce the size of the U.S. government.</w:t>
      </w:r>
    </w:p>
    <w:p>
      <w:pPr>
        <w:spacing w:after="0" w:line="162" w:lineRule="exact"/>
        <w:rPr>
          <w:sz w:val="20"/>
          <w:szCs w:val="20"/>
          <w:color w:val="auto"/>
        </w:rPr>
      </w:pPr>
    </w:p>
    <w:p>
      <w:pPr>
        <w:ind w:left="120" w:right="940" w:firstLine="440"/>
        <w:spacing w:after="0" w:line="282" w:lineRule="auto"/>
        <w:rPr>
          <w:sz w:val="20"/>
          <w:szCs w:val="20"/>
          <w:color w:val="auto"/>
        </w:rPr>
      </w:pPr>
      <w:r>
        <w:rPr>
          <w:rFonts w:ascii="Times New Roman" w:cs="Times New Roman" w:eastAsia="Times New Roman" w:hAnsi="Times New Roman"/>
          <w:sz w:val="18"/>
          <w:szCs w:val="18"/>
          <w:color w:val="auto"/>
        </w:rPr>
        <w:t>Our competitors may also seek approval to market their own products similar to or otherwise competitive with our products. In these circumstances, we may need to defend or assert our patents, or both, including by</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60"/>
          </w:cols>
          <w:pgMar w:left="320" w:top="455" w:right="5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filing lawsuits alleging patent infringement. In any of these types of proceedings, a court or other agency with jurisdiction may find our patents invalid or unenforceable, or that our competitors do not infringe our patents. Thus, even if we have valid and enforceable patents, these patents still may not provide protection against competing products or processes sufficient to achieve our business objectives.</w:t>
      </w:r>
    </w:p>
    <w:p>
      <w:pPr>
        <w:spacing w:after="0" w:line="176"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We maintain certain information as company trade secrets. This information may relate to inventions that are not patentable or not optimally protected with patents. We use commercially acceptable practices to protect this information, including, for example, limiting access to the information and requiring passwords for our computers. Additionally, we execute confidentiality agreements with any third parties to whom we may provide access to the information and with our employees, consultants, scientific advisors, collaborators, vendors, contractors, and advisors. We cannot provide any assurances that all such agreements have been duly executed, and third parties may still obtain this information or may come upon this or similar information independently. It is possible that technology relevant to our business will be independently developed by a person who is not a party to such a confidentiality or invention assignment agreement. If any of our trade secrets were to be independently developed by a competitor or other third party, we would have no right to prevent such competitor or third party, or those to whom they communicate such independently developed information, from using that information to compete with us. We may not be able to prevent the unauthorized disclosure or use of our technical knowledge or trade secrets by contract manufacturers, consultants, collaborators, vendors, advisors, former employees and current employees. Monitoring unauthorized uses and disclosures is difficult and we do not know whether the steps we have taken to protect our proprietary technologies will be effective. Furthermore, if the parties to our confidentiality agreements breach or violate the terms of these agreements, we may not have adequate remedies for any such breach or violation, and we could lose our trade secrets as a consequence of such breaches or violations. Our trade secrets could otherwise become known or be independently discovered by our competitors. Additionally, if the steps taken to maintain our trade secrets are deemed inadequate, we may have insufficient recourse against third parties for misappropriating our trade secrets. If any of these events occurs or if we otherwise lose protection for our trade secrets, our business, financial condition, results of operation and prospects may be materially and adversely harmed.</w:t>
      </w:r>
    </w:p>
    <w:p>
      <w:pPr>
        <w:spacing w:after="0" w:line="175"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heavily reliant on in-licensed intellectual property, and if we fail to comply with our obligations in the agreements under which we license intellectual property rights from third parties or otherwise experience disruptions to our business relationships with our current and future licensors, we could lose license rights that are important to our business.</w:t>
      </w:r>
    </w:p>
    <w:p>
      <w:pPr>
        <w:spacing w:after="0" w:line="175"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We are heavily reliant upon the rights granted to us under the Asset Transfer Agreement and the Monash License Agreement pursuant to which, for the latter, we have been granted an exclusive, royalty-bearing license to certain patent rights that are important or necessary to the development of our proprietary technology and product candidates. Termination of the Asset Transfer Agreement or the Monash License Agreement or reduction or elimination of our licensed rights could lead to the loss of our ability to develop and commercialize our proprietary technology and product candidates.</w:t>
      </w:r>
    </w:p>
    <w:p>
      <w:pPr>
        <w:spacing w:after="0" w:line="16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future, we may need to obtain licenses to intellectual property rights necessary to develop and commercialize our product candidates or may need to amend existing or future licenses. If we are unable to obtain or amend such licenses at a reasonable cost or on reasonable terms, we may be unable to develop or commercialize our product candidates, which could harm our business significantly.</w:t>
      </w:r>
    </w:p>
    <w:p>
      <w:pPr>
        <w:spacing w:after="0" w:line="176" w:lineRule="exact"/>
        <w:rPr>
          <w:sz w:val="20"/>
          <w:szCs w:val="20"/>
          <w:color w:val="auto"/>
        </w:rPr>
      </w:pPr>
    </w:p>
    <w:p>
      <w:pPr>
        <w:ind w:left="120" w:right="180" w:firstLine="440"/>
        <w:spacing w:after="0" w:line="277" w:lineRule="auto"/>
        <w:rPr>
          <w:sz w:val="20"/>
          <w:szCs w:val="20"/>
          <w:color w:val="auto"/>
        </w:rPr>
      </w:pPr>
      <w:r>
        <w:rPr>
          <w:rFonts w:ascii="Times New Roman" w:cs="Times New Roman" w:eastAsia="Times New Roman" w:hAnsi="Times New Roman"/>
          <w:sz w:val="17"/>
          <w:szCs w:val="17"/>
          <w:color w:val="auto"/>
        </w:rPr>
        <w:t>As noted above, the Monash License Agreement imposes, and we expect that future license agreements will impose, diligence obligations, milestone and royalty payments, indemnification and other obligations on us. If we fail to comply with our obligations under one or more of these licenses, our licensors, including Monash University, may have the right to terminate the license agreement at issue. If one or more of these licenses is terminated, we may be unable to develop or commercialize our product candidates. Termination of any of our current or future license agreements or reduction or elimination of our licensed rights may require us to negotiate new or reinstated licenses with less favorable terms, even if available at all.</w:t>
      </w:r>
    </w:p>
    <w:p>
      <w:pPr>
        <w:spacing w:after="0" w:line="1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00"/>
          </w:cols>
          <w:pgMar w:left="320" w:top="455"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In addition, 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the licensed rights, or increase what we believe to be our diligence, development, regulatory, commercialization, financial or other obligations under the relevant agreement. In addition, if disputes over the license agreements or the in-licensed intellectual property prevent or impair our ability to maintain our current license agreements on commercially acceptable terms, we may be unable to successfully develop and commercialize the affected product candidate. Any of the foregoing could have a material adverse effect on our business, financial condition, results of operations and prospects.</w:t>
      </w:r>
    </w:p>
    <w:p>
      <w:pPr>
        <w:spacing w:after="0" w:line="17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License agreements we may enter into in the future may be non-exclusive, or may not include all territories or fields of use of interest to us. Accordingly, third parties may also obtain licenses from such licensors to the same intellectual property rights they have licensed to us. As a result, the licenses granted to us may not provide us with exclusive rights to use such patent and other intellectual property rights in all relevant fields of use and in all territories in which we may wish to develop or commercialize our product candidates, which may permit competitors to develop and commercialize a competitive product.</w:t>
      </w:r>
    </w:p>
    <w:p>
      <w:pPr>
        <w:spacing w:after="0" w:line="183"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Furthermore, in some cases, we may not have the right to control the preparation, filing and prosecution of patent applications, or to maintain the patents, covering technology that we in-license from third parties. Therefore, we cannot be certain that any in-licensed patent rights will be prosecuted, maintained and enforced in a manner consistent with the best interests of our business. If our future licensors or collaboration partners fail to obtain, maintain or protect any patents or patent applications licensed to us, decide not to pursue litigation against third-party infringers, fail to prosecute infringement, or fail to defend against counterclaims of patent invalidity and unenforceability, our rights to such patents and patent applications may be reduced or eliminated and our right to develop and commercialize any of our product candidates that are the subject of such licensed rights could be adversely affected.</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Disputes may arise between us and our current or future licensors regarding intellectual property subject to a license agreement, including:</w:t>
      </w:r>
    </w:p>
    <w:p>
      <w:pPr>
        <w:spacing w:after="0" w:line="131"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of the licensor that is not subject to the licensing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patents and other rights to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current or future licensors and us and our partners;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or license in the future, prevent or impair our ability to maintain our current licensing arrangements on acceptable terms, we may be unable to successfully develop and commercialize the affected product candidates.</w:t>
      </w:r>
    </w:p>
    <w:p>
      <w:pPr>
        <w:spacing w:after="0" w:line="162"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Despite our best efforts, our current or future licensors might conclude that we materially breached our license agreements and might therefore terminate the license agreements, thereby removing our ability to develop and commercialize products, if approved, and technology covered by these license agreements. As a result, we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may be required to cease our development and commercialization of our product candidates and use of our proprietary technologies covered by the patent rights owned by the licensors. Furthermore, if the in-licensed patent rights fail to provide the intended exclusivity, competitors will have the freedom to seek regulatory approval of, and to market, products identical to ours. These events could have a material adverse effect on our competitive position, business, financial condition, results of operations, and prospects. For a more complete description of our license agreements, see the section titled “Business—License Agreement.”</w:t>
      </w:r>
    </w:p>
    <w:p>
      <w:pPr>
        <w:spacing w:after="0" w:line="179"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acquire or license additional intellectual property from third parties, and such licenses may not be available or may not be available on commercially reasonable terms.</w:t>
      </w:r>
    </w:p>
    <w:p>
      <w:pPr>
        <w:spacing w:after="0" w:line="15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of our product candidates. It may be necessary for us to use the patented or proprietary technology of one or more third parties to commercialize our current and future product candidates.</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area, and a number of more established companies may pursue strategies to license or acquire third-party intellectual property rights that we may consider attractive. These established companies may have a competitive advantage over us due to their size, cash resources and greater clinical development. If we are unable to acquire such intellectual property outright, or obtain licenses to such intellectual property from such third parties when needed or on commercially reasonable terms, our ability to commercialize our product candidates, if approved, would likely be delayed or we may have to abandon development of that product candidate and our business and financial condition could suffer.</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we in-license product candidates in the future, we might become dependent on proprietary rights from third parties with respect to those product candidates. Any termination of such licenses could result in the loss of significant rights and would cause material adverse harm to our ability to develop and commercialize any product candidates subject to such licenses. Even if we are able to in-license any such necessary intellectual property, it could be on nonexclusive terms, including with respect to the use, field or territory of the licensed intellectual property, thereby giving our competitors and other third parties access to the same intellectual property licensed to us. We also may be unable to license or acquire third party intellectual property rights on terms that would allow us to make an appropriate return on our investment or at all. If we are unable to license such intellectual property, or if we are forced to license such intellectual property on unfavorable terms, our business could be materially harmed. In-licensing IP rights could require us to make substantial licensing and royalty payments. Patents licensed to us could be put at risk of being invalidated or interpreted narrowly in litigation filed by or against our licensors or another licensee or in administrative proceedings. If any in-licensed patents are invalidated or held unenforceable, we may not be able to prevent competitors or other third parties from developing and commercializing competitive products.</w:t>
      </w:r>
    </w:p>
    <w:p>
      <w:pPr>
        <w:spacing w:after="0" w:line="19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intellectual property rights that we may in-license in the future may be sublicensed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not have the right to control the prosecution, maintenance, enforcement or defense of patents and patent applications that we license from third parties, and may not have sufficient ability to provide input into the patent prosecution, maintenance and defense process with respect to such patents. In such cases, we would be reliant on the licensor to take any necessary actions. We cannot be certain that such licensor would act with our best interests in mind, or in compliance with applicable laws and regulations, or that their actions would result in valid and enforceable patents. For example, it is possible that a licensor’s actions in enforcing and/or defending a</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patent licensed by us may be less vigorous than had we conducted them ourselves. We cannot be certain that such activities by our licensors have been or will be conducted in compliance with applicable laws and regulations or will result in valid and enforceable patents or other intellectual property rights.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In addition, even when we have the right to control patent prosecution of licensed patents and patent applications, enforcement of licensed patents or defense of claims asserting the invalidity of those patents, we may still be adversely affected or prejudiced by actions or inactions of our licensors and their counsel that took place prior to or after our assuming control. This could cause us to lose rights in any applicable intellectual property that we in-license, and as a result our ability to develop and commercialize product candidates may be adversely affected and we may be unable to prevent competitors from making, using and selling competing products. Any of the foregoing could have a material adverse effect on our business, financial condition, results of operations and prospects.</w:t>
      </w:r>
    </w:p>
    <w:p>
      <w:pPr>
        <w:spacing w:after="0" w:line="177"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Our present or future licensors may have relied upon or may rely upon third-party consultants or collaborators or on funds from third parties such that our present or future licensors may not be the sole and exclusive owners of the patents we in-license. If other third parties have ownership rights to our present or future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 Furthermore, government agencies may provide, funding or other assistance in connection with the development of the intellectual property rights owned by or licensed to us. In addition, the U.S. federal government retains certain rights in inventions produced with its financial assistance under the Patent and Trademark Law Amendments Act, or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we choose to collaborate with academic institutions to accelerate our preclinical research or development, we cannot be sure that any co-developed intellectual property will be free from government rights pursuant to the Bayh-Dole Act.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19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risks described elsewhere pertaining to our intellectual property rights also apply to the intellectual property rights that we may own or in-license now or in the future, and any failure by us or our licensors to obtain, maintain, defend and enforce these rights could have an adverse effect on our business.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It is difficult and costly to protect our intellectual property and our proprietary technologies, and we may not be able to ensure their protection.</w:t>
      </w:r>
    </w:p>
    <w:p>
      <w:pPr>
        <w:spacing w:after="0" w:line="24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commercial success will depend in part on obtaining and maintaining patent protection and trade secret protection for our product candidates, as well as on successfully defending these patents against potential third-party challenges. Our ability to protect our product candidates from unauthorized making, using, selling, offering to sell or importing by third parties is dependent on the extent to which we have rights under valid and enforceable patents that cover these activities.</w:t>
      </w:r>
    </w:p>
    <w:p>
      <w:pPr>
        <w:spacing w:after="0" w:line="180"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patent positions of pharmaceutical, biotechnology and other life sciences companies can be highly uncertain and involve complex legal and factual questions for which important legal principles remain unresolved and have in recent years been the subject of much litigation. Changes in either the patent laws or in interpretations of patent laws in the United States and other countries may diminish the value of our intellectual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property. Over the past decade, U.S. federal courts have increasingly invalidated pharmaceutical and biotechnology patents during litigation often based on changing interpretations of patent law. Further, the determination that a patent application or patent claim meets all the requirements for patentability is a subjective determination based on the application of law and jurisprudence. The ultimate determination by the USPTO or by a court or other trier of fact in the United States, or corresponding foreign national patent offices or courts, on whether a claim meets all requirements of patentability cannot be assured. Although we have conducted searches for third-party publications, patents and other information that may affect the patentability of claims in our patent portfolio, we cannot be certain that all relevant information has been identified. Accordingly, we cannot predict the breadth of claims that may be allowed or enforced in our own patent portfolio.</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cannot provide assurances that any of our or our licensors’ pending patent applications will be found to be patentable, including over our own prior art publications or patent literature, or will issue as patents. Neither can we make assurances as to the scope of any claims of the issued patents that we own or in-licensed or any claims that may issue from our or our licensors’ pending and future patent applications nor to the outcome of any proceedings by any potential third parties that could challenge the patentability, validity or enforceability of our patent portfolio in the United States or foreign jurisdictions. Any such challenge, if successful, could limit patent protection for our product candidates and/or materially harm our business.</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67" w:lineRule="exact"/>
        <w:rPr>
          <w:sz w:val="20"/>
          <w:szCs w:val="20"/>
          <w:color w:val="auto"/>
        </w:rPr>
      </w:pPr>
    </w:p>
    <w:p>
      <w:pPr>
        <w:ind w:left="1080" w:right="1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data to support full patent applications that protect the entire breadth of developments in one or more of our programs;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one or more of our pending patent applications will not become an issued patent or, if issued, that the patent claims will not have sufficient scope to protect our technology, provide us with commercially viable patent protection or provide us with any competitive advantages;</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pending applications issue as patents, they may be challenged by third parties as invalid or unenforceable under United States or foreign laws;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commercialize our product candidates, if approved, before our relevant patents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the first to file patent applications for the inventions covered by our patent portfolio;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separately patentable.</w:t>
      </w:r>
    </w:p>
    <w:p>
      <w:pPr>
        <w:spacing w:after="0" w:line="225"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extent that we are unable to obtain and maintain patent protection for our product candidates, or in the event that such patent protection expires, it may no longer be cost-effective to extend our portfolio by pursuing additional development of any of our product candidates for follow-on indications.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products for an adequate amount of time.</w:t>
      </w:r>
    </w:p>
    <w:p>
      <w:pPr>
        <w:spacing w:after="0" w:line="229"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Patents have a limited term. In the United States, if all maintenance fees are timely paid, the natural expiration of a patent is generally twenty years from its earliest U.S. non-provisional filing date. The patent term of a U.S. patent may be lengthened by patent term adjustment, which compensates a patentee for administrative delays by the USPTO in granting a patent, or may be shortened if a patent is terminally disclaimed over another patent having an earlier expiration date. Even if patents covering our drug candidates are obtained, once the patent life has expired for a drug candidate, we may be open to competition from competitive medications, including generic versions. Given the amount of time required for the development, testing and regulatory review of new drug candidates, patents directed towards such drug candidates might expire before or shortly after such drug candidates are commercialized. As a result, our owned and licensed patent portfolio may not provide us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sufficient rights to exclude others from commercializing drug candidates similar or identical to ours for a meaningful amount of time, or at all.</w:t>
      </w:r>
    </w:p>
    <w:p>
      <w:pPr>
        <w:spacing w:after="0" w:line="22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Various extensions may be available, but the life of a patent, and the protection it affords, is limited. Given the amount of time required for the development, testing and regulatory review of product candidates, patents protecting such product candidates might expire before or shortly after such product candidates are commercialized.</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the United States, the Drug Price Competition and Patent Term Restoration Act of 1984 permits a Patent Term Extension, or PTE, of up to five years beyond the normal expiration of the patent to compensate patent owners for loss of enforceable patent term due to the lengthy regulatory approval process. A PTE grant cannot extend the remaining term of a patent beyond a total of 14 years from the date of the product approval. Further, PTE may only be applied once per product, and only with respect to an approved indication—in other words, only one patent (for example, covering the product itself, an approved use of said product, or a method of manufacturing said product) can be extended by PTE. Moreover, the scope of protection during the period of the PTE does not extend to the full scope of the claim, but instead only to the scope of the product as approved. We anticipate applying for PTE in the United States. Similar extensions may be available in other countries where we are prosecuting patents and we likewise anticipate applying for such extensions.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granting of such patent term extensions is not guaranteed and is subject to numerous requirements. We might not be granted an extension because of, for example, failure to apply within applicable periods, failure to apply prior to the expiration of relevant patents, failure to exercise due diligence during the testing phase or regulatory review process or any other failure to satisfy any of the numerous applicable requirements. In addition, to the extent we wish to pursue patent term extension based on a patent that we in-license from a third party, we would need the cooperation of that third party. Moreover,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obtain approval of competing products following our patent expiration by referencing our clinical and preclinical data and launch their product earlier than might otherwise be the case. If this were to occur, it could have a material adverse effect on our ability to generate revenue.</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Further, there are detailed rules and requirements regarding the patents that may be submitted to the FDA for listing in the Approved Drug Products with Therapeutic Equivalence Evaluations, or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drug candidate. Where patents are listed, an ANDA or 505(b)(2) applicant seeking approval before patent expiry must submit a Paragraph IV certification; if we sue within 45 days of notice, approval of the ANDA or 505(b)(2) application may be stayed for up to 30 months, though the patent can still be invalidated or found not infringed.</w:t>
      </w:r>
    </w:p>
    <w:p>
      <w:pPr>
        <w:spacing w:after="0" w:line="185"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interpretation of patent law in the United States and other jurisdictions could diminish the value of patents in general, thereby impairing our ability to protect our products.</w:t>
      </w:r>
    </w:p>
    <w:p>
      <w:pPr>
        <w:spacing w:after="0" w:line="15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time-consuming and inherently uncertain. Changes in either the patent laws or interpretation of the patent laws in the United States could increase the uncertainties and costs, and may diminish our ability to protect our inventions, obtain, maintain and enforce our intellectual property rights and, more generally, could affect the value of our intellectual property or narrow the scope of our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owned and licensed patents. The U.S. Congress is responsible for passing laws establishing patentability standards. As with any laws, implementation is left to federal agencies and the federal courts based on their interpretations of the laws. Interpretation of patent standards can vary significantly within the USPTO, and across the various federal courts, including the U.S. Supreme Court. Recently, the Supreme Court has ruled on several patent cases, generally limiting the types of inventions as well as the scope of inventions that can be patented.</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to increasing uncertainty with regard to our ability to obtain patents in the future, the legal landscape in the U.S. has created uncertainty with respect to the value of patents. Depending on any proposed or already implemented actions by U.S. Congress, and future decisions by the lower federal courts and the U.S. Supreme Court, along with interpretations by the USPTO, the laws and regulations governing patents could change in unpredictable ways and could weaken our ability to obtain new patents or to enforce our existing patents and patents that we might obtain in the future as well as the cost associated with the filing, prosecution and maintenance of our or our licensors patent rights.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Patent reform legislation in the United States and other countries could increase those uncertainties and costs. For example, the Leahy-Smith America Invents Act of 2011, or the Leahy-Smith Act, included a number of significant changes to United States patent law, including provisions that affect the way patent applications are prosecuted, redefine prior art and provide more efficient and cost-effective avenues for competitors to challenge the validity of patents, for example, via post grant review and inter partes review proceedings at the USPTO.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owned or in-licensed patents or any patents we may license in the future that would not have been invalidated if first challenged by the third party as a defendant in a district court action. In addition, the Leahy-Smith Act transformed the United States patent system into a “first to file” system.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9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The U.S. Supreme Court has ruled on several patent cases in recent years; these cases often narrow the scope of patent protection available to inventions in the pharmaceutical and biotechnology industries. We cannot predict how future decisions by the courts, the U.S. Congress or the USPTO may impact the value of our patents. For example, in 2023, the Federal Circuit issued a decision in </w:t>
      </w:r>
      <w:r>
        <w:rPr>
          <w:rFonts w:ascii="Times New Roman" w:cs="Times New Roman" w:eastAsia="Times New Roman" w:hAnsi="Times New Roman"/>
          <w:sz w:val="18"/>
          <w:szCs w:val="18"/>
          <w:i w:val="1"/>
          <w:iCs w:val="1"/>
          <w:color w:val="auto"/>
        </w:rPr>
        <w:t>In 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Cellect, LLC </w:t>
      </w:r>
      <w:r>
        <w:rPr>
          <w:rFonts w:ascii="Times New Roman" w:cs="Times New Roman" w:eastAsia="Times New Roman" w:hAnsi="Times New Roman"/>
          <w:sz w:val="18"/>
          <w:szCs w:val="18"/>
          <w:color w:val="auto"/>
        </w:rPr>
        <w:t>involving the interaction of patent term adjustment, or PTA, terminal disclaimers, and obviousness-type double patenting which may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patent term of any issued patents that rely on any PTA. In 2022, the U.S. Congress passed the Inflation Reduction Act, or IRA, which authorizes the Secretary of the Department of Health and Human Services, or HHS, to negotiate prices directly with participating manufacturers for selected medicines covered by Medicare even if these medicines are protected by an existing patent. For small molecule medicines, the process begins seven years after initial approval by the FDA. While we do not believe that the IRA or its effects will impact our ability to obtain patents in the near future, we cannot be certain that it will not affect our patent strategy in the long run.</w:t>
      </w:r>
    </w:p>
    <w:p>
      <w:pPr>
        <w:spacing w:after="0" w:line="19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Further, a new court system recently became operational in the European Union. The Unified Patent Court, or UPC, began accepting patent cases on June 1, 2023. The UPC is a common patent court with jurisdiction over patent infringement and revocation proceedings effective for multiple member states of the European Union. The broad geographic reach of the UPC could enable third parties to seek revocation of any of our European patents in a single proceeding at the UPC rather than through multiple proceedings in each of the individual European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Union member states in which the European patent is validated. Under the UPC, a successful revocation proceeding for a European Patent under the UPC would result in loss of patent protection in those European Union countries. Accordingly, a single proceeding under the UPC could result in the partial or complete loss of patent protection in numerous European Union countries. Such a loss of patent protection could have a material adverse impact on our business and our ability to commercialize our technology and product candidates and, resultantly, on our business, financial condition, prospects and results of operations. Moreover, the controlling laws and regulations of the UPC will develop over time and we cannot predict what the outcomes of cases tried before the UPC will be. The case law of the UPC may adversely affect our ability to enforce or defend the validity of our European patents. Patent owners have the option to opt-out their European Patents from the jurisdiction of the UPC, defaulting to pre-UPC enforcement mechanisms. We have not opted out our existing European patents and patent applications but we may in the future decide to opt out certain European patents and patent applications from the UPC. However, if certain formalities and requirements are not met, our European patents could be subject to the jurisdiction of the UPC. We cannot be certain that our European patents will avoid falling under the jurisdiction of the UPC, if we decide to opt out of the UPC.</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seek or obtain patent protection throughout the world or enforce such patent protection once obtained.</w:t>
      </w:r>
    </w:p>
    <w:p>
      <w:pPr>
        <w:spacing w:after="0" w:line="22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Filing, prosecuting, enforcing, and defending patents protecting our product candidates in all countries throughout the world would be prohibitively expensive, and our intellectual property rights in some countries outside the United States can be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products. Further, the standards applied by the USPTO and foreign patent offices in granting patents are not always applied uniformly or predictably. As such, we do not know the degree of future protection that we will have on our technologies, products and product candidates.</w:t>
      </w:r>
    </w:p>
    <w:p>
      <w:pPr>
        <w:spacing w:after="0" w:line="18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Many companies have encountered significant problems in protecting, enforcing and defending intellectual property rights in certain foreign jurisdictions, such as China and Russia. For example, further to the United States and foreign government actions related to Russia’s invasion of Ukraine, the Kremlin issued Decree 299 stating that Russian companies and individuals can use patented inventions without the owner’s permission or compensation, if the patent is held by owners from “unfriendly countries,” which include the United States. As a result, we would not be able to enforce our otherwise valid patent rights against an infringer in Russia. These and other restrictions could make it difficult for us to stop the infringement of our patents or the misappropriation of our other intellectual property rights in such countries.</w:t>
      </w:r>
    </w:p>
    <w:p>
      <w:pPr>
        <w:spacing w:after="0" w:line="192" w:lineRule="exact"/>
        <w:rPr>
          <w:sz w:val="20"/>
          <w:szCs w:val="20"/>
          <w:color w:val="auto"/>
        </w:rPr>
      </w:pPr>
    </w:p>
    <w:p>
      <w:pPr>
        <w:ind w:left="120" w:right="120" w:firstLine="440"/>
        <w:spacing w:after="0" w:line="274" w:lineRule="auto"/>
        <w:rPr>
          <w:sz w:val="20"/>
          <w:szCs w:val="20"/>
          <w:color w:val="auto"/>
        </w:rPr>
      </w:pPr>
      <w:r>
        <w:rPr>
          <w:rFonts w:ascii="Times New Roman" w:cs="Times New Roman" w:eastAsia="Times New Roman" w:hAnsi="Times New Roman"/>
          <w:sz w:val="17"/>
          <w:szCs w:val="17"/>
          <w:color w:val="auto"/>
        </w:rPr>
        <w:t>Furthermore, some foreign countries have compulsory licensing laws under which a patent owner must grant licenses to third parties. Consequently, we may not be able to prevent third parties from practicing our inventions in certain countries outside the United States and Europe or from selling or importing products made from our inventions in and into the United States or other jurisdictions. Competitors may use our technologies in jurisdictions where we have not obtained patent protection to develop and market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w:t>
      </w:r>
    </w:p>
    <w:p>
      <w:pPr>
        <w:spacing w:after="0" w:line="17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Proceedings to enforce our patent rights, whether successful or not, could result in substantial costs and divert our efforts and resources from other aspects of our business. Further, such proceedings could put our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patents at risk of being invalidated, held unenforceable or interpreted narrowly; put our pending patent applications at risk of not issuing; and provoke third parties to assert claims against us. We may not prevail in any lawsuits that we initiate, and the damages or other remedies awarded, if any, may not be commercially meaningful.</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Furthermore, while we intend to protect our intellectual property rights in major markets for our products, we cannot ensure that we will be able to initiate or maintain similar efforts in all jurisdictions in which we may wish to market our products, if approved. Accordingly, our efforts to protect our intellectual property rights in such countries may be inadequate. 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U.S., but may issue as patents with claims of different scope or may even be refused in other jurisdictions.</w:t>
      </w:r>
    </w:p>
    <w:p>
      <w:pPr>
        <w:spacing w:after="0" w:line="183"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order to protect our competitive position around our product candidates, we may become involved in lawsuits to protect or enforce our patents or other intellectual property, which could be expensive, time consuming and unsuccessful and which may result in our patents being found invalid or unenforceable.</w:t>
      </w:r>
    </w:p>
    <w:p>
      <w:pPr>
        <w:spacing w:after="0" w:line="17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We may find it impractical or undesirable to enforce our intellectual property against some third parties.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8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misappropriating or otherwise violating our intellectual property. Even if resolved in our favor, litigation or other legal proceedings relating to intellectual property claims could result in substantial costs and diversion of management resources,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which could harm our business. In addition, the uncertainties associated with litigation could compromise our ability to raise the funds necessary to continue our clinical trials, continue our internal research programs, or in-license needed technology.</w:t>
      </w:r>
    </w:p>
    <w:p>
      <w:pPr>
        <w:spacing w:after="0" w:line="158"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intellectual property rights of third parties, such litigation could be costly and time consuming and could prevent or delay us from developing or commercializing current and future product candidates.</w:t>
      </w:r>
    </w:p>
    <w:p>
      <w:pPr>
        <w:spacing w:after="0" w:line="15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and market our current as well as any future product candidates, without infringing the intellectual property and other proprietary rights of third parties. The biotechnology and pharmaceutical industries are characterized by extensive and complex litigation regarding patents and other intellectual property rights. As the biotechnology and pharmaceutical industries expand and more patents are issued, the risk increases that our product candidates may give rise to claims of infringement of the patent rights of others. If any third-party patents or patent applications are found to cover our current or any future product candidates or their methods of use, or other aspects of our current or future product candidates, we may not be free to manufacture or market such product candidates as planned without obtaining a license, which may not be available on commercially reasonable terms, or at all, or we may incur significant legal fees or damages. We may in the future become party to, or be threatened with, adversarial proceedings or litigation regarding intellectual property rights with respect to our current and any future product candidates and technology, including interference proceedings, post grant review and inter partes review before the USPTO. Third parties may assert infringement claims against us based on existing patents or patents that may be granted in the future, regardless of their merit. Moreover, in recent years, individuals and groups that are non-practicing entities, commonly referred to as “patent trolls,” have acquired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If a patent infringement suit were threatened or brought against us, we could be forced to stop or delay research, development, manufacturing or sales of the product or product candidate that is the subject of the actual or threatened suit.</w:t>
      </w:r>
    </w:p>
    <w:p>
      <w:pPr>
        <w:spacing w:after="0" w:line="19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spite of our efforts to avoid obstacles and disruptions arising from third-party intellectual property, it is impossible to establish with certainty that our programs directed to our current and any future product candidates will be free of claims by third-party intellectual property holders.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Even with modern databases and on-line search engines, literature searches are imperfect and may fail to identify relevant patents and published applications. Even when a third-party patent is identified, we may conclude upon a thorough analysis, that we do not infringe the patent or that the patent is invalid.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third-party’s pending application will issue with claims of relevant scope. Our failure to identify and correctly interpret relevant patents may negatively impact our ability to develop and market our products. If the third-party patent owner disagrees with our conclusion and we continue with the business activity in question, patent litigation may be initiated against us. Alternatively, we might decide to initiate litigation in an attempt to have a court declare the third-party patent invalid or non-infringed by our activity. In either scenario, patent litigation typically is costly and time-consuming, and the outcome is uncertain. The outcome of patent litigation is subject to uncertainties that cannot be quantified in advance, for example, the credibility of expert witnesses who may disagree on technical interpretation of scientific data. Ultimately, in the case of an adverse outcome in litigation, we could be prevented from commercializing a product or using certain</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aspects of our technology platform as a result of patent infringement claims asserted against us. This could have a material adverse effect on our business.</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pharmaceutical and biotechnology industries, and we may become party to, or threatened with, litigation or other adversarial proceedings regarding intellectual property rights with respect to our current or future product candidates, including interference proceedings before the USPTO. Third parties may assert infringement claims against us based on existing or future intellectual property rights.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any current or future product candidates, products, methods, processes, modeling or similar work either do not infringe the patent claims of the relevant patent or that the patent claims are invalid or unenforceable, and we may not be able to do this. Proving invalidity is difficult. For example, in the United States, proving invalidity requires a showing of clear and convincing evidence to overcome the presumption of validity enjoyed by issued patents.</w:t>
      </w:r>
    </w:p>
    <w:p>
      <w:pPr>
        <w:spacing w:after="0" w:line="19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we are found to infringe, misappropriate or otherwise violate a third party’s intellectual property rights, we could be forced, including by court order, to cease developing, manufacturing or commercializing the infringing product candidate or product or cease some of our business operations, which could harm our business.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 In addition, we could be found liable for monetary damages, including treble damages and attorneys’ fees if we are found to have willfully infringed a patent. We may be required to indemnify collaborators or contractors against such claims. A finding of infringement could prevent us from commercializing any future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involvement in litigation, and in, e.g., any interference, derivation, reexamination, inter partes review, opposition or post-grant proceedings or other intellectual property proceedings in the United States, or other jurisdictions, may divert management time from focusing on business operations, could cause us to spend significant amounts of money and may have no guarantee of success. Any current and potential intellectual property litigation also could force us to do one or more of the following:</w:t>
      </w:r>
    </w:p>
    <w:p>
      <w:pPr>
        <w:spacing w:after="0" w:line="85"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selling, manufacturing or using our products in the United States or other jurisdictions that use the intellectual property at issue;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from a third party asserting its intellectual property rights, a license to sell or use the relevant technology, which license may not be available on reasonable terms, or at all, or may be non-exclusive thereby giving our competitors access to the same technologies licensed to us;</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or processes that use any allegedly infringing or misappropriated technology, which may result in significant cost or delay to us, or which redesign could be technically infeasible; or</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damages, including the possibility of treble damages in a patent case if a court finds us to have willfully infringed certain intellectual property rights.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80"/>
          </w:cols>
          <w:pgMar w:left="320" w:top="455" w:right="4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Others may challenge inventorship or claim an ownership interest in our intellectual property which could expose it to litigation and have a significant adverse effect on its prospects.</w:t>
      </w:r>
    </w:p>
    <w:p>
      <w:pPr>
        <w:spacing w:after="0" w:line="15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or the effects of foreign laws where foreign nationals are involved in the development of the subject matter of the patent. Furthermore, ownership disputes may arise from alleged contributions of third parties involved in developing our product candidates and may result in joint ownership of our inventions. Litigation may be necessary to resolve these and other claims challenging inventorship and/or ownership. Any disagreement over inventorship could result in our being forced to defend our determination of inventorship in a legal action which could result in substantial costs and be a distraction to our senior management and scientific personnel.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9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While we typically require employees, consultants and contractors who may develop intellectual property on our behalf to execute agreements assigning such intellectual property to us, we may be unsuccessful in obtaining execution of assignment agreements with each party who in fact develops intellectual property that we regard as our own. Moreover, even when we obtain agreements assigning intellectual property to us, the assignment of intellectual property rights may not be self-executing or the assignment agreements may be breached. In either case,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If we are unsuccessful in obtaining assignment agreements from an employee, consultant or contractor who develops intellectual property on our behalf, the employee, consultant or contractor may later claim ownership of the invention. Any disagreement over ownership of intellectual property could result in our losing ownership, or exclusive ownership, of the contested intellectual property, paying monetary damages and/or being enjoined from clinical testing, manufacturing and marketing of the affected product candidate(s). Even if we are successful in prosecuting or defending against such claims, litigation could result in substantial costs and be a distraction to our senior management and scientific personnel.</w:t>
      </w:r>
    </w:p>
    <w:p>
      <w:pPr>
        <w:spacing w:after="0" w:line="186" w:lineRule="exact"/>
        <w:rPr>
          <w:sz w:val="20"/>
          <w:szCs w:val="20"/>
          <w:color w:val="auto"/>
        </w:rPr>
      </w:pPr>
    </w:p>
    <w:p>
      <w:pPr>
        <w:ind w:left="120" w:right="4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intellectual property litigation could lead to unfavorable publicity that could harm our reputation and cause the market price of our common stock to decline.</w:t>
      </w:r>
    </w:p>
    <w:p>
      <w:pPr>
        <w:spacing w:after="0" w:line="15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During the course of any patent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In such event, the market price of our common stock may decline.</w:t>
      </w:r>
    </w:p>
    <w:p>
      <w:pPr>
        <w:spacing w:after="0" w:line="172" w:lineRule="exact"/>
        <w:rPr>
          <w:sz w:val="20"/>
          <w:szCs w:val="20"/>
          <w:color w:val="auto"/>
        </w:rPr>
      </w:pPr>
    </w:p>
    <w:p>
      <w:pPr>
        <w:ind w:left="120" w:right="6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or we have misappropriated intellectual property from a competitor or third parties or claiming ownership of what we regard as our own intellectual property.</w:t>
      </w:r>
    </w:p>
    <w:p>
      <w:pPr>
        <w:spacing w:after="0" w:line="15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Many of our current and former employees and our licensors’ current and former employees, including our senior management, were previously employed at other pharmaceutical or biotechnology companies, including some which may be competitors or potential competitors. Although we take commercially reasonable steps to ensure that our employees do not use the proprietary information, know-how or trade secrets of others in their work for us, including incorporating such intellectual property into our product candidates, we may be subject to claims that we or these employees have misappropriated the intellectual property of a third party.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we or any of our employees are accused of misappropriating the proprietary information, know-how or trade secrets of a third party, we may be forced to defend such claims in litigation. If we are found to have misappropriated the intellectual property rights of a third party, we may be forced to pay monetary damages, sustain reputational damage, lose key personnel, or lose valuable intellectual property rights. Further, it may become necessary for us to obtain a license from such third party to commercialize any of our product candidates. Such a license may not be available on commercially reasonable terms or at all. Any of the aforementioned could materially affect the commercialization of any of our product candidates. Even if we are successful in defending against such claims, litigation could result in substantial costs and be a distraction to management.</w:t>
      </w:r>
    </w:p>
    <w:p>
      <w:pPr>
        <w:spacing w:after="0" w:line="183"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and our business would be harmed.</w:t>
      </w:r>
    </w:p>
    <w:p>
      <w:pPr>
        <w:spacing w:after="0" w:line="15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Along with patent protection, we also rely on trade secret protection for our proprietary information that is not amenable to, or that we do not consider appropriate for, patent protection, including, for example, certain aspects of our manufacturing processes. We seek to protect these trade secrets, in part, by entering into non-disclosure and confidentiality agreements with parties who have access to them, such as our employees, consultants, independent contractors, CROs, advisors, contract manufacturers, suppliers and other third parties. We also enter into confidentiality and invention or patent assignment agreements with employees and certain consultants.</w:t>
      </w:r>
    </w:p>
    <w:p>
      <w:pPr>
        <w:spacing w:after="0" w:line="183"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Trade secrets and confidential know-how are difficult to maintain as confidential. Although we use reasonable efforts to protect our trade secrets, any party with whom we have executed a confidentiality agreement may breach that agreement and disclose our proprietary information, including our trade secrets.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Enforcing a claim that a party illegally disclosed or misappropriated a trade secret is difficult, expensive and time-consuming, and the outcome is unpredictable. Accordingly, we may not be able to obtain adequate remedies for such breaches, despite any legal action that we might take against persons making such unauthorized disclosures. In addition, courts outside the United States sometimes are less willing than United States courts to protect trade secrets. As a result, we may encounter significant problems in protecting and defending our intellectual property both in the U.S. and abroad.</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 For example, we may choose not to file a patent application for certain inventions, instead choosing to rely on trade secret protection, and a third party may subsequently file a patent application covering such intellectual property. Although certain defenses maybe available to us, those defenses may not be available to a commercial partner or acquiror.</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Those with whom we collaborate on research and development related to current and future product candidates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We may also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40"/>
          </w:cols>
          <w:pgMar w:left="320" w:top="455" w:right="5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4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trademarks of interest and our business may be adversely affected.</w:t>
      </w:r>
    </w:p>
    <w:p>
      <w:pPr>
        <w:spacing w:after="0" w:line="15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current or future trademarks or trade names may be challenged, infringed, circumvented or declared generic or determined to be infringing on other marks. As a means to enforce our trademark rights and prevent infringement, we may be required to file trademark claims against third parties or initiate trademark opposition proceedings. This can be expensive and time-consuming, particularly for a company of our size. We may not be able to protect our rights to our trademarks and trade names or may be forced to stop using these names, which we need for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Moreover, any name we propose to use for our products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product names, we may be required to expend significant additional resources in an effort to identify a usable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If we are unable to establish name recognition based on our trademarks and trade names, we may not be able to compete effectively and our business may be adversely affected.</w:t>
      </w:r>
    </w:p>
    <w:p>
      <w:pPr>
        <w:spacing w:after="0" w:line="185"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collaboration arrangements that we may enter into in the future may not be successful, which could adversely affect our ability to develop and commercialize our products.</w:t>
      </w:r>
    </w:p>
    <w:p>
      <w:pPr>
        <w:spacing w:after="0" w:line="15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67" w:lineRule="exact"/>
        <w:rPr>
          <w:sz w:val="20"/>
          <w:szCs w:val="20"/>
          <w:color w:val="auto"/>
        </w:rPr>
      </w:pPr>
    </w:p>
    <w:p>
      <w:pPr>
        <w:ind w:left="1080" w:right="3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67" w:lineRule="exact"/>
        <w:rPr>
          <w:rFonts w:ascii="Times New Roman" w:cs="Times New Roman" w:eastAsia="Times New Roman" w:hAnsi="Times New Roman"/>
          <w:sz w:val="18"/>
          <w:szCs w:val="18"/>
          <w:color w:val="auto"/>
        </w:rPr>
      </w:pPr>
    </w:p>
    <w:p>
      <w:pPr>
        <w:ind w:left="1080" w:right="340" w:hanging="424"/>
        <w:spacing w:after="0" w:line="261"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85"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collaborations;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00"/>
          </w:cols>
          <w:pgMar w:left="320" w:top="455" w:right="4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32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use our intellectual property or proprietary information in a way that gives rise to actual or threatened litigation that could jeopardize or invalidate our intellectual property or proprietary information or expose us to potential liability or business risk;</w:t>
      </w:r>
    </w:p>
    <w:p>
      <w:pPr>
        <w:spacing w:after="0" w:line="67"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current or future product or products;</w:t>
      </w:r>
    </w:p>
    <w:p>
      <w:pPr>
        <w:spacing w:after="0" w:line="67"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 candidates that results from our collaborating with them, and in such cases, we would not have the exclusive right to develop or commercialize such intellectual property; and a collaborator’s sales and marketing activities or other operations may not be in compliance with applicable laws resulting in civil or criminal proceedings.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There has been no prior public market for our common stock, and an active trading market may not develop or be sustained.</w:t>
      </w:r>
    </w:p>
    <w:p>
      <w:pPr>
        <w:spacing w:after="0" w:line="229"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There has been no public market for our common stock prior to this offering. Although we have applied to list our common stock on The Nasdaq Global Select Market, an active or liquid market in our common stock may not develop upon closing of this offering or, if it does develop, it may not be sustainable. The initial public offering price for our common stock was determined through negotiations among the underwriters and us and may vary from the market price of our common stock following this offering. This price will not necessarily reflect the price at which investors in the market will be willing to buy and sell our shares following this offering. The lack of an active market may impair the value of your shares, your ability to sell your shares at the time you wish to sell them and the prices that you may obtain for your shares. An inactive market may also impair our ability to raise capital by selling our common stock and our ability to acquire other companies, products, or technologies by using our common stock as consideration.</w:t>
      </w:r>
    </w:p>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may be volatile, and you could lose all or part of your investment.</w:t>
      </w:r>
    </w:p>
    <w:p>
      <w:pPr>
        <w:spacing w:after="0" w:line="22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following this offering is likely to be highly volatile and could be subject to wide fluctuations in response to various factors, some of which are beyond our control, including limited trading volume. In addition to the factors discussed in this section and elsewhere in this prospectus, these factors include:</w:t>
      </w:r>
    </w:p>
    <w:p>
      <w:pPr>
        <w:spacing w:after="0" w:line="81"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completion, or results of our current or future preclinical and clinical trials for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identifying and advancing a clinical candidate for our other programs;</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suspensions, or terminations in future preclinical studies or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initiate a clinical trial, not to initiate a clinical trial or to terminate an existing clinical trial;</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8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of our product candidates, or the failure of a regulatory authority to accept data from preclinical studies or clinical trials conducted in other countries;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 candidates, including but not limited to clinical trial requirements for approvals;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manufacturers;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the healthcare payment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adequate product supply for any approved product or inability to do so at acceptable prices;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establish strategic partnerships or collaborations, if needed;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commercialize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any of our current or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offered by us or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or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we may otherwise provide to the public;</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product candidates in particular, or positive or negative recommendations or withdrawal of research coverage by securities analysts;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in the future;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practices;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our internal controls;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therapeutics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If the market price of our common stock after this offering does not exceed the initial public offering price, you may not realize any return on your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investment in us and may lose some or all of your investment.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spacing w:after="0" w:line="172"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w:t>
      </w:r>
    </w:p>
    <w:p>
      <w:pPr>
        <w:spacing w:after="0" w:line="15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due to a variety of factors, many of which are outside of our control and may be difficult to predict, including:</w:t>
      </w:r>
    </w:p>
    <w:p>
      <w:pPr>
        <w:spacing w:after="0" w:line="67" w:lineRule="exact"/>
        <w:rPr>
          <w:sz w:val="20"/>
          <w:szCs w:val="20"/>
          <w:color w:val="auto"/>
        </w:rPr>
      </w:pPr>
    </w:p>
    <w:p>
      <w:pPr>
        <w:ind w:left="1080" w:right="40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and, if approved, commercialization activities relating to our current and future product candidates, which may change from time to time;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status of enrollment for clinical trials;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as well as building out our supply chain, which may vary depending on the quantity of production and the terms of our agreements with manufacturers;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 candidates and technologies;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amount of any milestone, royalty, or other payments due under any collaboration or license agreement, including the Asset Transfer Agreement and/or the Monash License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preclinical studies and clinical trials for our product candidates or competing product candidates, or any other change in the competitive landscape of our industry, including consolidation among our competitors or partners;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receipt of approvals for our product candidates from regulatory authorities in the United States and internationally;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our product candidates, if approved, and potential future drugs that compete with our products;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 candidates, if approved, which may vary significantly over time.</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76"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future revenue or operating results fall below the expectations of analysts or investors or below any forecasts we may provide to the market, or if any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79"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5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Securities and industry analysts do not currently, and may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40"/>
          </w:cols>
          <w:pgMar w:left="320" w:top="455"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never, publish research on our company. If no securities or industry analysts commence coverage of our company, the trading price for our common stock would likely be negatively impacted. In the event securities or industry analysts initiate coverage,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179"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respective affiliates own a significant percentage of our stock and will be able to exert significant control over matters subject to stockholder approval.</w:t>
      </w:r>
    </w:p>
    <w:p>
      <w:pPr>
        <w:spacing w:after="0" w:line="15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Based on the beneficial ownership of our common stock as of         , 2026, prior to this offering, our executive officers, directors, holders of 5% or more of our capital stock and their respective affiliates beneficially owned approximately   % of our voting stock and, upon the completion of this offering, that same group will hold approximately   % of our outstanding voting stock (assuming no exercise of the underwriters’ option to purchase additional shares, no exercise of outstanding options and no purchases of shares in this offering by any of this group), in each case assuming the conversion of all outstanding shares of our convertible preferred stock into shares of our common stock. In particular, PureTech will own approximately   % of our common stock following this offering and will be our largest stockholder following this offering. As a result, PureTech along with stockholders who own more than 5% or more of our capital stock,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our stock price to fall.</w:t>
      </w:r>
    </w:p>
    <w:p>
      <w:pPr>
        <w:spacing w:after="0" w:line="22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stock price could decline as a result of sales of a large number of shares of common stock after this offering or the perception that these sales could occur. These sales, or the possibility that these sales may occur, might also make it more difficult for us to sell equity securities in the future at a time and price that we deem appropriate.</w:t>
      </w:r>
    </w:p>
    <w:p>
      <w:pPr>
        <w:sectPr>
          <w:pgSz w:w="11900" w:h="16838" w:orient="portrait"/>
          <w:cols w:equalWidth="0" w:num="1">
            <w:col w:w="11120"/>
          </w:cols>
          <w:pgMar w:left="320" w:top="455" w:right="459" w:bottom="1440" w:gutter="0" w:footer="0" w:header="0"/>
        </w:sectPr>
      </w:pPr>
    </w:p>
    <w:p>
      <w:pPr>
        <w:spacing w:after="0" w:line="176"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Upon the completion of this offering,         shares of common stock will be outstanding (or   option to purchase additional shares from us in full), based on the number of shares outstanding as of  </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firstLine="83"/>
        <w:spacing w:after="0" w:line="282" w:lineRule="auto"/>
        <w:rPr>
          <w:sz w:val="20"/>
          <w:szCs w:val="20"/>
          <w:color w:val="auto"/>
        </w:rPr>
      </w:pPr>
      <w:r>
        <w:rPr>
          <w:rFonts w:ascii="Times New Roman" w:cs="Times New Roman" w:eastAsia="Times New Roman" w:hAnsi="Times New Roman"/>
          <w:sz w:val="18"/>
          <w:szCs w:val="18"/>
          <w:color w:val="auto"/>
        </w:rPr>
        <w:t>      shares if the underwriters exercise their       , 2026.</w:t>
      </w:r>
    </w:p>
    <w:p>
      <w:pPr>
        <w:spacing w:after="0" w:line="161" w:lineRule="exact"/>
        <w:rPr>
          <w:sz w:val="20"/>
          <w:szCs w:val="20"/>
          <w:color w:val="auto"/>
        </w:rPr>
      </w:pPr>
    </w:p>
    <w:p>
      <w:pPr>
        <w:sectPr>
          <w:pgSz w:w="11900" w:h="16838" w:orient="portrait"/>
          <w:cols w:equalWidth="0" w:num="2">
            <w:col w:w="7560" w:space="60"/>
            <w:col w:w="3500"/>
          </w:cols>
          <w:pgMar w:left="320" w:top="455" w:right="459" w:bottom="1440" w:gutter="0" w:footer="0" w:header="0"/>
          <w:type w:val="continuous"/>
        </w:sectPr>
      </w:pPr>
    </w:p>
    <w:p>
      <w:pPr>
        <w:ind w:left="120" w:firstLine="440"/>
        <w:spacing w:after="0" w:line="241" w:lineRule="auto"/>
        <w:rPr>
          <w:sz w:val="20"/>
          <w:szCs w:val="20"/>
          <w:color w:val="auto"/>
        </w:rPr>
      </w:pPr>
      <w:r>
        <w:rPr>
          <w:rFonts w:ascii="Times New Roman" w:cs="Times New Roman" w:eastAsia="Times New Roman" w:hAnsi="Times New Roman"/>
          <w:sz w:val="18"/>
          <w:szCs w:val="18"/>
          <w:color w:val="auto"/>
        </w:rPr>
        <w:t>All shares of common stock expected to be sold in this offering will be freely tradable without restriction or further registration under the Securities Act of 1933, as amended, or the Securities Act, unless held by our “affiliates” as defined in Rule 144 under the Securities Act. The resale of the remaining         shares, or         % of our outstanding shares of common stock following this offering, is currently prohibited or otherwise restricted, subject to certain limited exceptions, as a result of securities law provisions, market standoff agreements entered into by certain of our stockholders with us or lock-up agreements entered into by our stockholders with the underwriters in connection with this offering. However, subject to applicable securities law restrictions, these shares will be able to be sold in the public market beginning on the 181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after the date of this prospectus. Shares issued upon the exercise of stock options outstanding under our equity incentive plans or pursuant to future awards granted under those plans will become available for sale in the public market to the extent permitted by the provisions of applicable vesting schedules, market stand-off agreements and/or lock-up</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agreements, as well as Rules 144 and 701 under the Securities Act. For more information, see the section titled “Shares Eligible for Future Sale” included elsewhere in this prospectus.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Upon the completion of this offering, the holders of approximately       shares,       or   %       of       our outstanding shares following this offering, of our common stock will have rights, subject to some conditions, to require us to file registration statements covering the sale of their shares or to include their shares in registration statements that we may file for ourselves or our other stockholders. We also intend to register the offer and sale of all shares of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the lock-up agreements described under the section titled “Underwriting” included elsewhere in this prospectus.</w:t>
      </w:r>
    </w:p>
    <w:p>
      <w:pPr>
        <w:spacing w:after="0" w:line="187"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spacing w:after="0" w:line="172"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how we use the proceeds of this offering and may not use these proceeds effectively, which could affect our results of operations and cause our stock price to decline.</w:t>
      </w:r>
    </w:p>
    <w:p>
      <w:pPr>
        <w:spacing w:after="0" w:line="15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will have considerable discretion in the application of the net proceeds of this offering and, including for any of the purposes described in the section titled “Use of Proceeds,” and you will not have the opportunity as part of your investment decision to assess whether the net proceeds are being used appropriately. As a result, investors will be relying upon management’s judgment with only limited information about our specific intentions for the use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shares of our common stock in our initial public offering, you will experience substantial and immediate dilution.</w:t>
      </w:r>
    </w:p>
    <w:p>
      <w:pPr>
        <w:spacing w:after="0" w:line="22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assumed initial public offering price of $        per share, which is the midpoint of the price range set forth on the cover page of this prospectus, is substantially higher than the pro forma as adjusted net tangible book value per share of our outstanding common stock immediately following the completion of this offering. If you purchase shares of common stock in this offering, you will experience substantial and immediate dilution in the pro forma as adjusted net tangible book value per share of $        per share as of December 31, 2025. That is because the price that you pay will be substantially greater than the pro forma as adjusted net tangible book value per share of the common stock that you acquire. This dilution is due in large part to the fact that our earlier investors paid substantially less than the initial public offering price when they purchased their shares of our capital stock. You will experience additional dilution if the underwriters exercise their option to purchase additional shares in this offering, when those holding stock options exercise their right to purchase common stock under our equity incentive plans, upon the vesting of outstanding restricted stock awards or when we otherwise issue additional shares of common stock. For more information, see the section titled “Dilution” included elsewhere in this prospectus.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Participation in this offering by our existing stockholders and/or their affiliated entities will reduce the public float for our common stock.</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To the extent our existing stockholders who are our affiliates or their affiliated entities participate in this offering, such purchases would reduce the non-affiliate public float of our common stock after this offering, which is the number of shares of common stock that are not held by our officers, directors, and affiliated stockholders. As a result, the number of freely tradeable shares of our common stock following this offering will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55"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be reduced relative to what it would have been had these shares been sold to investors that were not existing stockholders, affiliates, or purchasers. This could adversely impact the liquidity of our common stock and depress the price at which you may be able to sell shares of common stock purchased in this offering.</w:t>
      </w:r>
    </w:p>
    <w:p>
      <w:pPr>
        <w:spacing w:after="0" w:line="172"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stock incentive plans or otherwise will dilute all other stockholders.</w:t>
      </w:r>
    </w:p>
    <w:p>
      <w:pPr>
        <w:spacing w:after="0" w:line="15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expect to issue additional capital stock in the future and to grant equity awards to employees, directors, and consultants under our stock incentive plans. We may also raise capital through equity financings in the future. Additionally,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79"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our stockholders’ ability to achieve a return on their investment will depend on appreciation of the value of our common stock.</w:t>
      </w:r>
    </w:p>
    <w:p>
      <w:pPr>
        <w:spacing w:after="0" w:line="15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In addition, any future debt agreements may preclude us from paying dividends. As a result, any investment return on our common stock will depend upon increases in the value for our common stock, which is not certain. For more information on our dividend policy, see the section titled “Dividend Policy” included elsewhere in this prospectus.</w:t>
      </w:r>
    </w:p>
    <w:p>
      <w:pPr>
        <w:spacing w:after="0" w:line="179"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17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which will become effective immediately prior to the completion of this offering, and our amended and restated bylaws, which will become effective upon the effectiveness of the registration statement of which this prospectus forms a part, will contain provisions that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97"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only one of three classes of directors is elected each year;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our board of directors;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not less than two-thirds of the votes that all our stockholders would be entitled to cast to amend or repeal specified provisions of our amended and restated certificate of incorporation or amended and restated bylaws.</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76"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that will become effective upon the effectiveness of this registration statement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Our amended and restated bylaws that will become effective upon effectiveness of the registration statement of which this prospectus forms a part provide that, unless we consent in writing to an alternative forum, the Court of Chancery of the State of Delaware will be the sole and exclusive forum for any state law claims for (i) any derivative action or proceeding brought on our behalf, (ii) any action asserting a claim of breach of, or a claim based on, fiduciary duty owed by any of our current or former directors, officers, and employees to us or our stockholders, (iii) any action asserting a claim arising pursuant to any provision of the DGCL, our amended and restated certificate of incorporation or our amended and restated bylaws (including the interpretation, validity or enforceability thereof) or (iv) any action asserting a claim that is governed by the internal affairs doctrine, or the Delaware Forum Provision. The Delaware Forum Provision will not apply to any causes of action arising under the Securities Act or the Securities Exchange Act of 1934, as amended, or the Exchange Act. Our amended and restated bylaws further provide that, unless we consent in writing to the selection of an alternative forum, the federal district courts of the United States shall be the sole and exclusive forum for resolving any complaint asserting a cause or causes of action arising under the Securities Act, or the Federal Forum Provision.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spacing w:after="0" w:line="187"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in our amended and restated bylaws may impose additional litigation costs on stockholders in pursuing any such claims. Additionally, the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Section 22 of the Securities Act creates concurrent jurisdiction for federal and state courts over all suits brought to enforce any duty or liability created by the Securities Act or the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3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satisfy listing requirements of The Nasdaq Stock Market, or Nasdaq, or obtain or maintain a listing of our common stock on Nasdaq.</w:t>
      </w:r>
    </w:p>
    <w:p>
      <w:pPr>
        <w:spacing w:after="0" w:line="15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If our common stock is listed on Nasdaq, we must meet certain financial and liquidity criteria to maintain such listing. If we violate Nasdaq’s listing requirements, our common stock may be delisted. If we fail to meet any of Nasdaq’s listing standards, our common stock may be delisted. In addition, our board of directors may determine that the cost of maintaining our listing on a national securities exchange outweighs the benefits of such listing. A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your investment.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General Risks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stock price, and results of operations.</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global credit and financial markets have experienced extreme volatility and disruptions (including as a result of actual or perceived changes in interest rates, inflation, and macroeconomic uncertainties), which has included severely diminished liquidity and credit availability, declines in consumer confidence, declines in economic growth, high inflation, uncertainty about economic stability, global supply chain disruptions, and increases in unemployment rates. The financial markets and the global economy may also be adversely affected by the current or anticipated impact of military conflict, including the ongoing conflicts in the Middle East and between Russia and Ukraine, terrorism, political unrest, or other geopolitical events. Sanctions imposed by the United States and other countries in response to such conflicts, including the one in Ukraine,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A severe or prolonged economic downturn could result in a variety of risks to our business, including a decrease in the demand for our drug candidates and in our ability to raise additional capital when needed on acceptable terms, if at all. For example, there has been proposed U.S. legislation that may have the effect of restricting the ability of U.S. biopharmaceutical companies to purchase services or products from, or otherwise collaborate with, certain Chinese biotechnology companies that the government name as “companies of concern” without losing the ability to contract with, or otherwise receive funding from, the U.S. government. We continue to assess the legislation as it develops to determine whether it could have an effect on our contractual relationships. Furthermore, any disruptions to our supply chain as a result of unfavorable global economic conditions, including due to geopolitical conflicts, political unrest, tariff, and other trade-related cost pressures or public health crises, could negatively impact the timely execution of our ongoing and future clinical trials. In addition, inflationary trends in the global economy may impact salaries and wages, costs of goods and transportation expenses, among other things, and recent events of political unrest and/or potential future disruptions in access to bank deposits or lending commitments due to bank failures may create market and economic instability. We cannot anticipate all of the ways in which the foregoing, and the current economic climate and financial market conditions generally, could adversely impact our business.</w:t>
      </w:r>
    </w:p>
    <w:p>
      <w:pPr>
        <w:spacing w:after="0" w:line="187" w:lineRule="exact"/>
        <w:rPr>
          <w:sz w:val="20"/>
          <w:szCs w:val="20"/>
          <w:color w:val="auto"/>
        </w:rPr>
      </w:pPr>
    </w:p>
    <w:p>
      <w:pPr>
        <w:ind w:left="120" w:right="7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public health crises, or other business interruptions and our business continuity and disaster recovery plans may not adequately protect us from a serious disaster.</w:t>
      </w:r>
    </w:p>
    <w:p>
      <w:pPr>
        <w:spacing w:after="0" w:line="15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Natural disasters or public health crises could severely disrupt our operations and the operations of our suppliers, CROs, and clinical sites, which would have a material adverse impact on our business, financial condition, results of operations, and prospects. If a natural disaster, power outage, public health crisis, or other event occurred that prevented us from conducting our clinical trials, releasing clinical trial results, or delaying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40"/>
          </w:cols>
          <w:pgMar w:left="320" w:top="455"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our ability to obtain regulatory approval for our product candidates, it may be difficult or, in certain cases, impossible for us to continue our business for a substantial period of time.</w:t>
      </w:r>
    </w:p>
    <w:p>
      <w:pPr>
        <w:spacing w:after="0" w:line="158" w:lineRule="exact"/>
        <w:rPr>
          <w:sz w:val="20"/>
          <w:szCs w:val="20"/>
          <w:color w:val="auto"/>
        </w:rPr>
      </w:pPr>
    </w:p>
    <w:p>
      <w:pPr>
        <w:ind w:left="120" w:right="20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eligible to be treated as an “emerging growth company” and a “smaller reporting company” and our election of reduced reporting requirements applicable to emerging growth companies and smaller reporting companies may make our common stock less attractive to investors.</w:t>
      </w:r>
    </w:p>
    <w:p>
      <w:pPr>
        <w:spacing w:after="0" w:line="13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w:t>
      </w:r>
    </w:p>
    <w:p>
      <w:pPr>
        <w:spacing w:after="0" w:line="81" w:lineRule="exact"/>
        <w:rPr>
          <w:sz w:val="20"/>
          <w:szCs w:val="20"/>
          <w:color w:val="auto"/>
        </w:rPr>
      </w:pPr>
    </w:p>
    <w:p>
      <w:pPr>
        <w:ind w:left="1080" w:right="20" w:hanging="424"/>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and a correspondingly reduced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disclosure in this prospectus;</w:t>
      </w:r>
    </w:p>
    <w:p>
      <w:pPr>
        <w:spacing w:after="0" w:line="81"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 pursuant to of Section 404 of the Sarbanes-Oxley 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 and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compliance with the requirements of the Public Company Accounting Oversight Board regarding the communication of critical audit matters in the auditor’s report on the financial statements.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this prospectus, we have not included all of the executive compensation-related information that would be required if we were not an emerging growth company.</w:t>
      </w:r>
    </w:p>
    <w:p>
      <w:pPr>
        <w:spacing w:after="0" w:line="162"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We could be an emerging growth company for up to five years following the completion of this offering, although circumstances could cause us to lose that status earlier, including if we are deemed to be a “large accelerated filer,” which occurs when the market value of our common stock that is held by non-affiliates exceeds $700 million as of the last business day of our most recently completed second fiscal quarter, or if we have total annual gross revenue of $1.235 billion or more during any fiscal year before that time, in which cases we would no longer be an emerging growth company as of the last day of our fiscal year, or if we issue more than $1.0 billion in non-convertible debt during any three-year period before that time, in which case we would no longer be an emerging growth company immediately. For so long as we remain an emerging growth company, we are permitted and intend to rely on exemptions from certain disclosure requirements that are applicable to other public companies that are not emerging growth companies.</w:t>
      </w:r>
    </w:p>
    <w:p>
      <w:pPr>
        <w:spacing w:after="0" w:line="17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also take advantage of an extended transition period for complying with new or revised accounting standards until such time as those standards apply to private companies. We have elected to avail ourselves of this exemption from new or revised accounting standards, and therefore we may not be subject to the same requirements to adopt new or revised accounting standards as other public companies that are not emerging growth companies.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 We cannot predict if investors will find our common stock less attractive because we may rely on these exemptions. If some investors find our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 less attractive as a result, there may be a less active trading market for our common stock and our stock price may be more volatile.</w:t>
      </w:r>
    </w:p>
    <w:p>
      <w:pPr>
        <w:spacing w:after="0" w:line="221" w:lineRule="exact"/>
        <w:rPr>
          <w:sz w:val="20"/>
          <w:szCs w:val="20"/>
          <w:color w:val="auto"/>
        </w:rPr>
      </w:pPr>
    </w:p>
    <w:p>
      <w:pPr>
        <w:ind w:left="120" w:right="7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increased costs as a result of operating as a public company, and our management will be required to devote substantial time to new compliance initiatives and corporate governance practices.</w:t>
      </w:r>
    </w:p>
    <w:p>
      <w:pPr>
        <w:spacing w:after="0" w:line="15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We will be subject to the reporting requirements of the Exchange Act, which will require, among other things, that we file with the SEC annual, quarterly and current reports with respect to our business and financial condition. In addition, the Sarbanes-Oxley Act, as well as rules subsequently adopted by the SEC and The Nasdaq Global Select Market to implement provisions of the Sarbanes-Oxley Act, impose significant requirements on public companies, including requiring establishment and maintenance of effective disclosure and financial reporting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this offering.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9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8"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establish and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7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In connection with this offering, we began the process of documenting, reviewing, and improving our internal controls and procedures for compliance with Section 404 of the Sarbanes-Oxley Act, which will require annual management assessment of the effectiveness of our internal control over financial reporting. Under current rules, we will be subject to these requirements beginning with our annual report on Form 10-K for the year ending 2026.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312" w:lineRule="auto"/>
        <w:rPr>
          <w:sz w:val="20"/>
          <w:szCs w:val="20"/>
          <w:color w:val="auto"/>
        </w:rPr>
      </w:pPr>
      <w:r>
        <w:rPr>
          <w:rFonts w:ascii="Times New Roman" w:cs="Times New Roman" w:eastAsia="Times New Roman" w:hAnsi="Times New Roman"/>
          <w:sz w:val="17"/>
          <w:szCs w:val="17"/>
          <w:color w:val="auto"/>
        </w:rPr>
        <w:t>prospective or retroactive changes to our financial statements or identify other areas for further attention or improvement. Internal control deficiencies could also cause investors to lose confidence in our reported financial information, which could have a negative effect on the trading price of our stock.</w:t>
      </w:r>
    </w:p>
    <w:p>
      <w:pPr>
        <w:spacing w:after="0" w:line="14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will be required to disclose changes made in our internal controls and procedures on a quarterly basis and our management will be required to assess the effectiveness of these controls annually. However, for as long as we are an emerging growth company or a non-accelerated filer, our independent registered public accounting firm will not be required to attest to the effectiveness of our internal controls over financial reporting pursuant to Section 404(b) of the Sarbanes-Oxley Act. We could be an emerging growth company for up to five years following completion of this initial public offering.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Upon the completion of this offering, we will become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4"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could adversely affect our current and projected business operations and our financial condition and results of operations.</w:t>
      </w:r>
    </w:p>
    <w:p>
      <w:pPr>
        <w:spacing w:after="0" w:line="15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maintain the majority of our cash, cash equivalents, and investments in accounts with major U.S. and multi-national financial institutions, and our cash equivalents are invested in U.S. government money market funds and our investments are invested in U.S. Treasury obligations. Our deposits at certain of these institutions exceed insured limits, unless subject to a “sweep.” Market conditions and changes in financial regulations and policies can impact the viability of these institutions. Adverse developments that affect financial institutions, such as events involving liquidity that are rumored or actual, have in the past and may in the future lead to market-wide liquidity problems. For example, on March 10, 2023, Silicon Valley Bank was closed by the California Department of Financial Protection and Innovation, which appointed the Federal Deposit Insurance Corporation as receiver. 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us, the financial institutions with which we may have future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Any inability to access or delay in accessing these funds could adversely affect our business and financial position. In addition, changes in regulations governing financial institutions are beyond our control and difficult to predict; consequently, the impact of such changes on our business and results of operations is difficult to predict and may have an adverse effect on us.</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other tax attributes may be limited.</w:t>
      </w:r>
    </w:p>
    <w:p>
      <w:pPr>
        <w:spacing w:after="0" w:line="229" w:lineRule="exact"/>
        <w:rPr>
          <w:sz w:val="20"/>
          <w:szCs w:val="20"/>
          <w:color w:val="auto"/>
        </w:rPr>
      </w:pPr>
    </w:p>
    <w:p>
      <w:pPr>
        <w:jc w:val="both"/>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As of December 31, 2025, we had approximately $        million of federal net operating losses, or NOLs. Federal NOLs generated in taxable years beginning after December 31, 2017, may be carried forward indefinitely, but the deductibility of such federal NOL carryforwards in a taxable year is limited to 80% of our taxable income in such year. As of December 31, 2025, we had approximately $        million of state NOLs. Of the state</w:t>
      </w:r>
    </w:p>
    <w:tbl>
      <w:tblPr>
        <w:tblLayout w:type="fixed"/>
        <w:tblInd w:w="120" w:type="dxa"/>
        <w:tblCellMar>
          <w:top w:w="0" w:type="dxa"/>
          <w:left w:w="0" w:type="dxa"/>
          <w:bottom w:w="0" w:type="dxa"/>
          <w:right w:w="0" w:type="dxa"/>
        </w:tblCellMar>
      </w:tblPr>
      <w:tr>
        <w:trPr>
          <w:trHeight w:val="199"/>
        </w:trPr>
        <w:tc>
          <w:tcPr>
            <w:tcW w:w="1040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color w:val="auto"/>
              </w:rPr>
              <w:t xml:space="preserve">NOLs, some are of indefinite life, but most expire at various dates, beginning in             . As of December 31, 2025, we had approximately $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80" w:type="dxa"/>
            <w:vAlign w:val="bottom"/>
          </w:tcPr>
          <w:p>
            <w:pPr>
              <w:ind w:left="60"/>
              <w:spacing w:after="0" w:line="199" w:lineRule="exact"/>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10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million of federal research and development tax credit carryforwards. Federal tax credit carryforwards expire at various dates, beginning in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8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71"/>
              </w:rPr>
              <w:t>   .</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As of December 31, 2025, we had approximately $          </w:t>
            </w:r>
          </w:p>
        </w:tc>
        <w:tc>
          <w:tcPr>
            <w:tcW w:w="6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million of state research and development tax credit carryforwards. The state tax credits,</w:t>
            </w: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w w:val="98"/>
              </w:rPr>
              <w:t>which have various carryforward rules, begin to expire in  </w:t>
            </w:r>
          </w:p>
        </w:tc>
        <w:tc>
          <w:tcPr>
            <w:tcW w:w="6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r>
    </w:tbl>
    <w:p>
      <w:pPr>
        <w:spacing w:after="0" w:line="198"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or the Code, if a corporation undergoes an “ownership change,” generally defined as a greater than 50 percentage point change (by value) in its equity ownership by “5 percent shareholders” over a three-year period, the corporation’s ability to use its pre-change NOLs and other pre-change tax attributes (such as research and development tax credits) to offset its post-change income or taxes may be limited. A corporation that experiences an ownership change will generally be subject to an annual limitation on the use of its pre-ownership change NOLs equal to the value of the corporation immediately before the ownership change, multiplied by the long-term tax-exempt rate (subject to certain adjustments). We may have experienced ownership changes in the past and may experience ownership changes as a result of this offering and/or subsequent shifts in our stock ownership (some of which are outside our control). There is also a risk that due to regulatory changes, such as suspensions on the use of NOLs by federal or state taxing authorities or other unforeseen reasons, portions of our existing NOLs could expire or otherwise be unavailable to reduce future income tax liabilities. As a result, our ability to use our pre-change NOLs and tax credits to offset future taxable income, if any, or taxes could be subject to limitations. Similar provisions of state tax law may also apply. As a result, even if we attain profitability, we may be unable to use a material portion of our NOLs and tax credits.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could adversely affect our business and financial condition.</w:t>
      </w:r>
    </w:p>
    <w:p>
      <w:pPr>
        <w:spacing w:after="0" w:line="22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U.S. federal, state, local, and foreign tax laws, regulations and administrative guidance are subject to change as a result of the legislative process and review and interpretation by the U.S. Internal Revenue Service, the U.S. Treasury Department and other taxing authorities. Changes to tax laws (which changes may have retroactive application), including with respect to net operating losses and research and development tax credits, could adversely affect us or holders of our common stock. For example, on July 4, 2025, President Donald Trump signed the One Big Beautiful Bill Act into law. Key tax provisions included the restoration of 100% bonus depreciation for certain qualified property, immediate expensing for domestic research and experimental expenditures and the ability to make elective adjustments for prior years, changes to the Section 163(j) interest limitations and updates to net CFC tested income (formerly GILTI) and FDII rules. In recent years, many other such changes have been made and changes are likely to continue to occur in the future. Future changes in tax laws could have a material adverse effect on our business, financial condition, results of operations, or cash flow. We urge investors to consult with their legal and tax advisers regarding the implications of potential changes in tax laws on an investment in our common stock.</w:t>
      </w:r>
    </w:p>
    <w:p>
      <w:pPr>
        <w:spacing w:after="0" w:line="190"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and infrastructure, or those of our collaborators and service providers, or our data, may be subject to cyberattacks, security breaches, compromises or other incidents, which could impact the confidentiality, integrity, and availability of our operational system and result in additional costs, loss of revenue, significant liabilities, harm to our brand, material disruption of our development programs and operations, or other adverse consequences.</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process sensitive data, and, as a result, we and the third parties upon which we rely face a variety of evolving threats that could cause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72" w:lineRule="auto"/>
        <w:rPr>
          <w:sz w:val="20"/>
          <w:szCs w:val="20"/>
          <w:color w:val="auto"/>
        </w:rPr>
      </w:pPr>
      <w:r>
        <w:rPr>
          <w:rFonts w:ascii="Times New Roman" w:cs="Times New Roman" w:eastAsia="Times New Roman" w:hAnsi="Times New Roman"/>
          <w:sz w:val="17"/>
          <w:szCs w:val="17"/>
          <w:color w:val="auto"/>
        </w:rPr>
        <w:t>cyber-attacks, security breaches, compromises, or other incidents that impact the confidentiality, integrity, and availability of our operational systems. Although we, and the third parties upon which we rely, take steps to develop and maintain systems and controls designed to protect our sensitive data, systems, and infrastructure, there can be no assurance that our internal technology systems, and infrastructure, or those of third parties upon which we rely, will be sufficient to protect against a cyber-attack, security breach, compromise, or other incident such as an industrial espionage attack, ransomware, or insider threat attack, which may compromise the confidentiality, integrity, and availability of our system infrastructure, or those of third parties upon which we rely, or lead to the loss, destruction, alteration, or dissemination of, or damage to, our sensitive data.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72"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risk of a cyber-attack, security breach, compromise, or other adverse impact to our and our third-party service provider’s information technology systems and sensitive data has generally increased as the number, intensity, and sophistication of attempted attacks and intrusions from around the world have increased. Such risks come from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errors (including vulnerabilities in commercial software that is integrated into our information technology systems and those of third parties upon which we rely), failures, loss of data or other information technology assets, adware, attacks enhanced or facilitated by AI, telecommunications failures, earthquakes, fires, floods, and other similar threats.</w:t>
      </w:r>
    </w:p>
    <w:p>
      <w:pPr>
        <w:spacing w:after="0" w:line="18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Individuals engage in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cyber-attacks, including retaliatory cyber-attacks, that could materially disrupt our systems and operations, supply chain, and ability to produce, sell, and distribute our products and services.</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also face increased risks of a cyber-attack, security breach, compromise, or adverse impact to our and our third-party service provider’s information technology systems and sensitive data incident due to our reliance on internet technology and the number of our employees who work on a hybrid basis at home, in the office, or other public spaces. This may create additional opportunities for cybercriminals to exploit vulnerabilities. Additionally, business transactions (such as acquisitions or integrations) could expose us to additional cybersecurity risks and vulnerabilities, as our systems could be negatively affected by vulnerabilities present in acquired or integrated entities’ systems and technologies that were not found during due diligence of such acquired or integrated entities.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our reliance on third-party service providers could introduce new cybersecurity risks and vulnerabilities, including supply-chain attacks. We rely on third-party service providers and technologies to operate critical business systems to process sensitive data in a variety of contexts and our ability to monitor these third parties’ information security practices is limited. These third parties may not have adequate information security measures in place and if our third-party service providers experience a cyber-attack, security breach, compromise or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may be unable to detect vulnerabilities in our information technology systems and infrastructure on a timely basis or until after a cyber-attack, security breach, compromise, or other incident has occurred. Further, we may experience delays in developing and deploying remedial measures designed to adequately address any such identified vulnerabilities. In addition, we may be unable to comprehensively apply patches or confirm that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measures are in place to mitigate all such vulnerabilities, or that patches will be applied before vulnerabilities are exploited by a threat actor. If attackers are able to exploit critical vulnerabilities before patches are installed or mitigating measures are implemented, significant compromises could impact our and our customers’ systems and data. Any integration of artificial intelligence in our or any third party’s operations, products, or services is expected to pose new or unknown cybersecurity risks and challenges.</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There can also be no assurance that our cybersecurity risk management program and processes, including our policies, controls, or procedures, will be fully implemented, complied with, or effective in protecting our information technology systems (and those of third parties upon which we rely) and sensitive data. We and certain of our third-party service providers regularly experience cyberattacks and other incidents, and we expect such attacks and incidents to continue in varying degrees. While to date no incidents have had a material impact on our operations or financial results, we cannot guarantee that material incidents will not occur in the future. We may in the future experience additional threats, compromises, breaches, or incidents. If we, or a third party upon whom we rely, experience a cyber-attack, security breach, compromise, or other adverse impact to the confidentiality, integrity and availability of our system infrastructure, or those of third parties upon which we rely, or sensitive data, or are perceived to have experienced a cyber-attack, security breach, compromise, or other adverse impact to our and our third-party service provider’s information technology systems and sensitive data, we may experience adverse consequences, such as government enforcement actions (e.g., investigations, fines, penalties, audits, and inspections); additional reporting requirements and/or oversight; restrictions on processing sensitive data (including personal data); litigation (including individual and class action claims); indemnification obligations; negative publicity; reputational harm; monetary fund diversions; interruptions in our operations (including availability of data); significant incident response, system restoration, or remediation and future compliance costs; financial loss; and other potentially significant harms. Our contracts may not contain limitations of liability, and even where they do, there can be no assurance that limitations of liability in our contracts are sufficient to protect us from liabilities, damages, or claims related to our privacy and data security obligations. Additionally, we cannot guarantee that any costs and liabilities incurred in relation to an attack or incident will be covered by our existing insurance policies or that applicable insurance will be available to us in the future on economically reasonable terms or at all.</w:t>
      </w:r>
    </w:p>
    <w:p>
      <w:pPr>
        <w:spacing w:after="0" w:line="19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Further, applicable privacy and data security obligations may require us to notify relevant stakeholders of a cyber-attack, security breach, compromise, or other adverse impact to our and our third-party service provider’s information technology systems and sensitive data. Such disclosures are costly, and the disclosure or the failure to comply with such requirements could lead to adverse consequences. In addition, cyber-attacks, security breaches, compromises, or other incidents may cause stakeholders (including investors and potential customers) to stop supporting our business, deter new customers from using our products, and negatively impact our ability to grow and operate our business.</w:t>
      </w:r>
    </w:p>
    <w:p>
      <w:pPr>
        <w:spacing w:after="0" w:line="183"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If we were to experience a cyber-attack, security breach, compromise, or other adverse impact to our and our third-party service provider’s information technology systems and sensitive data that causes interruptions in our operations, it could result in a material disruption of our product development programs, business, financial condition, and results of operations.</w:t>
      </w:r>
    </w:p>
    <w:p>
      <w:pPr>
        <w:spacing w:after="0" w:line="172" w:lineRule="exact"/>
        <w:rPr>
          <w:sz w:val="20"/>
          <w:szCs w:val="20"/>
          <w:color w:val="auto"/>
        </w:rPr>
      </w:pPr>
    </w:p>
    <w:p>
      <w:pPr>
        <w:ind w:left="120" w:right="2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use artificial intelligence in our business, and challenges with properly managing its use, as well as uncertainty regarding the legal landscape surrounding the use of AI could result in reputational harm, competitive harm, legal liability, and adversely affect our results of operations.</w:t>
      </w:r>
    </w:p>
    <w:p>
      <w:pPr>
        <w:spacing w:after="0" w:line="17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may use artificial intelligence, or AI, machine learning, and automated decision-making technologies, or, collectively, AI Technologies, throughout our business, and are making investments in this area. We expect that increased investment will be required in the future to continuously improve our use of AI Technologies. As with many technological innovations, there are significant risks involved in developing, maintaining and deploying these technologies, including that AI-generated content, analyses, or recommendations we utilize could be deficient, that our competitors may more quickly or effectively adopt AI capabilities, or that our use of</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312" w:lineRule="auto"/>
        <w:rPr>
          <w:sz w:val="20"/>
          <w:szCs w:val="20"/>
          <w:color w:val="auto"/>
        </w:rPr>
      </w:pPr>
      <w:r>
        <w:rPr>
          <w:rFonts w:ascii="Times New Roman" w:cs="Times New Roman" w:eastAsia="Times New Roman" w:hAnsi="Times New Roman"/>
          <w:sz w:val="17"/>
          <w:szCs w:val="17"/>
          <w:color w:val="auto"/>
        </w:rPr>
        <w:t>AI or other emerging technologies increases regulatory, cybersecurity and other significant risks. There can be no assurance that the usage of, or our investments in such technologies will always enhance our products or services or be beneficial to our business, including our efficiency or profitability.</w:t>
      </w:r>
    </w:p>
    <w:p>
      <w:pPr>
        <w:spacing w:after="0" w:line="14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could suffer or we could incur liability resulting from the violation of laws or contracts to which we are a party or civil claims.</w:t>
      </w:r>
    </w:p>
    <w:p>
      <w:pPr>
        <w:spacing w:after="0" w:line="187"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We may not be successful in our development and maintenance of these technologies in the face of novel and evolving technical, reputational and market factors. Our efforts to develop proprietary AI models in the future could increase our operating costs. Our future ability to develop proprietary AI models may be limited by our access to processing infrastructure or training data, and we may be dependent on third party providers for such resources.</w:t>
      </w:r>
    </w:p>
    <w:p>
      <w:pPr>
        <w:spacing w:after="0" w:line="158"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If we fail to keep pace with rapidly evolving AI Technologies, especially in the medical device industry, our competitive position and business results may suffer. The introduction and use of AI Technologies, particularly generative AI, into new or existing offerings may result in new or expanded risks and liabilities, including due to enhanced governmental or regulatory scrutiny, litigation, compliance issues, ethical concerns, confidentiality or security risks, as the well as other factors that could adversely affect our reputation, as the well as our business, operating results, and financial condition. For example, AI Technologies can lead to unintended consequences, including generating content that appears correct but is factually inaccurate, misleading, or otherwise flawed, which could negatively impact our customers, harm our reputation and business, and expose us to liability.</w:t>
      </w:r>
    </w:p>
    <w:p>
      <w:pPr>
        <w:spacing w:after="0" w:line="17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use AI Technologies from third parties. If we are unable to obtain or maintain rights to use these AI Technologies on commercially reasonable terms, or if any such third-party AI tools become incompatible with our products, we may be forced to acquire or develop alternate AI Technologies, which may limit or delay our ability to provide competitive offerings and may increase our costs. These AI Technologies also may incorporate data from third party sources, which may expose us to risks associated with data rights and protection. The legal and regulatory landscape surrounding AI Technologies is rapidly evolving and uncertain, including with respect to intellectual property ownership and license rights, cybersecurity, and data protection laws, among others, and has not yet been fully addressed by courts or regulators. The evolving legal, regulatory, and compliance framework for AI Technologies may also impact our ability to protect our own data and intellectual property against infringing use.</w:t>
      </w:r>
    </w:p>
    <w:p>
      <w:pPr>
        <w:spacing w:after="0" w:line="18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regulatory framework for AI Technologies is rapidly evolving as many federal, state, and foreign government bodies and agencies have introduced or are currently considering additional laws and regulations and we expect to see increasing government and supranational regulation related to AI use and ethics, which may also significantly increase the burden and cost of research, development and compliance in this area. In the U.S., a number of states have proposed and passed laws regulating various uses of AI, and federal regulators have issued guidance affecting the use of AI in regulated sectors. The FDA, for example, also issued guidance on the use of AI in medical devices, requiring detailed risk management and review processes to obtain approvals. If we develop or use AI systems governed by these laws or regulations, we will need to apply significant resources to design, develop, test and maintain such systems in accordance with applicable laws and regulations, with the potential for significant enforcement or litigation in the event of any perceived non-compliance. It is possible that new laws and regulations will be adopted in the U.S.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Even in the absence of dedicated AI laws and regulations, we may be subject to novel legal and business risks relating to our adoption of these new technologies. Vendors may in turn incorporate AI tools into their own offerings, and the providers of these AI tools may not meet existing or rapidly evolving regulatory or industry standards, including with respect to privacy and data security. Bad actors around the world use increasingly sophisticated methods, including the use of AI, to engage in illegal activities involving the theft and misuse of personal information, confidential information, and intellectual property. Our use of AI Technologies may also, in the future, result in cybersecurity incidents that implicate the personal information of customers or patients. Any such cybersecurity incidents related to our use of AI applications could adversely affect our reputation and results of operations.</w:t>
      </w:r>
    </w:p>
    <w:p>
      <w:pPr>
        <w:spacing w:after="0" w:line="185"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15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face an inherent risk of clinical trial and product liability exposure related to the testing of our product candidates in clinical trials, and we will face an even greater risk if we commercially sell any products that we develop. While we currently have no products that have been approved for commercial sale, the ongoing, planned,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93" w:lineRule="exact"/>
        <w:rPr>
          <w:sz w:val="20"/>
          <w:szCs w:val="20"/>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any related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Although we currently hold clinical trial liability insurance, we will need to maintain such insurance coverage as we expand our clinical trials or if we commence commercialization of our product candidates. Insurance coverage is increasingly expensive. We may not be able to obtain and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40"/>
          </w:cols>
          <w:pgMar w:left="320" w:top="455"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that could divert management’s attention and harm our business, and insurance coverage may not be sufficient to cover all costs and damages.</w:t>
      </w:r>
    </w:p>
    <w:p>
      <w:pPr>
        <w:spacing w:after="0" w:line="15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From time to time we may be subject to litigation claims through the ordinary course of our business operations regarding, but not limited to, securities litigation, employment matters, security of patient and employee personal data, contractual relations with collaborators and licensors, and intellectual property rights. In the past, securities class action litigation has often followed certain significant business transactions, such as the sale of a company or announcement of any other strategic transaction, the announcement of negative events, such as negative results from clinical trials, or periods of volatility in the market price of a company’s securities. These events may also result in or be concurrent with investigations by the SEC. We may be exposed to such litigation or investigation even if no wrongdoing occurred. Litigation and investigations are usually expensive and divert management’s attention and resources, which could adversely affect our business and cash resources and our ability to consummate a potential strategic transaction or the ultimate value our stockholders receive in any such transaction.</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40"/>
          </w:cols>
          <w:pgMar w:left="320" w:top="455" w:right="5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and financial position, business strategy, product candidates, planned preclinical studies and clinical trials, results of preclinical studies, clinical trials, research and development costs, regulatory approvals, commercial strategy,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w:t>
      </w:r>
    </w:p>
    <w:p>
      <w:pPr>
        <w:spacing w:after="0" w:line="81" w:lineRule="exact"/>
        <w:rPr>
          <w:sz w:val="20"/>
          <w:szCs w:val="20"/>
          <w:color w:val="auto"/>
        </w:rPr>
      </w:pPr>
    </w:p>
    <w:p>
      <w:pPr>
        <w:ind w:left="1080" w:right="46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current and future clinical trials, preclinical studies, and research and development programs;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announcement of results from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our clinical trials;</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other product candidates that we may identify and successfully complete any clinical studies, including the manufacture of any such product candidates;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quickly leverage programs within our initial target indications and to progress additional programs to further develop our pipeline;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of certain disorders we intend to treat and the size of the market opportunity for our product candidates;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the number of patients with certain disorders we intend to treat and the number of patients that we will enroll in our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our clinical trials demonstrating safety and efficacy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investigational new drug applications, or INDs, submissions;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platform, and our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our competitors and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the clinical, regulatory, and manufacturing advancements to accelerate our clinical trials and approval of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future regulatory standards with respect to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license agreements and identify and enter into future license agreements and collaborations;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clinical trials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the manufacture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our platform;</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0"/>
          </w:cols>
          <w:pgMar w:left="320" w:top="455" w:right="5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JOBS Act or a smaller reporting company;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and management personnel;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cash runway, use of proceeds from this offering, our financial performance, estimates of our expenses, capital requirements, and needs for additional financing.</w:t>
      </w:r>
    </w:p>
    <w:p>
      <w:pPr>
        <w:spacing w:after="0" w:line="162"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 Our forward-looking statements do not reflect the potential impact of any future acquisitions, mergers, dispositions, collaborations, joint ventures, or investments that we may make or enter into.</w:t>
      </w:r>
    </w:p>
    <w:p>
      <w:pPr>
        <w:spacing w:after="0" w:line="194"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from the sale of our common stock in this offering will be approximately $        million (or approximately $        million if the underwriters exercise their option to purchase additional shares of our common stock in full) based on an assumed initial public offering price of $        per share, which is the midpoint of the price range set forth on the cover page of this prospectus, after deducting the estimated underwriting discounts and commissions and estimated offering expenses payable by us.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Each $1.00 increase or decrease in the assumed initial public offering price of $        per share, which is the midpoint of the price range set forth on the cover of this prospectus, would increase or decrease, as applicable, the net proceeds to us from this offering by $        million, assuming the number of shares offered by us, as set forth on the cover page of this prospectus, remains the same, and after deducting the estimated underwriting discounts and commissions and estimated offering expenses payable by us. Similarly, each increase or decrease of 1.0 million shares in the number of shares of common stock offered by us, as set forth on the cover page of this prospectus, would increase or decrease, as applicable, the net proceeds to us from this offering by $        million, assuming the assumed initial public offering price of $        per share remains the same, and after deducting the estimated underwriting discounts and commissions and estimated offering expenses payable by us.</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principal purposes of this offering are to create a public market for our common stock and thereby facilitate future access to the public equity markets, increase our visibility in the marketplace, and obtain additional capital to support our operations. We intend to use the net proceeds from this offering, together with our existing cash, cash equivalents, and investments, as follows:</w:t>
      </w:r>
    </w:p>
    <w:p>
      <w:pPr>
        <w:sectPr>
          <w:pgSz w:w="11900" w:h="16838" w:orient="portrait"/>
          <w:cols w:equalWidth="0" w:num="1">
            <w:col w:w="11120"/>
          </w:cols>
          <w:pgMar w:left="320" w:top="455" w:right="459" w:bottom="1440" w:gutter="0" w:footer="0" w:header="0"/>
        </w:sectPr>
      </w:pP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approximately $ </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million to advance development of GlyphAllo</w:t>
      </w:r>
      <w:r>
        <w:rPr>
          <w:rFonts w:ascii="Times New Roman" w:cs="Times New Roman" w:eastAsia="Times New Roman" w:hAnsi="Times New Roman"/>
          <w:sz w:val="12"/>
          <w:szCs w:val="12"/>
          <w:color w:val="auto"/>
        </w:rPr>
        <w:t>TM</w:t>
      </w:r>
      <w:r>
        <w:rPr>
          <w:rFonts w:ascii="Times New Roman" w:cs="Times New Roman" w:eastAsia="Times New Roman" w:hAnsi="Times New Roman"/>
          <w:sz w:val="17"/>
          <w:szCs w:val="17"/>
          <w:color w:val="auto"/>
        </w:rPr>
        <w:t xml:space="preserve"> (SPT-300) through  </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31" w:lineRule="exact"/>
        <w:rPr>
          <w:sz w:val="20"/>
          <w:szCs w:val="20"/>
          <w:color w:val="auto"/>
        </w:rPr>
      </w:pPr>
    </w:p>
    <w:p>
      <w:pPr>
        <w:sectPr>
          <w:pgSz w:w="11900" w:h="16838" w:orient="portrait"/>
          <w:cols w:equalWidth="0" w:num="9">
            <w:col w:w="720" w:space="360"/>
            <w:col w:w="1220" w:space="140"/>
            <w:col w:w="40" w:space="140"/>
            <w:col w:w="40" w:space="140"/>
            <w:col w:w="40" w:space="140"/>
            <w:col w:w="5020" w:space="120"/>
            <w:col w:w="240" w:space="120"/>
            <w:col w:w="60" w:space="120"/>
            <w:col w:w="2460"/>
          </w:cols>
          <w:pgMar w:left="320" w:top="455" w:right="45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xml:space="preserve">approximately $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million to advance development of GlyphAgo</w:t>
      </w:r>
      <w:r>
        <w:rPr>
          <w:rFonts w:ascii="Times New Roman" w:cs="Times New Roman" w:eastAsia="Times New Roman" w:hAnsi="Times New Roman"/>
          <w:sz w:val="12"/>
          <w:szCs w:val="12"/>
          <w:color w:val="auto"/>
        </w:rPr>
        <w:t>TM</w:t>
      </w:r>
      <w:r>
        <w:rPr>
          <w:rFonts w:ascii="Times New Roman" w:cs="Times New Roman" w:eastAsia="Times New Roman" w:hAnsi="Times New Roman"/>
          <w:sz w:val="17"/>
          <w:szCs w:val="17"/>
          <w:color w:val="auto"/>
        </w:rPr>
        <w:t xml:space="preserve"> (SPT-320) through 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   ; and</w:t>
      </w:r>
    </w:p>
    <w:p>
      <w:pPr>
        <w:spacing w:after="0" w:line="188" w:lineRule="exact"/>
        <w:rPr>
          <w:sz w:val="20"/>
          <w:szCs w:val="20"/>
          <w:color w:val="auto"/>
        </w:rPr>
      </w:pPr>
    </w:p>
    <w:p>
      <w:pPr>
        <w:sectPr>
          <w:pgSz w:w="11900" w:h="16838" w:orient="portrait"/>
          <w:cols w:equalWidth="0" w:num="9">
            <w:col w:w="720" w:space="360"/>
            <w:col w:w="1220" w:space="140"/>
            <w:col w:w="40" w:space="140"/>
            <w:col w:w="40" w:space="140"/>
            <w:col w:w="40" w:space="140"/>
            <w:col w:w="4960" w:space="140"/>
            <w:col w:w="40" w:space="140"/>
            <w:col w:w="40" w:space="140"/>
            <w:col w:w="2680"/>
          </w:cols>
          <w:pgMar w:left="320" w:top="455" w:right="459" w:bottom="1440" w:gutter="0" w:footer="0" w:header="0"/>
          <w:type w:val="continuous"/>
        </w:sectPr>
      </w:pPr>
    </w:p>
    <w:p>
      <w:pPr>
        <w:ind w:left="1080" w:right="80" w:hanging="424"/>
        <w:spacing w:after="0" w:line="213"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to fund development of Glyph2BLSD</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(SPT-348), as well as research and development activities for additional programs, and working capital and general corporate purposes.</w:t>
      </w:r>
    </w:p>
    <w:p>
      <w:pPr>
        <w:spacing w:after="0" w:line="19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may use a portion of the remaining net proceeds and our existing cash, cash equivalents, and investments to in-license, acquire, or invest in complementary businesses, technologies, products, or assets. However, we have no current commitments, agreements, understandings, or obligations to do so.</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believe, based on our current operating plan, that the net proceeds from this offering, together with our existing cash, cash equivalents and investments, will be sufficient to fund our operations through        . We have based this estimate on assumptions that may prove to be wrong, and we could use our available capital resources sooner than we currently expect. We do not have any committed external source of funds.</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Our expected use of proceeds from this offering along with our existing cash, cash equivalents, and investments described above represents our current intentions based on our present plans and business condition. As of the date of this prospectus, we cannot predict with certainty all of the particular uses for the net proceeds to be received upon the completion of this offering or the actual amounts that we will spend on the uses set forth above. We expect that we will require additional funds in order to fully accomplish the specified uses of the proceeds of this offering. The amounts and timing of our actual expenditures will depend on numerous factors, including progress of our research and development, the status of and results from preclinical studies and clinical trials that we are conducting or may conduct in the future, and other factors described in the section titled “Risk Factors,” as well as the amount of cash used in our operations and any unforeseen cash needs. Therefore, our actual expenditures may differ materially from the estimates described above. Moreover, our estimates of the costs to fund our trials are based on the current designs of the trials. If we were to modify the design of any of these trials, for instance, to increase the number of patients in the trials, our costs to fund the trials could increase. We may find it necessary or advisable to use the net proceeds for other purposes.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55" w:right="45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will have broad discretion over how to use the net proceeds to us from this offering and investors will be relying on the judgment of our management regarding the application of the net proceeds. Pending our use of the net proceeds from this offering, we intend to invest the net proceeds in a variety of capital preservation instruments, including short-term and long-term interest-bearing instruments, investment-grade securities, and direct or guaranteed obligations of the U.S. government. We cannot predict whether the proceeds invested will yield a favorable return.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do not anticipate declaring or paying, in the foreseeable future, any cash dividends on our capital stock. We intend to retain all available funds and future earnings, if any, to fund the development and expansion of our business. Any future determination regarding the declaration and payment of dividends, if any, will be at the discretion of our board of directors, subject to applicable laws, and will depend on then-existing conditions, including our financial condition, operating results, contractual restrictions, capital requirements, business prospects, and other factors our board of directors may deem relevant. Investors should not purchase our common stock with the expectation of receiving cash dividends. In addition, our ability to pay cash dividends on our capital stock in the future may be limited by the terms of any future debt or preferred securities we issue or any credit facilities we enter into.</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existing cash, cash equivalents, and investments and our capitalization as of December 31, 2025:</w:t>
      </w:r>
    </w:p>
    <w:p>
      <w:pPr>
        <w:spacing w:after="0" w:line="131" w:lineRule="exact"/>
        <w:rPr>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giving effect to (i) the Preferred Stock Conversion and (ii) the filing and effectiveness of our amended and restated certificate of incorporation, which will occur immediately prior to the completion of this offering; and</w:t>
      </w:r>
    </w:p>
    <w:p>
      <w:pPr>
        <w:sectPr>
          <w:pgSz w:w="11900" w:h="16838" w:orient="portrait"/>
          <w:cols w:equalWidth="0" w:num="1">
            <w:col w:w="11140"/>
          </w:cols>
          <w:pgMar w:left="320" w:top="455" w:right="439" w:bottom="1440" w:gutter="0" w:footer="0" w:header="0"/>
        </w:sectPr>
      </w:pP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on a pro forma as adjusted basis, giving effect to (i) the pro forma adjustments set forth above and (ii) the issuance and sale of        shares of common stock in this offering at the assumed initial public offering price of $        per share, which is the midpoint of the price range set forth on the cover page of this prospectus, after deducting the estimated underwriting discounts and commissions and estimated offering expenses payable by us.</w:t>
      </w:r>
    </w:p>
    <w:p>
      <w:pPr>
        <w:spacing w:after="0" w:line="180" w:lineRule="exact"/>
        <w:rPr>
          <w:sz w:val="20"/>
          <w:szCs w:val="20"/>
          <w:color w:val="auto"/>
        </w:rPr>
      </w:pPr>
    </w:p>
    <w:p>
      <w:pPr>
        <w:sectPr>
          <w:pgSz w:w="11900" w:h="16838" w:orient="portrait"/>
          <w:cols w:equalWidth="0" w:num="2">
            <w:col w:w="720" w:space="360"/>
            <w:col w:w="10060"/>
          </w:cols>
          <w:pgMar w:left="320" w:top="455" w:right="439" w:bottom="1440" w:gutter="0" w:footer="0" w:header="0"/>
          <w:type w:val="continuous"/>
        </w:sect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pro forma as adjusted information below is illustrative only, and our capitalization following the completion of this offering will be adjusted based on the actual initial public offering price and other terms of this offering determined at pricing. Cash, cash equivalents, and investments are not components of our capitalization.</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You should read this information together with our consolidated financial statements and the related notes included elsewhere in this prospectus, and the section titled “Management’s Discussion and Analysis of Financial Condition and Results of Operations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center"/>
              <w:ind w:right="65"/>
              <w:spacing w:after="0" w:line="118" w:lineRule="exact"/>
              <w:rPr>
                <w:sz w:val="20"/>
                <w:szCs w:val="20"/>
                <w:color w:val="auto"/>
              </w:rPr>
            </w:pPr>
            <w:r>
              <w:rPr>
                <w:rFonts w:ascii="Times New Roman" w:cs="Times New Roman" w:eastAsia="Times New Roman" w:hAnsi="Times New Roman"/>
                <w:sz w:val="13"/>
                <w:szCs w:val="13"/>
                <w:b w:val="1"/>
                <w:bCs w:val="1"/>
                <w:color w:val="auto"/>
              </w:rPr>
              <w:t>Pro</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60" w:type="dxa"/>
            <w:vAlign w:val="bottom"/>
          </w:tcPr>
          <w:p>
            <w:pPr>
              <w:spacing w:after="0"/>
              <w:rPr>
                <w:sz w:val="12"/>
                <w:szCs w:val="12"/>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4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As</w:t>
            </w: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xml:space="preserve">adjusted </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80" w:type="dxa"/>
            <w:vAlign w:val="bottom"/>
            <w:tcBorders>
              <w:top w:val="single" w:sz="8" w:color="auto"/>
            </w:tcBorders>
            <w:gridSpan w:val="6"/>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16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center"/>
              <w:ind w:right="45"/>
              <w:spacing w:after="0"/>
              <w:rPr>
                <w:sz w:val="20"/>
                <w:szCs w:val="20"/>
                <w:color w:val="auto"/>
              </w:rPr>
            </w:pPr>
            <w:r>
              <w:rPr>
                <w:rFonts w:ascii="Times New Roman" w:cs="Times New Roman" w:eastAsia="Times New Roman" w:hAnsi="Times New Roman"/>
                <w:sz w:val="18"/>
                <w:szCs w:val="18"/>
                <w:color w:val="auto"/>
              </w:rPr>
              <w:t xml:space="preserve">            </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26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Convertible preferred stock (Series A and B), $0.0001 par value; 113,921,040 shares authorized</w:t>
            </w:r>
          </w:p>
        </w:tc>
        <w:tc>
          <w:tcPr>
            <w:tcW w:w="10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and 113,921,036 shares issued and outstanding, actual; no shares authorized, issued, or</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pro forma and pro forma as adjusted</w:t>
            </w:r>
          </w:p>
        </w:tc>
        <w:tc>
          <w:tcPr>
            <w:tcW w:w="270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300" w:type="dxa"/>
            <w:vAlign w:val="bottom"/>
            <w:gridSpan w:val="3"/>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no shares authorized, issued, or outstanding, actual;</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         shares authorized, and no shares issued, or outstanding, pro forma and pro forma</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 adjusted</w:t>
            </w:r>
          </w:p>
        </w:tc>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Common stock, $0.0001 par value; 159,070,000 shares authorized and  </w:t>
            </w:r>
          </w:p>
        </w:tc>
        <w:tc>
          <w:tcPr>
            <w:tcW w:w="2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shares issued</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-136525</wp:posOffset>
            </wp:positionV>
            <wp:extent cx="6995160" cy="548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54864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and outstanding, actual;          shares authorized, issued and outstanding, pro forma;</w:t>
      </w:r>
    </w:p>
    <w:p>
      <w:pPr>
        <w:spacing w:after="0" w:line="9" w:lineRule="exact"/>
        <w:rPr>
          <w:sz w:val="20"/>
          <w:szCs w:val="20"/>
          <w:color w:val="auto"/>
        </w:rPr>
      </w:pPr>
    </w:p>
    <w:p>
      <w:pPr>
        <w:ind w:left="660" w:right="4380" w:hanging="4"/>
        <w:spacing w:after="0" w:line="250" w:lineRule="auto"/>
        <w:tabs>
          <w:tab w:leader="none" w:pos="8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authorized,       shares       issued and outstanding, pro forma as adjusted</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Accumulated other comprehensive loss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5715</wp:posOffset>
            </wp:positionV>
            <wp:extent cx="23399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ind w:left="840"/>
        <w:spacing w:after="0"/>
        <w:rPr>
          <w:sz w:val="20"/>
          <w:szCs w:val="20"/>
          <w:color w:val="auto"/>
        </w:rPr>
      </w:pPr>
      <w:r>
        <w:rPr>
          <w:rFonts w:ascii="Times New Roman" w:cs="Times New Roman" w:eastAsia="Times New Roman" w:hAnsi="Times New Roman"/>
          <w:sz w:val="18"/>
          <w:szCs w:val="18"/>
          <w:color w:val="auto"/>
        </w:rPr>
        <w:t>Total stockholders’ (deficit)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46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16" w:lineRule="exact"/>
        <w:rPr>
          <w:sz w:val="20"/>
          <w:szCs w:val="20"/>
          <w:color w:val="auto"/>
        </w:rPr>
      </w:pPr>
    </w:p>
    <w:p>
      <w:pPr>
        <w:ind w:left="120"/>
        <w:spacing w:after="0"/>
        <w:tabs>
          <w:tab w:leader="none" w:pos="7360" w:val="left"/>
          <w:tab w:leader="none" w:pos="8660" w:val="left"/>
          <w:tab w:leader="none" w:pos="9980" w:val="left"/>
        </w:tabs>
        <w:rPr>
          <w:sz w:val="20"/>
          <w:szCs w:val="20"/>
          <w:color w:val="auto"/>
        </w:rPr>
      </w:pPr>
      <w:r>
        <w:rPr>
          <w:rFonts w:ascii="Times New Roman" w:cs="Times New Roman" w:eastAsia="Times New Roman" w:hAnsi="Times New Roman"/>
          <w:sz w:val="18"/>
          <w:szCs w:val="18"/>
          <w:color w:val="auto"/>
        </w:rPr>
        <w:t>Total capitalization</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17145</wp:posOffset>
            </wp:positionV>
            <wp:extent cx="233997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339975" cy="25400"/>
                    </a:xfrm>
                    <a:prstGeom prst="rect">
                      <a:avLst/>
                    </a:prstGeom>
                    <a:noFill/>
                  </pic:spPr>
                </pic:pic>
              </a:graphicData>
            </a:graphic>
          </wp:anchor>
        </w:drawing>
      </w:r>
    </w:p>
    <w:p>
      <w:pPr>
        <w:spacing w:after="0" w:line="1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40"/>
          </w:cols>
          <w:pgMar w:left="320" w:top="455" w:right="4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302895</wp:posOffset>
            </wp:positionV>
            <wp:extent cx="7715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40" w:hanging="419"/>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t>(1)</w:t>
        <w:tab/>
        <w:t>Each $1.00 increase (decrease) in the assumed initial public offering price of $        per share, which is the midpoint of the price range set forth on the cover page of this prospectus, would increase (decrease) the pro forma as adjusted amount of each of cash, cash equivalents, and investments, additional paid-in capital, total stockholders’ equity and total capitalization by $        million, assuming that the number of shares of common stock offered by us, as set forth on the cover page of this prospectus, remains the same and after deducting the estimated underwriting discounts and commissions and estimated offering expenses payable by us. Similarly, each increase (decrease) of 1.0 million shares in the number of shares of common stock offered by us would increase (decrease) the pro forma as adjusted amount of each of cash, cash equivalents, and investments, additional paid-in capital, total stockholders’ equity and total capitalization by $        million, assuming no change in the assumed initial public offering price per share, and after deducting the estimated underwriting discounts and commissions and estimated offering expenses payable by us.</w:t>
      </w:r>
    </w:p>
    <w:p>
      <w:pPr>
        <w:spacing w:after="0" w:line="200" w:lineRule="exact"/>
        <w:rPr>
          <w:sz w:val="20"/>
          <w:szCs w:val="20"/>
          <w:color w:val="auto"/>
        </w:rPr>
      </w:pPr>
    </w:p>
    <w:p>
      <w:pPr>
        <w:spacing w:after="0" w:line="208"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after this offering on a pro forma and pro forma as adjusted basis is based on         shares of common stock (which includes         shares of unvested restricted common stock) outstanding as of December 31, 2025, after giving effect to the Preferred Stock Conversion, and excludes:</w:t>
      </w:r>
    </w:p>
    <w:p>
      <w:pPr>
        <w:spacing w:after="0" w:line="8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5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shares of common stock issuable upon exercise of outstanding stock options as of December 31, 2025 under our 2024 Plan, with</w:t>
            </w:r>
          </w:p>
        </w:tc>
      </w:tr>
      <w:tr>
        <w:trPr>
          <w:trHeight w:val="216"/>
        </w:trPr>
        <w:tc>
          <w:tcPr>
            <w:tcW w:w="240" w:type="dxa"/>
            <w:vAlign w:val="bottom"/>
          </w:tcPr>
          <w:p>
            <w:pPr>
              <w:spacing w:after="0"/>
              <w:rPr>
                <w:sz w:val="18"/>
                <w:szCs w:val="18"/>
                <w:color w:val="auto"/>
              </w:rPr>
            </w:pPr>
          </w:p>
        </w:tc>
        <w:tc>
          <w:tcPr>
            <w:tcW w:w="102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 weighted-average exercise price of $            per share, and            shares of common stock issuable upon exercise of outstanding</w:t>
            </w:r>
          </w:p>
        </w:tc>
      </w:tr>
      <w:tr>
        <w:trPr>
          <w:trHeight w:val="234"/>
        </w:trPr>
        <w:tc>
          <w:tcPr>
            <w:tcW w:w="240" w:type="dxa"/>
            <w:vAlign w:val="bottom"/>
          </w:tcPr>
          <w:p>
            <w:pPr>
              <w:spacing w:after="0"/>
              <w:rPr>
                <w:sz w:val="20"/>
                <w:szCs w:val="20"/>
                <w:color w:val="auto"/>
              </w:rPr>
            </w:pPr>
          </w:p>
        </w:tc>
        <w:tc>
          <w:tcPr>
            <w:tcW w:w="102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stock options granted after December 31, 2025 pursuant to our 2024 Plan, with a weighted-average exercise price of $            per share;</w:t>
            </w:r>
          </w:p>
        </w:tc>
      </w:tr>
      <w:tr>
        <w:trPr>
          <w:trHeight w:val="319"/>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shares of common stock reserved for future issuance as of December 31, 2025 under the 2024 Plan, which will cease to be</w:t>
            </w:r>
          </w:p>
        </w:tc>
      </w:tr>
      <w:tr>
        <w:trPr>
          <w:trHeight w:val="234"/>
        </w:trPr>
        <w:tc>
          <w:tcPr>
            <w:tcW w:w="240" w:type="dxa"/>
            <w:vAlign w:val="bottom"/>
          </w:tcPr>
          <w:p>
            <w:pPr>
              <w:spacing w:after="0"/>
              <w:rPr>
                <w:sz w:val="20"/>
                <w:szCs w:val="20"/>
                <w:color w:val="auto"/>
              </w:rPr>
            </w:pPr>
          </w:p>
        </w:tc>
        <w:tc>
          <w:tcPr>
            <w:tcW w:w="102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available for issuance at the time that our 2026 Plan becomes effective;</w:t>
            </w:r>
          </w:p>
        </w:tc>
      </w:tr>
      <w:tr>
        <w:trPr>
          <w:trHeight w:val="319"/>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shares of our common stock issuable upon the exercise or grant of the IPO Grants, equal to approximately 12.5% of the number</w:t>
            </w:r>
          </w:p>
        </w:tc>
      </w:tr>
      <w:tr>
        <w:trPr>
          <w:trHeight w:val="216"/>
        </w:trPr>
        <w:tc>
          <w:tcPr>
            <w:tcW w:w="240" w:type="dxa"/>
            <w:vAlign w:val="bottom"/>
          </w:tcPr>
          <w:p>
            <w:pPr>
              <w:spacing w:after="0"/>
              <w:rPr>
                <w:sz w:val="18"/>
                <w:szCs w:val="18"/>
                <w:color w:val="auto"/>
              </w:rPr>
            </w:pPr>
          </w:p>
        </w:tc>
        <w:tc>
          <w:tcPr>
            <w:tcW w:w="102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of shares of our common stock to be outstanding upon the closing of this offering calculated on a fully diluted basis (after giving effect to</w:t>
            </w:r>
          </w:p>
        </w:tc>
      </w:tr>
      <w:tr>
        <w:trPr>
          <w:trHeight w:val="216"/>
        </w:trPr>
        <w:tc>
          <w:tcPr>
            <w:tcW w:w="240" w:type="dxa"/>
            <w:vAlign w:val="bottom"/>
          </w:tcPr>
          <w:p>
            <w:pPr>
              <w:spacing w:after="0"/>
              <w:rPr>
                <w:sz w:val="18"/>
                <w:szCs w:val="18"/>
                <w:color w:val="auto"/>
              </w:rPr>
            </w:pPr>
          </w:p>
        </w:tc>
        <w:tc>
          <w:tcPr>
            <w:tcW w:w="102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the number of shares of our common stock to be sold in this offering, not including the exercise in full of the underwriters’ option to</w:t>
            </w:r>
          </w:p>
        </w:tc>
      </w:tr>
      <w:tr>
        <w:trPr>
          <w:trHeight w:val="216"/>
        </w:trPr>
        <w:tc>
          <w:tcPr>
            <w:tcW w:w="240" w:type="dxa"/>
            <w:vAlign w:val="bottom"/>
          </w:tcPr>
          <w:p>
            <w:pPr>
              <w:spacing w:after="0"/>
              <w:rPr>
                <w:sz w:val="18"/>
                <w:szCs w:val="18"/>
                <w:color w:val="auto"/>
              </w:rPr>
            </w:pPr>
          </w:p>
        </w:tc>
        <w:tc>
          <w:tcPr>
            <w:tcW w:w="102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purchase additional shares), to be granted to an executive officer and a director under the 2026 Plan; see the sections titled “Executive</w:t>
            </w:r>
          </w:p>
        </w:tc>
      </w:tr>
      <w:tr>
        <w:trPr>
          <w:trHeight w:val="216"/>
        </w:trPr>
        <w:tc>
          <w:tcPr>
            <w:tcW w:w="240" w:type="dxa"/>
            <w:vAlign w:val="bottom"/>
          </w:tcPr>
          <w:p>
            <w:pPr>
              <w:spacing w:after="0"/>
              <w:rPr>
                <w:sz w:val="18"/>
                <w:szCs w:val="18"/>
                <w:color w:val="auto"/>
              </w:rPr>
            </w:pPr>
          </w:p>
        </w:tc>
        <w:tc>
          <w:tcPr>
            <w:tcW w:w="102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Compensation—Narrative Disclosure to the 2025 Summary Compensation Table—Equity Incentive Compensation” and “Director</w:t>
            </w:r>
          </w:p>
        </w:tc>
      </w:tr>
      <w:tr>
        <w:trPr>
          <w:trHeight w:val="216"/>
        </w:trPr>
        <w:tc>
          <w:tcPr>
            <w:tcW w:w="240" w:type="dxa"/>
            <w:vAlign w:val="bottom"/>
          </w:tcPr>
          <w:p>
            <w:pPr>
              <w:spacing w:after="0"/>
              <w:rPr>
                <w:sz w:val="18"/>
                <w:szCs w:val="18"/>
                <w:color w:val="auto"/>
              </w:rPr>
            </w:pPr>
          </w:p>
        </w:tc>
        <w:tc>
          <w:tcPr>
            <w:tcW w:w="102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Compensation” for more information on such grants, including a description of how the number of shares issuable pursuant to such grants</w:t>
            </w:r>
          </w:p>
        </w:tc>
      </w:tr>
      <w:tr>
        <w:trPr>
          <w:trHeight w:val="234"/>
        </w:trPr>
        <w:tc>
          <w:tcPr>
            <w:tcW w:w="240" w:type="dxa"/>
            <w:vAlign w:val="bottom"/>
          </w:tcPr>
          <w:p>
            <w:pPr>
              <w:spacing w:after="0"/>
              <w:rPr>
                <w:sz w:val="20"/>
                <w:szCs w:val="20"/>
                <w:color w:val="auto"/>
              </w:rPr>
            </w:pPr>
          </w:p>
        </w:tc>
        <w:tc>
          <w:tcPr>
            <w:tcW w:w="102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xml:space="preserve">will be determined;          </w:t>
            </w:r>
          </w:p>
        </w:tc>
      </w:tr>
      <w:tr>
        <w:trPr>
          <w:trHeight w:val="319"/>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5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shares of our common stock that will become available for future issuance under our 2026 Plan, including shares reserved for the</w:t>
            </w:r>
          </w:p>
        </w:tc>
      </w:tr>
      <w:tr>
        <w:trPr>
          <w:trHeight w:val="216"/>
        </w:trPr>
        <w:tc>
          <w:tcPr>
            <w:tcW w:w="240" w:type="dxa"/>
            <w:vAlign w:val="bottom"/>
          </w:tcPr>
          <w:p>
            <w:pPr>
              <w:spacing w:after="0"/>
              <w:rPr>
                <w:sz w:val="18"/>
                <w:szCs w:val="18"/>
                <w:color w:val="auto"/>
              </w:rPr>
            </w:pPr>
          </w:p>
        </w:tc>
        <w:tc>
          <w:tcPr>
            <w:tcW w:w="102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IPO Grants, which will become effective on the date immediately prior to the effectiveness of the registration statement of which this</w:t>
            </w:r>
          </w:p>
        </w:tc>
      </w:tr>
      <w:tr>
        <w:trPr>
          <w:trHeight w:val="216"/>
        </w:trPr>
        <w:tc>
          <w:tcPr>
            <w:tcW w:w="240" w:type="dxa"/>
            <w:vAlign w:val="bottom"/>
          </w:tcPr>
          <w:p>
            <w:pPr>
              <w:spacing w:after="0"/>
              <w:rPr>
                <w:sz w:val="18"/>
                <w:szCs w:val="18"/>
                <w:color w:val="auto"/>
              </w:rPr>
            </w:pPr>
          </w:p>
        </w:tc>
        <w:tc>
          <w:tcPr>
            <w:tcW w:w="102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9"/>
              </w:rPr>
              <w:t>prospectus forms a part, as well as any automatic increases in the number of shares of common stock reserved for future issuance under the</w:t>
            </w:r>
          </w:p>
        </w:tc>
      </w:tr>
      <w:tr>
        <w:trPr>
          <w:trHeight w:val="216"/>
        </w:trPr>
        <w:tc>
          <w:tcPr>
            <w:tcW w:w="240" w:type="dxa"/>
            <w:vAlign w:val="bottom"/>
          </w:tcPr>
          <w:p>
            <w:pPr>
              <w:spacing w:after="0"/>
              <w:rPr>
                <w:sz w:val="18"/>
                <w:szCs w:val="18"/>
                <w:color w:val="auto"/>
              </w:rPr>
            </w:pPr>
          </w:p>
        </w:tc>
        <w:tc>
          <w:tcPr>
            <w:tcW w:w="102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2026 Plan and any shares underlying outstanding stock awards granted under the 2024 Plan that expire or are repurchased, forfeited,</w:t>
            </w:r>
          </w:p>
        </w:tc>
      </w:tr>
      <w:tr>
        <w:trPr>
          <w:trHeight w:val="234"/>
        </w:trPr>
        <w:tc>
          <w:tcPr>
            <w:tcW w:w="240" w:type="dxa"/>
            <w:vAlign w:val="bottom"/>
          </w:tcPr>
          <w:p>
            <w:pPr>
              <w:spacing w:after="0"/>
              <w:rPr>
                <w:sz w:val="20"/>
                <w:szCs w:val="20"/>
                <w:color w:val="auto"/>
              </w:rPr>
            </w:pPr>
          </w:p>
        </w:tc>
        <w:tc>
          <w:tcPr>
            <w:tcW w:w="102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cancelled, or withheld; and</w:t>
            </w:r>
          </w:p>
        </w:tc>
      </w:tr>
      <w:tr>
        <w:trPr>
          <w:trHeight w:val="319"/>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5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shares of common stock reserved for future issuance under the ESPP, which will become effective on the date immediately prior</w:t>
            </w:r>
          </w:p>
        </w:tc>
      </w:tr>
      <w:tr>
        <w:trPr>
          <w:trHeight w:val="216"/>
        </w:trPr>
        <w:tc>
          <w:tcPr>
            <w:tcW w:w="240" w:type="dxa"/>
            <w:vAlign w:val="bottom"/>
          </w:tcPr>
          <w:p>
            <w:pPr>
              <w:spacing w:after="0"/>
              <w:rPr>
                <w:sz w:val="18"/>
                <w:szCs w:val="18"/>
                <w:color w:val="auto"/>
              </w:rPr>
            </w:pPr>
          </w:p>
        </w:tc>
        <w:tc>
          <w:tcPr>
            <w:tcW w:w="102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to the effectiveness of the registration statement of which this prospectus forms a part, as well as any automatic increases in the number of</w:t>
            </w:r>
          </w:p>
        </w:tc>
      </w:tr>
      <w:tr>
        <w:trPr>
          <w:trHeight w:val="234"/>
        </w:trPr>
        <w:tc>
          <w:tcPr>
            <w:tcW w:w="240" w:type="dxa"/>
            <w:vAlign w:val="bottom"/>
          </w:tcPr>
          <w:p>
            <w:pPr>
              <w:spacing w:after="0"/>
              <w:rPr>
                <w:sz w:val="20"/>
                <w:szCs w:val="20"/>
                <w:color w:val="auto"/>
              </w:rPr>
            </w:pPr>
          </w:p>
        </w:tc>
        <w:tc>
          <w:tcPr>
            <w:tcW w:w="102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shares of common stock reserved for future issuance under the ESPP.</w:t>
            </w:r>
          </w:p>
        </w:tc>
      </w:tr>
      <w:tr>
        <w:trPr>
          <w:trHeight w:val="365"/>
        </w:trPr>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60" w:type="dxa"/>
            <w:vAlign w:val="bottom"/>
          </w:tcPr>
          <w:p>
            <w:pPr>
              <w:ind w:left="3920"/>
              <w:spacing w:after="0"/>
              <w:rPr>
                <w:sz w:val="20"/>
                <w:szCs w:val="20"/>
                <w:color w:val="auto"/>
              </w:rPr>
            </w:pPr>
            <w:r>
              <w:rPr>
                <w:rFonts w:ascii="Times New Roman" w:cs="Times New Roman" w:eastAsia="Times New Roman" w:hAnsi="Times New Roman"/>
                <w:sz w:val="18"/>
                <w:szCs w:val="18"/>
                <w:color w:val="auto"/>
              </w:rPr>
              <w:t>104</w:t>
            </w:r>
          </w:p>
        </w:tc>
      </w:tr>
    </w:tbl>
    <w:p>
      <w:pPr>
        <w:sectPr>
          <w:pgSz w:w="11900" w:h="16838" w:orient="portrait"/>
          <w:cols w:equalWidth="0" w:num="1">
            <w:col w:w="11140"/>
          </w:cols>
          <w:pgMar w:left="320" w:top="455"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historical net tangible book value (deficit) as of December 31, 2025 was $        million, or $        per share of our common stock. Our historical net tangible book value (deficit) represents the amount of our total tangible assets less our total liabilities and the carrying value of our convertible preferred stock, which is not included within stockholders’ deficit. Historical net tangible book value (deficit) per share represents historical net tangible book value (deficit) divided by        shares of our common stock outstanding as of December 31, 2025.</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Our pro forma net tangible book value (deficit) as of December 31, 2025 was $        million, or $        per share. Pro forma net tangible book value (deficit) per share represents the amount of our total tangible assets less our total liabilities, divided by the number of shares of our common stock outstanding as of December 31, 2025, after giving effect to (i) the Preferred Stock Conversion and (ii) the filing and effectiveness of our amended and restated certificate of incorporation, which will occur immediately prior to the completion of this offering. Pro forma net tangible book value (deficit) per share represents pro forma net tangible book value (deficit) divided by the total number of shares outstanding as of December 31, 2025, after giving effect to the pro forma adjustments described above.</w:t>
      </w:r>
    </w:p>
    <w:p>
      <w:pPr>
        <w:spacing w:after="0" w:line="187"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After giving further effect to the issuance and sale of        shares of common stock that we are offering at the assumed initial public offering price of $        per share, which is the midpoint of the price range set forth on the cover page of this prospectus, and after deducting the estimated underwriting discounts and commissions and estimated offering expenses payable by us, our pro forma as adjusted net tangible book value (deficit) as of</w:t>
      </w:r>
    </w:p>
    <w:p>
      <w:pPr>
        <w:spacing w:after="0" w:line="2" w:lineRule="exact"/>
        <w:rPr>
          <w:sz w:val="20"/>
          <w:szCs w:val="20"/>
          <w:color w:val="auto"/>
        </w:rPr>
      </w:pPr>
    </w:p>
    <w:p>
      <w:pPr>
        <w:ind w:left="120" w:right="600"/>
        <w:spacing w:after="0" w:line="255" w:lineRule="auto"/>
        <w:rPr>
          <w:sz w:val="20"/>
          <w:szCs w:val="20"/>
          <w:color w:val="auto"/>
        </w:rPr>
      </w:pPr>
      <w:r>
        <w:rPr>
          <w:rFonts w:ascii="Times New Roman" w:cs="Times New Roman" w:eastAsia="Times New Roman" w:hAnsi="Times New Roman"/>
          <w:sz w:val="18"/>
          <w:szCs w:val="18"/>
          <w:color w:val="auto"/>
        </w:rPr>
        <w:t>December 31, 2025 would have been $        million, or $        per share. This amount represents an immediate increase in pro forma net tangible book value (deficit) of $        per share to our existing stockholders and an immediate dilution in pro forma net tangible book value (deficit) of $        per share to new investors purchasing shares of common stock in this offering.</w:t>
      </w:r>
    </w:p>
    <w:p>
      <w:pPr>
        <w:spacing w:after="0" w:line="18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Dilution per share to new investors is determined by subtracting pro forma as adjusted net tangible book value (deficit) per share after this offering from the initial public offering price per share paid by new investors. The following table illustrates this dilution (without giving effect to any exercise by the underwriters of their option to purchase additional shares):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Historical net tangible book value (deficit) per share as of December 31, 2025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per share as of December 31, 2025 attributable to the pro forma adjustment described above</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 forma net tangible book value (deficit) per share as of December 31, 2025</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8"/>
        </w:trPr>
        <w:tc>
          <w:tcPr>
            <w:tcW w:w="88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Increase in pro forma as adjusted net tangible book value (deficit) per share attributable to new investors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participating in this offering</w:t>
            </w: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0"/>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(deficit) per share after this offering</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participating in this offering</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8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dilution information discussed above is illustrative only and may change based on the actual initial public offering price and other terms of this offering. Each $1.00 increase or decrease, as applicable, in the assumed initial public offering price of $        per share, which is the midpoint of the price range set forth on the cover page of this prospectus, would increase or decrease, as applicable, the pro forma as adjusted net</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40"/>
          </w:cols>
          <w:pgMar w:left="320" w:top="455"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tangible book value per share after this offering by $            , and dilution per share to new investors purchasing common stock in this offering by</w:t>
      </w:r>
    </w:p>
    <w:p>
      <w:pPr>
        <w:spacing w:after="0" w:line="27" w:lineRule="exact"/>
        <w:rPr>
          <w:sz w:val="20"/>
          <w:szCs w:val="20"/>
          <w:color w:val="auto"/>
        </w:rPr>
      </w:pPr>
    </w:p>
    <w:p>
      <w:pPr>
        <w:ind w:left="120" w:right="140"/>
        <w:spacing w:after="0" w:line="252" w:lineRule="auto"/>
        <w:rPr>
          <w:sz w:val="20"/>
          <w:szCs w:val="20"/>
          <w:color w:val="auto"/>
        </w:rPr>
      </w:pPr>
      <w:r>
        <w:rPr>
          <w:rFonts w:ascii="Times New Roman" w:cs="Times New Roman" w:eastAsia="Times New Roman" w:hAnsi="Times New Roman"/>
          <w:sz w:val="18"/>
          <w:szCs w:val="18"/>
          <w:color w:val="auto"/>
        </w:rPr>
        <w:t>$        , assuming that the number of shares of common stock offered by us, as set forth on the cover page of this prospectus, remains the same and after deducting the estimated underwriting discounts and commissions and estimated offering expenses payable by us. Similarly, each increase or decrease, as applicable, of 1.0 million shares in the number of shares of common stock offered by us would increase or decrease, as applicable, our pro forma as adjusted net tangible book value (deficit) per share after this offering by $        per share, in each case, and increase or decrease, as applicable, the dilution to investors participating in this offering by $        per share, assuming no change in the assumed initial public offering price, and after deducting the estimated underwriting discounts and commissions and estimated offering expenses payable by us.</w:t>
      </w:r>
    </w:p>
    <w:p>
      <w:pPr>
        <w:spacing w:after="0" w:line="19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If the underwriters exercise their option to purchase additional shares of our common stock in full, our pro forma as adjusted net tangible book value (deficit) after the offering would be $        per share, representing an immediate increase in pro forma as adjusted net tangible book value (deficit) of $        per share to existing stockholders and immediate dilution in pro forma as adjusted net tangible book value (deficit) dilution of $        per share to new investors, in each case assuming an initial public offering price of $        per share, which is the midpoint of the price range set forth on the cover page of this prospectus, and after deducting the estimated underwriting discounts and commissions and estimated offering expenses payable by us.</w:t>
      </w:r>
    </w:p>
    <w:p>
      <w:pPr>
        <w:spacing w:after="0" w:line="18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following table summarizes on the pro forma as adjusted basis described above, as of December 31, 2025, the total number of shares of common stock purchased from us on an as-converted basis, the total consideration paid or to be paid to us, and the average price per share paid by existing stockholders or to be paid by new investors in this offering, based on the assumed initial public offering price of $        per share, which is the midpoint of the price range set forth on the cover page of this prospectus, before deducting the estimated underwriting discounts and commissions and estimated offering expenses payable by us. New investors purchasing shares of our common stock in this offering will pay an average price per share substantially higher than our existing stockholders paid.</w:t>
      </w: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960" w:type="dxa"/>
            <w:vAlign w:val="bottom"/>
            <w:gridSpan w:val="4"/>
            <w:vMerge w:val="restart"/>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0"/>
        </w:trPr>
        <w:tc>
          <w:tcPr>
            <w:tcW w:w="5540" w:type="dxa"/>
            <w:vAlign w:val="bottom"/>
          </w:tcPr>
          <w:p>
            <w:pPr>
              <w:spacing w:after="0"/>
              <w:rPr>
                <w:sz w:val="13"/>
                <w:szCs w:val="13"/>
                <w:color w:val="auto"/>
              </w:rPr>
            </w:pPr>
          </w:p>
        </w:tc>
        <w:tc>
          <w:tcPr>
            <w:tcW w:w="196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5"/>
            <w:vMerge w:val="continue"/>
          </w:tcPr>
          <w:p>
            <w:pPr>
              <w:spacing w:after="0"/>
              <w:rPr>
                <w:sz w:val="13"/>
                <w:szCs w:val="13"/>
                <w:color w:val="auto"/>
              </w:rPr>
            </w:pPr>
          </w:p>
        </w:tc>
        <w:tc>
          <w:tcPr>
            <w:tcW w:w="92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58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3"/>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500" w:type="dxa"/>
            <w:vAlign w:val="bottom"/>
          </w:tcPr>
          <w:p>
            <w:pPr>
              <w:spacing w:after="0"/>
              <w:rPr>
                <w:sz w:val="12"/>
                <w:szCs w:val="12"/>
                <w:color w:val="auto"/>
              </w:rPr>
            </w:pPr>
          </w:p>
        </w:tc>
        <w:tc>
          <w:tcPr>
            <w:tcW w:w="92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tcBorders>
              <w:top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 purchasing shares in this offering</w:t>
            </w:r>
          </w:p>
        </w:tc>
        <w:tc>
          <w:tcPr>
            <w:tcW w:w="5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76"/>
              </w:rPr>
              <w:t> </w:t>
            </w:r>
          </w:p>
        </w:tc>
        <w:tc>
          <w:tcPr>
            <w:tcW w:w="1560" w:type="dxa"/>
            <w:vAlign w:val="bottom"/>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100.0%</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11020" w:type="dxa"/>
            <w:vAlign w:val="bottom"/>
            <w:gridSpan w:val="15"/>
          </w:tcPr>
          <w:p>
            <w:pPr>
              <w:ind w:left="440"/>
              <w:spacing w:after="0"/>
              <w:rPr>
                <w:sz w:val="20"/>
                <w:szCs w:val="20"/>
                <w:color w:val="auto"/>
              </w:rPr>
            </w:pPr>
            <w:r>
              <w:rPr>
                <w:rFonts w:ascii="Times New Roman" w:cs="Times New Roman" w:eastAsia="Times New Roman" w:hAnsi="Times New Roman"/>
                <w:sz w:val="18"/>
                <w:szCs w:val="18"/>
                <w:color w:val="auto"/>
              </w:rPr>
              <w:t>The table above assumes no exercise of the underwriters’ option to purchase additional shares in this offering. If the underwriters exercise their</w:t>
            </w:r>
          </w:p>
        </w:tc>
        <w:tc>
          <w:tcPr>
            <w:tcW w:w="0" w:type="dxa"/>
            <w:vAlign w:val="bottom"/>
          </w:tcPr>
          <w:p>
            <w:pPr>
              <w:spacing w:after="0"/>
              <w:rPr>
                <w:sz w:val="1"/>
                <w:szCs w:val="1"/>
                <w:color w:val="auto"/>
              </w:rPr>
            </w:pPr>
          </w:p>
        </w:tc>
      </w:tr>
      <w:tr>
        <w:trPr>
          <w:trHeight w:val="234"/>
        </w:trPr>
        <w:tc>
          <w:tcPr>
            <w:tcW w:w="784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8"/>
              </w:rPr>
              <w:t>option to purchase additional shares of common stock from us in full, our existing stockholders would own  </w:t>
            </w:r>
          </w:p>
        </w:tc>
        <w:tc>
          <w:tcPr>
            <w:tcW w:w="318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w w:val="99"/>
              </w:rPr>
              <w:t>%, and new investors purchasing shares of</w:t>
            </w:r>
          </w:p>
        </w:tc>
        <w:tc>
          <w:tcPr>
            <w:tcW w:w="0" w:type="dxa"/>
            <w:vAlign w:val="bottom"/>
          </w:tcPr>
          <w:p>
            <w:pPr>
              <w:spacing w:after="0"/>
              <w:rPr>
                <w:sz w:val="1"/>
                <w:szCs w:val="1"/>
                <w:color w:val="auto"/>
              </w:rPr>
            </w:pPr>
          </w:p>
        </w:tc>
      </w:tr>
    </w:tbl>
    <w:p>
      <w:pPr>
        <w:ind w:left="120" w:right="100"/>
        <w:spacing w:after="0" w:line="260" w:lineRule="auto"/>
        <w:rPr>
          <w:sz w:val="20"/>
          <w:szCs w:val="20"/>
          <w:color w:val="auto"/>
        </w:rPr>
      </w:pPr>
      <w:r>
        <w:rPr>
          <w:rFonts w:ascii="Times New Roman" w:cs="Times New Roman" w:eastAsia="Times New Roman" w:hAnsi="Times New Roman"/>
          <w:sz w:val="18"/>
          <w:szCs w:val="18"/>
          <w:color w:val="auto"/>
        </w:rPr>
        <w:t>our common stock in this offering would own   %, of the total number of shares of our common stock outstanding immediately after the completion of this offering.</w:t>
      </w:r>
    </w:p>
    <w:p>
      <w:pPr>
        <w:spacing w:after="0" w:line="18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after this offering is based on        shares outstanding as of December 31, 2025, after giving effect to the Preferred Stock Conversion, and excludes:</w:t>
      </w:r>
    </w:p>
    <w:p>
      <w:pPr>
        <w:sectPr>
          <w:pgSz w:w="11900" w:h="16838" w:orient="portrait"/>
          <w:cols w:equalWidth="0" w:num="1">
            <w:col w:w="11140"/>
          </w:cols>
          <w:pgMar w:left="320" w:top="455" w:right="439" w:bottom="1440" w:gutter="0" w:footer="0" w:header="0"/>
        </w:sectPr>
      </w:pP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shares of common stock issuable upon exercise of outstanding stock options as of December 31, 2025 under our 2024 Plan, with a weighted-average exercise price of $        per share, and        shares of common stock issuable upon exercise of outstanding stock options granted after December 31, 2025 pursuant to our 2024 Plan, with a weighted-average exercise price of $        per share;</w:t>
      </w:r>
    </w:p>
    <w:p>
      <w:pPr>
        <w:spacing w:after="0" w:line="108" w:lineRule="exact"/>
        <w:rPr>
          <w:sz w:val="20"/>
          <w:szCs w:val="20"/>
          <w:color w:val="auto"/>
        </w:rPr>
      </w:pPr>
    </w:p>
    <w:p>
      <w:pPr>
        <w:sectPr>
          <w:pgSz w:w="11900" w:h="16838" w:orient="portrait"/>
          <w:cols w:equalWidth="0" w:num="2">
            <w:col w:w="720" w:space="360"/>
            <w:col w:w="10060"/>
          </w:cols>
          <w:pgMar w:left="320" w:top="455" w:right="43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40"/>
          </w:cols>
          <w:pgMar w:left="320" w:top="455" w:right="439" w:bottom="1440"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207"/>
        </w:trPr>
        <w:tc>
          <w:tcPr>
            <w:tcW w:w="140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0000EE"/>
                <w:w w:val="99"/>
              </w:rPr>
              <w:t>Table of Contents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tcPr>
          <w:p>
            <w:pPr>
              <w:spacing w:after="0"/>
              <w:rPr>
                <w:sz w:val="17"/>
                <w:szCs w:val="17"/>
                <w:color w:val="auto"/>
              </w:rPr>
            </w:pPr>
          </w:p>
        </w:tc>
      </w:tr>
      <w:tr>
        <w:trPr>
          <w:trHeight w:val="529"/>
        </w:trPr>
        <w:tc>
          <w:tcPr>
            <w:tcW w:w="900" w:type="dxa"/>
            <w:vAlign w:val="bottom"/>
            <w:tcBorders>
              <w:top w:val="single" w:sz="8" w:color="0000EE"/>
            </w:tcBorders>
          </w:tcPr>
          <w:p>
            <w:pPr>
              <w:jc w:val="center"/>
              <w:ind w:left="390"/>
              <w:spacing w:after="0"/>
              <w:rPr>
                <w:sz w:val="20"/>
                <w:szCs w:val="20"/>
                <w:color w:val="auto"/>
              </w:rPr>
            </w:pPr>
            <w:r>
              <w:rPr>
                <w:rFonts w:ascii="Times New Roman" w:cs="Times New Roman" w:eastAsia="Times New Roman" w:hAnsi="Times New Roman"/>
                <w:sz w:val="18"/>
                <w:szCs w:val="18"/>
                <w:color w:val="auto"/>
                <w:w w:val="94"/>
              </w:rPr>
              <w:t>•</w:t>
            </w:r>
          </w:p>
        </w:tc>
        <w:tc>
          <w:tcPr>
            <w:tcW w:w="300" w:type="dxa"/>
            <w:vAlign w:val="bottom"/>
            <w:tcBorders>
              <w:top w:val="single" w:sz="8" w:color="0000EE"/>
            </w:tcBorders>
          </w:tcPr>
          <w:p>
            <w:pPr>
              <w:ind w:left="18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Borders>
              <w:top w:val="single" w:sz="8" w:color="0000EE"/>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40" w:type="dxa"/>
            <w:vAlign w:val="bottom"/>
          </w:tcPr>
          <w:p>
            <w:pPr>
              <w:spacing w:after="0"/>
              <w:rPr>
                <w:sz w:val="24"/>
                <w:szCs w:val="24"/>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 of common stock reserved for future issuance as of December 31, 2025 under the 2024 Plan, which will cease to be</w:t>
            </w:r>
          </w:p>
        </w:tc>
      </w:tr>
      <w:tr>
        <w:trPr>
          <w:trHeight w:val="234"/>
        </w:trPr>
        <w:tc>
          <w:tcPr>
            <w:tcW w:w="900" w:type="dxa"/>
            <w:vAlign w:val="bottom"/>
          </w:tcPr>
          <w:p>
            <w:pPr>
              <w:spacing w:after="0"/>
              <w:rPr>
                <w:sz w:val="20"/>
                <w:szCs w:val="20"/>
                <w:color w:val="auto"/>
              </w:rPr>
            </w:pPr>
          </w:p>
        </w:tc>
        <w:tc>
          <w:tcPr>
            <w:tcW w:w="1022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available for issuance at the time that our 2026 Plan, becomes effective;</w:t>
            </w:r>
          </w:p>
        </w:tc>
      </w:tr>
      <w:tr>
        <w:trPr>
          <w:trHeight w:val="319"/>
        </w:trPr>
        <w:tc>
          <w:tcPr>
            <w:tcW w:w="9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4"/>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 of our common stock issuable upon the exercise or grant of the IPO Grants, equal to approximately 12.5% of the number</w:t>
            </w:r>
          </w:p>
        </w:tc>
      </w:tr>
      <w:tr>
        <w:trPr>
          <w:trHeight w:val="216"/>
        </w:trPr>
        <w:tc>
          <w:tcPr>
            <w:tcW w:w="900" w:type="dxa"/>
            <w:vAlign w:val="bottom"/>
          </w:tcPr>
          <w:p>
            <w:pPr>
              <w:spacing w:after="0"/>
              <w:rPr>
                <w:sz w:val="18"/>
                <w:szCs w:val="18"/>
                <w:color w:val="auto"/>
              </w:rPr>
            </w:pPr>
          </w:p>
        </w:tc>
        <w:tc>
          <w:tcPr>
            <w:tcW w:w="1022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of shares of our common stock to be outstanding upon the closing of this offering calculated on a fully diluted basis (after giving effect to</w:t>
            </w:r>
          </w:p>
        </w:tc>
      </w:tr>
      <w:tr>
        <w:trPr>
          <w:trHeight w:val="216"/>
        </w:trPr>
        <w:tc>
          <w:tcPr>
            <w:tcW w:w="900" w:type="dxa"/>
            <w:vAlign w:val="bottom"/>
          </w:tcPr>
          <w:p>
            <w:pPr>
              <w:spacing w:after="0"/>
              <w:rPr>
                <w:sz w:val="18"/>
                <w:szCs w:val="18"/>
                <w:color w:val="auto"/>
              </w:rPr>
            </w:pPr>
          </w:p>
        </w:tc>
        <w:tc>
          <w:tcPr>
            <w:tcW w:w="1022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the number of shares of our common stock to be sold in this offering, not including the exercise in full of the underwriters’ option to</w:t>
            </w:r>
          </w:p>
        </w:tc>
      </w:tr>
      <w:tr>
        <w:trPr>
          <w:trHeight w:val="216"/>
        </w:trPr>
        <w:tc>
          <w:tcPr>
            <w:tcW w:w="900" w:type="dxa"/>
            <w:vAlign w:val="bottom"/>
          </w:tcPr>
          <w:p>
            <w:pPr>
              <w:spacing w:after="0"/>
              <w:rPr>
                <w:sz w:val="18"/>
                <w:szCs w:val="18"/>
                <w:color w:val="auto"/>
              </w:rPr>
            </w:pPr>
          </w:p>
        </w:tc>
        <w:tc>
          <w:tcPr>
            <w:tcW w:w="1022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purchase additional shares), to be granted to an executive officer and a director under the 2026 Plan; see the sections titled “Executive</w:t>
            </w:r>
          </w:p>
        </w:tc>
      </w:tr>
      <w:tr>
        <w:trPr>
          <w:trHeight w:val="216"/>
        </w:trPr>
        <w:tc>
          <w:tcPr>
            <w:tcW w:w="900" w:type="dxa"/>
            <w:vAlign w:val="bottom"/>
          </w:tcPr>
          <w:p>
            <w:pPr>
              <w:spacing w:after="0"/>
              <w:rPr>
                <w:sz w:val="18"/>
                <w:szCs w:val="18"/>
                <w:color w:val="auto"/>
              </w:rPr>
            </w:pPr>
          </w:p>
        </w:tc>
        <w:tc>
          <w:tcPr>
            <w:tcW w:w="1022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Compensation—Narrative Disclosure to the 2025 Summary Compensation Table—Equity Incentive Compensation” and “Director</w:t>
            </w:r>
          </w:p>
        </w:tc>
      </w:tr>
      <w:tr>
        <w:trPr>
          <w:trHeight w:val="216"/>
        </w:trPr>
        <w:tc>
          <w:tcPr>
            <w:tcW w:w="900" w:type="dxa"/>
            <w:vAlign w:val="bottom"/>
          </w:tcPr>
          <w:p>
            <w:pPr>
              <w:spacing w:after="0"/>
              <w:rPr>
                <w:sz w:val="18"/>
                <w:szCs w:val="18"/>
                <w:color w:val="auto"/>
              </w:rPr>
            </w:pPr>
          </w:p>
        </w:tc>
        <w:tc>
          <w:tcPr>
            <w:tcW w:w="1022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Compensation” for more information on such grants, including a description of how the number of shares issuable pursuant to such grants</w:t>
            </w:r>
          </w:p>
        </w:tc>
      </w:tr>
      <w:tr>
        <w:trPr>
          <w:trHeight w:val="234"/>
        </w:trPr>
        <w:tc>
          <w:tcPr>
            <w:tcW w:w="900" w:type="dxa"/>
            <w:vAlign w:val="bottom"/>
          </w:tcPr>
          <w:p>
            <w:pPr>
              <w:spacing w:after="0"/>
              <w:rPr>
                <w:sz w:val="20"/>
                <w:szCs w:val="20"/>
                <w:color w:val="auto"/>
              </w:rPr>
            </w:pPr>
          </w:p>
        </w:tc>
        <w:tc>
          <w:tcPr>
            <w:tcW w:w="1022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will be determined;</w:t>
            </w:r>
          </w:p>
        </w:tc>
      </w:tr>
      <w:tr>
        <w:trPr>
          <w:trHeight w:val="319"/>
        </w:trPr>
        <w:tc>
          <w:tcPr>
            <w:tcW w:w="9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4"/>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of our common stock that will become available for future issuance under our 2026 Plan, including shares reserved for</w:t>
            </w:r>
          </w:p>
        </w:tc>
      </w:tr>
      <w:tr>
        <w:trPr>
          <w:trHeight w:val="216"/>
        </w:trPr>
        <w:tc>
          <w:tcPr>
            <w:tcW w:w="900" w:type="dxa"/>
            <w:vAlign w:val="bottom"/>
          </w:tcPr>
          <w:p>
            <w:pPr>
              <w:spacing w:after="0"/>
              <w:rPr>
                <w:sz w:val="18"/>
                <w:szCs w:val="18"/>
                <w:color w:val="auto"/>
              </w:rPr>
            </w:pPr>
          </w:p>
        </w:tc>
        <w:tc>
          <w:tcPr>
            <w:tcW w:w="1022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the IPO Grants, which will become effective on the date immediately prior to the effectiveness of the registration statement of which this</w:t>
            </w:r>
          </w:p>
        </w:tc>
      </w:tr>
      <w:tr>
        <w:trPr>
          <w:trHeight w:val="216"/>
        </w:trPr>
        <w:tc>
          <w:tcPr>
            <w:tcW w:w="900" w:type="dxa"/>
            <w:vAlign w:val="bottom"/>
          </w:tcPr>
          <w:p>
            <w:pPr>
              <w:spacing w:after="0"/>
              <w:rPr>
                <w:sz w:val="18"/>
                <w:szCs w:val="18"/>
                <w:color w:val="auto"/>
              </w:rPr>
            </w:pPr>
          </w:p>
        </w:tc>
        <w:tc>
          <w:tcPr>
            <w:tcW w:w="1022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w w:val="99"/>
              </w:rPr>
              <w:t>prospectus forms a part, as well as any automatic increases in the number of shares of common stock reserved for future issuance under the</w:t>
            </w:r>
          </w:p>
        </w:tc>
      </w:tr>
      <w:tr>
        <w:trPr>
          <w:trHeight w:val="216"/>
        </w:trPr>
        <w:tc>
          <w:tcPr>
            <w:tcW w:w="900" w:type="dxa"/>
            <w:vAlign w:val="bottom"/>
          </w:tcPr>
          <w:p>
            <w:pPr>
              <w:spacing w:after="0"/>
              <w:rPr>
                <w:sz w:val="18"/>
                <w:szCs w:val="18"/>
                <w:color w:val="auto"/>
              </w:rPr>
            </w:pPr>
          </w:p>
        </w:tc>
        <w:tc>
          <w:tcPr>
            <w:tcW w:w="1022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2026 Plan and any shares underlying outstanding stock awards granted under the 2024 Plan that expire or are repurchased, forfeited,</w:t>
            </w:r>
          </w:p>
        </w:tc>
      </w:tr>
      <w:tr>
        <w:trPr>
          <w:trHeight w:val="234"/>
        </w:trPr>
        <w:tc>
          <w:tcPr>
            <w:tcW w:w="900" w:type="dxa"/>
            <w:vAlign w:val="bottom"/>
          </w:tcPr>
          <w:p>
            <w:pPr>
              <w:spacing w:after="0"/>
              <w:rPr>
                <w:sz w:val="20"/>
                <w:szCs w:val="20"/>
                <w:color w:val="auto"/>
              </w:rPr>
            </w:pPr>
          </w:p>
        </w:tc>
        <w:tc>
          <w:tcPr>
            <w:tcW w:w="1022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cancelled, or withheld; and</w:t>
            </w:r>
          </w:p>
        </w:tc>
      </w:tr>
      <w:tr>
        <w:trPr>
          <w:trHeight w:val="319"/>
        </w:trPr>
        <w:tc>
          <w:tcPr>
            <w:tcW w:w="9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4"/>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 of common stock reserved for future issuance under our ESPP, which will become effective on the date immediately prior</w:t>
            </w:r>
          </w:p>
        </w:tc>
      </w:tr>
      <w:tr>
        <w:trPr>
          <w:trHeight w:val="216"/>
        </w:trPr>
        <w:tc>
          <w:tcPr>
            <w:tcW w:w="900" w:type="dxa"/>
            <w:vAlign w:val="bottom"/>
          </w:tcPr>
          <w:p>
            <w:pPr>
              <w:spacing w:after="0"/>
              <w:rPr>
                <w:sz w:val="18"/>
                <w:szCs w:val="18"/>
                <w:color w:val="auto"/>
              </w:rPr>
            </w:pPr>
          </w:p>
        </w:tc>
        <w:tc>
          <w:tcPr>
            <w:tcW w:w="1022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to the effectiveness of the registration statement of which this prospectus forms a part, as well as any automatic increases in the number of</w:t>
            </w:r>
          </w:p>
        </w:tc>
      </w:tr>
      <w:tr>
        <w:trPr>
          <w:trHeight w:val="234"/>
        </w:trPr>
        <w:tc>
          <w:tcPr>
            <w:tcW w:w="900" w:type="dxa"/>
            <w:vAlign w:val="bottom"/>
          </w:tcPr>
          <w:p>
            <w:pPr>
              <w:spacing w:after="0"/>
              <w:rPr>
                <w:sz w:val="20"/>
                <w:szCs w:val="20"/>
                <w:color w:val="auto"/>
              </w:rPr>
            </w:pPr>
          </w:p>
        </w:tc>
        <w:tc>
          <w:tcPr>
            <w:tcW w:w="1022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shares of common stock reserved for future issuance under the ESPP.</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To the extent any outstanding options are exercised, new options or other equity awards are issued under our equity incentive plans, or we issue additional shares of common stock in the future, there will be further dilution to new investors.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4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audited consolidated financial statements and related notes and other financial information included elsewhere in this prospectus. This discussion and analysis and other parts of this prospectus contain forward-looking statements based upon our current plans and expectations that involve risks, uncertainties and assumptions, such as statements regarding our plans, strategies, objectives, expectations, intentions and beliefs. Financial results through April 8, 2024, which are included in the consolidated financial statements for the year ended December 31, 2024, have been prepared on a “carve-out” basis and our full year results for the year ended December 31, 2024 are not necessarily indicative of results that may be expected in the future, nor are our other historical results necessarily indicative of the results that may be expected for any period in the future. Our actual results and the timing of events could differ materially from those anticipated in these forward-looking statements as a result of various factors, including those set forth under “Risk Factors” and elsewhere in this prospectus. You should carefully read the “Risk Factors” section of this prospectus to gain an understanding of the important factors that could cause actual results to differ materially from our forward-looking statements. Please also see the section titled “Special Note Regarding Forward-Looking Statements.” Unless otherwise indicated, all references in this section to “Seaport,” the “company,” “we,” “our,” “us,” or similar terms refer to Seaport Therapeutics, Inc. and its wholly owned subsidiaries, or either or all of them, before the Asset Transfer (as defined below) and after the Asset Transfer, as applicable and as the context may require.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a clinical-stage therapeutics company focused on inventing and developing new medicines for patients with depression, anxiety, and other debilitating neuropsychiatric disorders. Through our differentiated approach, we identify clinically validated mechanisms with established efficacy and safety profiles which had historically been limited by high first-pass metabolism, low bioavailability, and/or side effects. We apply our proprietary Glyph platform to overcome those limitations and invent innovative oral therapies. Our lead product candidate, GlyphAllo (SPT-300 or Glyph Allopregnanolone), is a novel, Glyphed oral prodrug of allopregnanolone, an endogenous molecule that has been clinically validated in two third-party trials in the United States for the treatment of postpartum depression, or PPD, a form of major depressive disorder, or MDD, as a rapidly acting antidepressant with anxiolytic and sleep-promoting effects. We have initiated the Phase 2b BUOY-1 trial in patients with MDD with or without anxious distress and anticipate topline data in           . Our second product candidate, GlyphAgo (SPT-320 or Glyph Agomelatine), is a novel, Glyphed oral prodrug of agomelatine, a clinically validated anxiolytic and antidepressant that is approved for the treatment of generalized anxiety disorder, or GAD, in Australia and MDD in Australia and the European Union, or EU. We have initiated a proof-of-concept Phase 1 trial for the treatment of GAD and expect topline data in           . We are also advancing Glyph2BLSD (SPT-348 or Glyph 2-bromo-LSD), a novel, Glyphed oral prodrug of the non-hallucinogenic LSD analog 2-bromo-LSD, in preclinical studies for depressive disorders, including treatment-resistant depression, or TRD, post-traumatic stress disorder, or PTSD, and headache disorders.</w:t>
      </w:r>
    </w:p>
    <w:p>
      <w:pPr>
        <w:spacing w:after="0" w:line="18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were incorporated in April 2024 by PureTech LYT Inc., or PureTech LYT, as our sole stockholder, and upon formation we entered into an asset transfer agreement, as amended in December 2025, or the Asset Transfer Agreement, with PureTech LYT and PureTech Health LLC, or PureTech Health, pursuant to which PureTech Health and PureTech LYT agreed to contribute, convey, assign, transfer, and deliver to us all of its right, title and interest in, to, and under the assets related to its Glyph technology or products, including the Monash License Agreement, subject to the terms set forth in the Asset Transfer Agreement or the Asset Transfer. See sub-section titled “Asset Transfer Agreement and Financings” below. Our historical consolidated financial statements up to April 8, 2024, or the Asset Transfer Date, have been prepared on a “carve-out” basis and are derived from the financial statements of PureTech Health plc and its consolidated subsidiaries, or PureTech, to represent our financial position and performance as if we had existed on a standalone basis. Prior to the Asset Transfer, our combined financial statements included the assets, liabilities, and expenses of PureTech that management determined were specifically identifiable to us and our related programs, as well as indirect costs that were not specifically identifiable to us or our related programs but were considered necessary to operate as a standalone company.</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80"/>
          </w:cols>
          <w:pgMar w:left="320" w:top="455" w:right="4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72" w:lineRule="auto"/>
        <w:rPr>
          <w:sz w:val="20"/>
          <w:szCs w:val="20"/>
          <w:color w:val="auto"/>
        </w:rPr>
      </w:pPr>
      <w:r>
        <w:rPr>
          <w:rFonts w:ascii="Times New Roman" w:cs="Times New Roman" w:eastAsia="Times New Roman" w:hAnsi="Times New Roman"/>
          <w:sz w:val="17"/>
          <w:szCs w:val="17"/>
          <w:color w:val="auto"/>
        </w:rPr>
        <w:t>Management believes the assumptions underlying our carve-out financial statements are reasonable. Nevertheless, the carve-out financial statements may not include all of the actual expenses that would have been incurred, and may not reflect our results of operations, financial position, and cash flows, had we operated as a standalone company for the period prior to the Asset Transfer. Effective April 8, 2024, the Company’s financial statements are presented on a consolidated basis, as PureTech Health LLC and PureTech LYT completed the transfer of the Glyph platform business, or the Seaport Business, on such date. The audited financial statements presented, including the historical results of the Company prior to April 8, 2024, are referred to as the consolidated financial statements. Our consolidated financial statements are presented in conformity with accounting principles generally accepted in the U.S., or GAAP. See Note 1—Nature of Business and Basis of Presentation, in the notes to the consolidated financial statements appearing elsewhere in this prospectus for additional information on the preparation and basis of presentation of the consolidated financial statements.</w:t>
      </w:r>
    </w:p>
    <w:p>
      <w:pPr>
        <w:spacing w:after="0" w:line="172" w:lineRule="exact"/>
        <w:rPr>
          <w:sz w:val="20"/>
          <w:szCs w:val="20"/>
          <w:color w:val="auto"/>
        </w:rPr>
      </w:pPr>
    </w:p>
    <w:p>
      <w:pPr>
        <w:jc w:val="both"/>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have devoted substantially all of our efforts to organizing and staffing our company, business planning, research and development activities, building and strengthening our intellectual property portfolio, and providing general and administrative support for these operations. Subsequent to the Asset Transfer Date and to date, we have funded our operations with proceeds from the issuance and sale of convertible preferred stock, including the $100.1 million gross proceeds we received in April 2024 from our Series A-2 Financing (as defined below) and the $226.0 million gross proceeds we received in October 2024 from our Series B Financing (as defined below).</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have incurred significant operating losses since the inception of our business and expect to continue to generate operating losses for the foreseeable future. Our ability to generate product revenue sufficient to achieve profitability will depend on the successful development and eventual commercialization of any product candidates we may develop. During the year ended December 31, 2024, we had a net loss of $46.9 million and as of December 31, 2024 we had an accumulated deficit of $39.2 million. We expect our expenses and operating losses will increase substantially as we:</w:t>
      </w:r>
    </w:p>
    <w:p>
      <w:pPr>
        <w:spacing w:after="0" w:line="85" w:lineRule="exact"/>
        <w:rPr>
          <w:sz w:val="20"/>
          <w:szCs w:val="20"/>
          <w:color w:val="auto"/>
        </w:rPr>
      </w:pPr>
    </w:p>
    <w:p>
      <w:pPr>
        <w:ind w:left="108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product candidates through preclinical and clinical development, including advancing GlyphAllo and GlyphAgo through later-stage clinical trials, and other candidates through discovery and clinical and preclinical stages;</w:t>
      </w:r>
    </w:p>
    <w:p>
      <w:pPr>
        <w:spacing w:after="0" w:line="67" w:lineRule="exact"/>
        <w:rPr>
          <w:rFonts w:ascii="Times New Roman" w:cs="Times New Roman" w:eastAsia="Times New Roman" w:hAnsi="Times New Roman"/>
          <w:sz w:val="18"/>
          <w:szCs w:val="18"/>
          <w:color w:val="auto"/>
        </w:rPr>
      </w:pPr>
    </w:p>
    <w:p>
      <w:pPr>
        <w:ind w:left="1080" w:right="116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our product candidates that successfully complete clinical trials from the U.S. Food and Drug Administration, or the FDA, and/or other foreign comparable regulatory authorities;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medical, scientific, and other technical personnel to support the clinical development of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internal capabilities to support clinical-stage development;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headcount as we expand our research and development organization, and pre-commercial planning activities;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any activities to establish sales, marketing, and distribution capabilities in preparation for commercialization, as applicable, including hiring additional personnel to support such operations;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acquire, and develop additional product candidates where we can leverage our Glyph platform, including through business development efforts to invest in or in-license other technologies or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heightened regulatory scrutiny;</w:t>
      </w:r>
    </w:p>
    <w:p>
      <w:pPr>
        <w:spacing w:after="0" w:line="130" w:lineRule="exact"/>
        <w:rPr>
          <w:rFonts w:ascii="Times New Roman" w:cs="Times New Roman" w:eastAsia="Times New Roman" w:hAnsi="Times New Roman"/>
          <w:sz w:val="18"/>
          <w:szCs w:val="18"/>
          <w:color w:val="auto"/>
        </w:rPr>
      </w:pPr>
    </w:p>
    <w:p>
      <w:pPr>
        <w:ind w:left="1080" w:right="760" w:hanging="424"/>
        <w:spacing w:after="0" w:line="312" w:lineRule="auto"/>
        <w:tabs>
          <w:tab w:leader="none" w:pos="10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milestone, royalty, or other payments due under the Asset Transfer Agreement and/or the License Agreement with Monash University, or the Monash License Agreement, and any future in-license or collaboration agreements with third parties; and</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associated with operating as a public company.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Our net losses may fluctuate significantly from quarter-to-quarter and year-to-year, depending on the timing of our preclinical studies and planned clinical trials and our expenditures on other research and development activities.</w:t>
      </w:r>
    </w:p>
    <w:p>
      <w:pPr>
        <w:spacing w:after="0" w:line="162"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We do not expect to generate any revenue from product sales unless and until we successfully complete development and obtain regulatory approval for one or more of our potential future product candidates, which may not be for at least the next several years, if ever. If we obtain regulatory approval for any of our existing or future product candidates, we expect to incur significant commercialization expenses related to product sales, marketing, manufacturing and distribution. Accordingly, until such time as we can generate significant revenue from our existing or future product candidates, if ever, we expect to finance our cash needs through equity offerings, debt financings, or other capital sources, including potential collaborations, licenses, and other similar arrangements. See the section titled “Liquidity and Capital Resources.” However, we may be unable to raise additional funds or enter into such other arrangements when needed on favorable terms or at all. Our inability to raise capital or enter into such other arrangements when needed would have a negative impact on our financial condition and could force us to delay, limit, reduce, or terminate our product development or future commercialization efforts or grant rights to develop and market potential future product candidates that we would otherwise prefer to develop and market ourselves.</w:t>
      </w:r>
    </w:p>
    <w:p>
      <w:pPr>
        <w:spacing w:after="0" w:line="19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believe, based on our current operating plan, that the net proceeds from this offering, together with our existing cash and cash equivalents, will enable us to fund our operating expenses and capital expenditure requirements through           . See sections titled “Use of Proceeds,” “Liquidity and Capital Resources” and “Risk Factors—Risks Related to Our Limited Operating History, Financial Condition and Need for Additional Capital.”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Asset Transfer Agreement and Financings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were incorporated in April 2024 by PureTech LYT, as our sole stockholder, and upon formation issued 1,000 shares of our common stock to PureTech LYT. In April 2024, we entered into an Asset Transfer Agreement, or the Asset Transfer Agreement, with PureTech Health LLC, or PureTech Health, and PureTech LYT Inc., or PureTech LYT, pursuant to which PureTech Health and PureTech LYT agreed to contribute, convey, assign, transfer, and deliver to us all of PureTech Health’s and PureTech LYT’s right, title, and interest in, to, and under the assets related to its Glyph technology or products, including the Monash License Agreement, subject to the terms set forth in the Asset Transfer Agreement. In exchange, we issued 40,000,000 shares of our Series A-1 convertible preferred stock and 949,000 shares of our common stock to PureTech LYT.</w:t>
      </w:r>
    </w:p>
    <w:p>
      <w:pPr>
        <w:spacing w:after="0" w:line="18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Asset Transfer Agreement, we have agreed to make milestone payments of up to an aggregate of $10.0 million for the first product covered by assets transferred through the Asset Transfer Agreement, or the Seaport Glyph Product, of $2.0 million for the first patient dosed in the first phase 3 clinical trial, $4.0 million for the first commercial sale in the United States, $2.0 million for the first commercial sale in a major European market, and $2.0 million for the first commercial sale in Japan, and for each subsequent Seaport Glyph Product, we have agreed to make milestone payments of $1.0 million for the first patient dosed in the first phase 3 clinical trial, $2.0 million for the first commercial sale in the United States, $1.0 million for the first commercial sale in a major European market, and $1.0 million for the first commercial sale in Japan. In addition, we are obligated to pay royalties between 3% and 5% on the annual net sales of each Seaport Glyph Product and a percentage of net income generated by us from third parties on any products licensed under the Glyph intellectual property which was transferred to us as part of the Asset Transfer Agreement. The royalty term will expire on a country-by-country basis as to each Seaport Glyph Product on the later of the ten year anniversary of the first commercial sale of such Seaport Glyph Product in such country or the date on which the last valid claim of patent rights of such Seaport Glyph Product expires in such country. For additional information, see “</w:t>
      </w:r>
      <w:r>
        <w:rPr>
          <w:rFonts w:ascii="Times New Roman" w:cs="Times New Roman" w:eastAsia="Times New Roman" w:hAnsi="Times New Roman"/>
          <w:sz w:val="18"/>
          <w:szCs w:val="18"/>
          <w:i w:val="1"/>
          <w:iCs w:val="1"/>
          <w:color w:val="auto"/>
        </w:rPr>
        <w:t>Business—Agreements—Asset Transfer Agreement with PureTech</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Concurrently, upon entry into the Asset Transfer Agreement, we entered into a stock purchase agreement with PureTech LYT and other third-party investors, pursuant to which we issued 26,342,102 shares of our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Series A-2 convertible preferred stock, or the Series A Financing, of which 8,421,052 shares were issued and sold to PureTech LYT, at a purchase price of $3.80 per share for gross aggregate proceeds of $100.1 million. PureTech LYT remained a majority investor of Seaport, until the completion of our Series B convertible preferred stock financing, or the Series B Financing, in October 2024, upon which we issued and sold an aggregate amount of 47,578,934 shares of its Series B convertible preferred stock, of which 3,031,578 shares were issued to PureTech LYT, and an aggregate of 494,734 shares issued to certain of our management and Board of Directors, or the Board, at a purchase price of $4.75 per share, for gross aggregate proceeds of $226.0 million.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License and Collaboration Agreements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Monash License Agreement</w:t>
      </w:r>
    </w:p>
    <w:p>
      <w:pPr>
        <w:spacing w:after="0" w:line="119"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In April 2024, PureTech Health exclusively assigned to us, and we assumed, all rights and obligations under a license agreement entered into in August 2017 between PureTech Health and Monash University, or the Original License Agreement. In March 2025, we entered into an amended and restated license agreement with Monash University, which amended and restated the Original License Agreement, or the Monash License Agreement. Pursuant to the Monash License Agreement, Monash University has granted us (i) a worldwide, exclusive, sublicensable license under certain Monash University intellectual property rights, including patent rights related to the Glyph platform, or the Licensed Patents, know-how, and intellectual property stemming from joint research and development activities, for the purpose of developing and commercializing products in all fields with one exception, (ii) a worldwide, non-exclusive, sublicensable license under certain background technology and certain other intellectual property strictly to the extent necessary to exercise the license described in subclause (i) above, and (iii) a first right and an exclusive option to obtain an exclusive license to any invention generated by Monash University outside of the Licensed Patents and pertaining to certain prodrug technology. Additionally, we and Monash University agreed to collaborate in conducting research and development activities.</w:t>
      </w:r>
    </w:p>
    <w:p>
      <w:pPr>
        <w:spacing w:after="0" w:line="1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Under the Monash License Agreement, we have agreed to use reasonable commercial endeavors to (i) develop at least one Licensed Product (as defined therein), (ii) seek regulatory approval for at least one Licensed Product, and (iii) after receipt of such regulatory approval in the United States or Europe, promote and develop the sale of at least one Licensed Product in such territory. Monash University has agreed to provide reasonable technical assistance and advice based on Monash University’s know-how relating to the technology licensed under the Monash License Agreement. We have granted Monash University a non-exclusive, perpetual, royalty-free license under the Licensed Patents, related know-how, and intellectual property stemming from joint research and development activities solely for academic, teaching, and non-commercial collaborative research uses, which includes the right to sublicense for non-commercial collaborative research to other academic institutions or non-commercial research entities.</w:t>
      </w:r>
    </w:p>
    <w:p>
      <w:pPr>
        <w:spacing w:after="0" w:line="18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For additional discussion around the obligations under the Monash License Agreement, see the subsection titled “—Contractual Obligations and Commitments” and “Business—Agreements—Monash University Exclusive License Agreement” included elsewhere in this prospectus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21" w:lineRule="exact"/>
        <w:rPr>
          <w:sz w:val="20"/>
          <w:szCs w:val="20"/>
          <w:color w:val="auto"/>
        </w:rPr>
      </w:pPr>
    </w:p>
    <w:p>
      <w:pPr>
        <w:ind w:left="120" w:right="300" w:firstLine="440"/>
        <w:spacing w:after="0" w:line="256" w:lineRule="auto"/>
        <w:rPr>
          <w:sz w:val="20"/>
          <w:szCs w:val="20"/>
          <w:color w:val="auto"/>
        </w:rPr>
      </w:pPr>
      <w:r>
        <w:rPr>
          <w:rFonts w:ascii="Times New Roman" w:cs="Times New Roman" w:eastAsia="Times New Roman" w:hAnsi="Times New Roman"/>
          <w:sz w:val="18"/>
          <w:szCs w:val="18"/>
          <w:color w:val="auto"/>
        </w:rPr>
        <w:t>Historically, our operations were managed as part of PureTech prior to the Asset Transfer Date. Accordingly, certain shared costs have been allocated to us and reflected as expenses in our standalone consolidated financial statements, as described in greater detail in the notes to our consolidated financial statements appearing elsewhere in this prospectus. We considered the allocation methodologies used to be a reasonable and appropriate reflection of the historical PureTech expenses attributable to us for purposes of our standalone consolidated financial statements. The expenses reflected in our consolidated financial statements may not be indicative of expenses that will be incurred by us in the future. The following discussion summarizes the key factors we believe are necessary for an understanding of our consolidated financial statements.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00"/>
          </w:cols>
          <w:pgMar w:left="320" w:top="455" w:right="4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To date, we have not recognized any revenue and do not expect to generate any revenue from the sale of products in the near term, if at all. If our development efforts for our current or potential future product candidates are successful and result in regulatory approval or if we enter into additional license or collaboration agreements with third parties, we may generate revenue in the future from product sales, payments from such license or collaboration agreements, or any combination thereof. However, there can be no assurance as to when we will generate such revenue, if at all.</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Research and development, or R&amp;D, expenses consist primarily of costs incurred in connection with the discovery, non-clinical development, and clinical development of our lead product candidates and potential future product candidates. R&amp;D expenses include direct costs specifically attributable to our programs including external fees to conduct certain clinical and non-clinical research and development activities, preclinical and early discovery assets, such as costs paid to contract research and manufacturing organizations, consulting fees, laboratory services and supplies, and costs incurred in connection with the Monash License Agreement, as well as indirect costs that are not directly attributable to a specific program such as personnel related expenses, including stock-based compensation, facility expenses, depreciation, and information technology costs. Prior to the Asset Transfer Date, R&amp;D expenses also included allocated indirect R&amp;D costs from PureTech, including personnel related expenses, stock-based compensation, facility expenses, depreciation, and information technology costs.</w:t>
      </w:r>
    </w:p>
    <w:p>
      <w:pPr>
        <w:spacing w:after="0" w:line="192"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direct development costs based on an evaluation of the progress to completion of specific tasks using information provided to us by our vendors or our estimate of the level of service that has been performed at each reporting date. Payments for these activities are based on the terms of the individual agreements, which may differ from the pattern of costs incurred, and are reflected in our consolidated financial statements as prepaid or accrued research and development expenses.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Due to the inherently unpredictable nature of preclinical and clinical development, we do not allocate all of our internal research and development expenses on a program-by-program basis as these expenses primarily relate to personnel and other overhead costs that are deployed across multiple programs under development. Our research and development expenses also include external costs, which we do track on a program-by-program basis following the program’s nomination as a product candidate. We began tracking such external costs upon the nomination for GlyphAllo in 2020, GlyphAgo at the end of our fiscal year ended December 31, 2023 and Glyph2BLSD at the end of our fiscal year ended December 31, 2024.</w:t>
      </w:r>
    </w:p>
    <w:p>
      <w:pPr>
        <w:spacing w:after="0" w:line="183"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that our research and development expenses will continue to increase for the foreseeable future as we advance our current and any future product candidates into and through clinical development and as we continue to develop additional product candidates.</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of salaries and personnel-related costs, including stock-based compensation expense, for our personnel in executive, business development, legal, finance and accounting, human resources and other administrative functions, consulting fees, facility costs not otherwise included in R&amp;D expenses, fees paid for accounting and tax services, insurance expenses, legal costs consisting of general corporate legal fees and patent legal fees, and allocated expenses from PureTech prior to our formation in April 2024. Allocated PureTech expenses included employee-related costs, including salaries, bonuses, benefits, and stock-based compensation expenses for PureTech personnel and our personnel in executive, finance, accounting,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human resources, and other administrative functions. Allocated expenses from PureTech also included corporate overhead expenses and shared costs, such as general management and executive oversight, facilities, compliance, human resources, legal, including intellectual property costs, finance, risk management, and information technology all of which supported the operations of PureTech as a whole.</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the expansion of our business, particularly in support of development of product candidates and our continued research and clinical development activities. We will also incur significant costs associated with being a public company, including increased accounting, audit, legal, regulatory, compliance, and director and officer insurance costs, as well as expenses related to services associated with maintaining compliance with the requirements of the Nasdaq Stock Market, the Securities and Exchange Commission, and investor relations costs.</w:t>
      </w:r>
    </w:p>
    <w:p>
      <w:pPr>
        <w:spacing w:after="0" w:line="183" w:lineRule="exact"/>
        <w:rPr>
          <w:sz w:val="20"/>
          <w:szCs w:val="20"/>
          <w:color w:val="auto"/>
        </w:rPr>
      </w:pPr>
    </w:p>
    <w:p>
      <w:pPr>
        <w:jc w:val="both"/>
        <w:ind w:left="120" w:right="120" w:firstLine="440"/>
        <w:spacing w:after="0" w:line="257" w:lineRule="auto"/>
        <w:rPr>
          <w:sz w:val="20"/>
          <w:szCs w:val="20"/>
          <w:color w:val="auto"/>
        </w:rPr>
      </w:pPr>
      <w:r>
        <w:rPr>
          <w:rFonts w:ascii="Times New Roman" w:cs="Times New Roman" w:eastAsia="Times New Roman" w:hAnsi="Times New Roman"/>
          <w:sz w:val="18"/>
          <w:szCs w:val="18"/>
          <w:color w:val="auto"/>
        </w:rPr>
        <w:t>Through the completion of this offering, we continued to grant additional equity awards to certain individuals to maintain in total an aggregate of 12.5% ownership on a fully diluted basis as specified by underlying agreements. Upon the completion of the offering, we will issue          equity awards to certain individuals to maintain an aggregate of 12.5% ownership and we will recognize total stock-based compensation expense of</w:t>
      </w:r>
    </w:p>
    <w:p>
      <w:pPr>
        <w:spacing w:after="0" w:line="1" w:lineRule="exact"/>
        <w:rPr>
          <w:sz w:val="20"/>
          <w:szCs w:val="20"/>
          <w:color w:val="auto"/>
        </w:rPr>
      </w:pPr>
    </w:p>
    <w:p>
      <w:pPr>
        <w:ind w:left="120" w:right="220"/>
        <w:spacing w:after="0" w:line="260" w:lineRule="auto"/>
        <w:rPr>
          <w:sz w:val="20"/>
          <w:szCs w:val="20"/>
          <w:color w:val="auto"/>
        </w:rPr>
      </w:pPr>
      <w:r>
        <w:rPr>
          <w:rFonts w:ascii="Times New Roman" w:cs="Times New Roman" w:eastAsia="Times New Roman" w:hAnsi="Times New Roman"/>
          <w:sz w:val="18"/>
          <w:szCs w:val="18"/>
          <w:color w:val="auto"/>
        </w:rPr>
        <w:t>$          over the remaining vesting period. In addition, certain individuals have accelerated vesting associated with the successful completion of an IPO which will result in           equity awards vesting and recognition of stock-based compensation expense of           .</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Provision for income taxes consists of United States federal and state income taxes in jurisdictions in which we conduct business. The provision for income taxes is based on our taxable income. Our loss before income taxes is adjusted for permanent and temporary tax differences, primarily related to capitalized research and development expenses, resulting in taxable income or loss. We recorded a full valuation allowance of our deferred tax asset position as of December 31, 2024 as we believe it was more likely than not that we would not be able to utilize our deferred tax assets.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2025</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5"/>
                <w:szCs w:val="15"/>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2"/>
                <w:szCs w:val="12"/>
                <w:color w:val="auto"/>
              </w:rPr>
            </w:pPr>
          </w:p>
        </w:tc>
        <w:tc>
          <w:tcPr>
            <w:tcW w:w="700" w:type="dxa"/>
            <w:vAlign w:val="bottom"/>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9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(including stock-based compensation of $0.7 million)</w:t>
            </w:r>
          </w:p>
        </w:tc>
        <w:tc>
          <w:tcPr>
            <w:tcW w:w="19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  25,070</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(including stock-based compensation of $15.2 million)</w:t>
            </w:r>
          </w:p>
        </w:tc>
        <w:tc>
          <w:tcPr>
            <w:tcW w:w="19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27,346</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52,416</w:t>
            </w:r>
          </w:p>
        </w:tc>
        <w:tc>
          <w:tcPr>
            <w:tcW w:w="3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9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(52,416)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19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5,537</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9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3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9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(46,879)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9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9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(46,879)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xml:space="preserve">$      — </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w w:val="92"/>
              </w:rPr>
              <w:t>$        — </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5380"/>
              <w:spacing w:after="0"/>
              <w:rPr>
                <w:sz w:val="20"/>
                <w:szCs w:val="20"/>
                <w:color w:val="auto"/>
              </w:rPr>
            </w:pPr>
            <w:r>
              <w:rPr>
                <w:rFonts w:ascii="Times New Roman" w:cs="Times New Roman" w:eastAsia="Times New Roman" w:hAnsi="Times New Roman"/>
                <w:sz w:val="18"/>
                <w:szCs w:val="18"/>
                <w:color w:val="auto"/>
              </w:rPr>
              <w:t>113</w:t>
            </w:r>
          </w:p>
        </w:tc>
        <w:tc>
          <w:tcPr>
            <w:tcW w:w="9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 thousands):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5"/>
                <w:szCs w:val="15"/>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8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Direct costs: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GlyphAllo</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7,396</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GlyphAgo</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5,204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Preclinical and early discovery assets</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5,903</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Indirect costs: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compensation (excluding stock-based compensation)</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5,022</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868</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25,070</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 </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Research and development expenses for the year ended December 31, 2024 were $25.1 million and were primarily attributable to:</w:t>
      </w:r>
    </w:p>
    <w:p>
      <w:pPr>
        <w:spacing w:after="0" w:line="131" w:lineRule="exact"/>
        <w:rPr>
          <w:sz w:val="20"/>
          <w:szCs w:val="20"/>
          <w:color w:val="auto"/>
        </w:rPr>
      </w:pPr>
    </w:p>
    <w:p>
      <w:pPr>
        <w:ind w:left="1080" w:right="34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 million in direct costs associated with our lead program GlyphAllo, which includes clinical manufacturing, preclinical studies and start up activities related to our BUOY-1 (Phase 2b) trial;</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million in direct costs associated with GlyphAgo, which includes manufacturing and preclinical studies as we prepare to enter the clinic in 2025;</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 million in direct costs associated with preclinical and other early discovery assets, including Glyph2BLSD;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 in employee compensation, consisting of payroll, bonus, and benefits;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 million of stock-based compensation of which $0.6 million related to the 2024 Plan and $0.1 million allocated from the PureTech stock-based compensation plan;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$0.9 million in other research and development expenses included allocated facility, depreciation, information technology, and other costs.</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(in thousands):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480" w:type="dxa"/>
            <w:vAlign w:val="bottom"/>
            <w:gridSpan w:val="5"/>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580" w:type="dxa"/>
            <w:vAlign w:val="bottom"/>
          </w:tcPr>
          <w:p>
            <w:pPr>
              <w:spacing w:after="0"/>
              <w:rPr>
                <w:sz w:val="15"/>
                <w:szCs w:val="15"/>
                <w:color w:val="auto"/>
              </w:rPr>
            </w:pPr>
          </w:p>
        </w:tc>
        <w:tc>
          <w:tcPr>
            <w:tcW w:w="1480" w:type="dxa"/>
            <w:vAlign w:val="bottom"/>
            <w:tcBorders>
              <w:bottom w:val="single" w:sz="8" w:color="auto"/>
            </w:tcBorders>
            <w:gridSpan w:val="5"/>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5"/>
                <w:szCs w:val="15"/>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8580" w:type="dxa"/>
            <w:vAlign w:val="bottom"/>
          </w:tcPr>
          <w:p>
            <w:pPr>
              <w:spacing w:after="0"/>
              <w:rPr>
                <w:sz w:val="12"/>
                <w:szCs w:val="12"/>
                <w:color w:val="auto"/>
              </w:rPr>
            </w:pPr>
          </w:p>
        </w:tc>
        <w:tc>
          <w:tcPr>
            <w:tcW w:w="60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$ 15,181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 (excluding stock-based compensation)</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Facilities, depreciation, IT, and other</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27,346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xml:space="preserve">     — </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General and administrative expenses for the year ended December 31, 2024 were $27.3 million and were primarily attributable to:</w:t>
      </w:r>
    </w:p>
    <w:p>
      <w:pPr>
        <w:spacing w:after="0" w:line="131" w:lineRule="exact"/>
        <w:rPr>
          <w:sz w:val="20"/>
          <w:szCs w:val="20"/>
          <w:color w:val="auto"/>
        </w:rPr>
      </w:pPr>
    </w:p>
    <w:p>
      <w:pPr>
        <w:ind w:left="1080" w:right="300" w:hanging="424"/>
        <w:spacing w:after="0" w:line="261"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 million of stock-based compensation expense of which $14.0 million related to the 2024 Plan and $1.2 million allocated from the PureTech stock-based compensation plan. Accelerated vesting associated with the close of the Series B Financing accounted for</w:t>
      </w: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 million;</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40"/>
          </w:cols>
          <w:pgMar w:left="320" w:top="455" w:right="4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million in employee compensation expenses consisting of payroll, bonus, and benefits;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million in professional fees primarily related to legal fees for general corporate and intellectual property matters and building our administrative infrastructure;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in facilities, depreciation, information technology, and other costs.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income, net, consists primarily of interest and investment income on our cash and cash equivalents.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primary source of liquidity for our business prior to our formation was funding by PureTech of the expenses allocated to the Seaport business. Prior to the Asset Transfer Date, transfers of cash to and from PureTech have been reflected in Net transfers from PureTech in the statement of cash flows and net parent investment in the statement of convertible preferred stock and stockholders’ deficit. Since the Asset Transfer Date, we have funded our operations with the aggregate gross proceeds of $326.1 million from the Series A and Series B Financings.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period presented (in thousands):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9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2"/>
                <w:szCs w:val="12"/>
                <w:color w:val="auto"/>
              </w:rPr>
            </w:pPr>
          </w:p>
        </w:tc>
      </w:tr>
      <w:tr>
        <w:trPr>
          <w:trHeight w:val="209"/>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 (29,629)</w:t>
            </w:r>
          </w:p>
        </w:tc>
        <w:tc>
          <w:tcPr>
            <w:tcW w:w="320" w:type="dxa"/>
            <w:vAlign w:val="bottom"/>
            <w:gridSpan w:val="2"/>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(113)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339,295</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309,553</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80" w:type="dxa"/>
            <w:vAlign w:val="bottom"/>
          </w:tcPr>
          <w:p>
            <w:pPr>
              <w:spacing w:after="0"/>
              <w:rPr>
                <w:sz w:val="19"/>
                <w:szCs w:val="19"/>
                <w:color w:val="auto"/>
              </w:rPr>
            </w:pPr>
          </w:p>
        </w:tc>
      </w:tr>
      <w:tr>
        <w:trPr>
          <w:trHeight w:val="20"/>
        </w:trPr>
        <w:tc>
          <w:tcPr>
            <w:tcW w:w="9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year ended December 31, 2024, net cash used in operating activities was $29.6 million, primarily consisting of our net loss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$46.9 million, offset by non-cash charges of $14.5 million in stock-based compensation expense, and $0.2 million of depreciation expense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$2.5 million resulting from changes in operating assets and liabilities which was generally due to the growth in our business, the advancement of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clinical programs, and the timing of vendor invoicing and payments.</w:t>
      </w:r>
    </w:p>
    <w:p>
      <w:pPr>
        <w:spacing w:after="0" w:line="3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year ended December 31, 2024, our investing activities primarily consisted of leasehold improvements in our corporate headquarters.</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19"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2024 included $100.1 million of gross proceeds received in April 2024 from our Series A Financing and $226.0 million of gross proceeds received in October 2024 from our Series B Financing, which were partially offset by payments of issuance costs of $0.8 million. In addition, as PureTech managed our cash and financing arrangements through April 8, 2024, our financing activities include $14.0 million of net transfers from PureTech.</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40"/>
          </w:cols>
          <w:pgMar w:left="320" w:top="455"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2024, we had cash and cash equivalents of $309.1 million. We expect that our cash and cash equivalents as of December 31, 2024, will be sufficient to fund our operating expenses and capital expenditure requirements through at least 12 months from the date our consolidated financial statements were available to be issued. We believe that the net proceeds from this offering, together with our existing cash, cash equivalents, and investments will enable us to fund our operations and capital expenditure requirements through          . We have based this estimate on assumptions that may prove to be wrong, and we could exhaust our available capital resources sooner than we expect.</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Due to the inherently unpredictable nature of preclinical and clinical development and given the early stage of our programs and product candidates, we cannot reasonably estimate the costs we will incur and the timelines that will be required to complete development, obtain any marketing approval, and commercialize our products, if and when approved.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products, if approved, may be subject to future collaborations, when such arrangements will be secured, if at all, and to what degree such arrangements would affect our development plans and capital requirements. We will need to raise substantial additional capital in the future.</w:t>
      </w:r>
    </w:p>
    <w:p>
      <w:pPr>
        <w:spacing w:after="0" w:line="18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primary uses of capital are to fund research and development activities, compensation and related expenses, and general overhead costs. We expect our expenses to increase substantially in connection with our ongoing activities, particularly as we advance our current and future product candidates through discovery, preclinical studies, and clinical trials.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funding requirements and timing and amount of our operating expenditures will depend on many factors, including:</w:t>
      </w:r>
    </w:p>
    <w:p>
      <w:pPr>
        <w:spacing w:after="0" w:line="131" w:lineRule="exact"/>
        <w:rPr>
          <w:sz w:val="20"/>
          <w:szCs w:val="20"/>
          <w:color w:val="auto"/>
        </w:rPr>
      </w:pPr>
    </w:p>
    <w:p>
      <w:pPr>
        <w:ind w:left="1080" w:right="38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costs, and results of discovery, preclinical development and clinical trials for our current or future product candidates and effectiveness of our Glyph platform;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trials required for regulatory approval of our current or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any of our current or future product candidates;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acquiring or licensing additional product candidates, technologies or assets, including the timing and amount of any milestones, royalties, or other payments due in connection with our acquisitions and licenses, as applicable;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and commercial supplies of our current or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81" w:lineRule="exact"/>
        <w:rPr>
          <w:rFonts w:ascii="Times New Roman" w:cs="Times New Roman" w:eastAsia="Times New Roman" w:hAnsi="Times New Roman"/>
          <w:sz w:val="18"/>
          <w:szCs w:val="18"/>
          <w:color w:val="auto"/>
        </w:rPr>
      </w:pPr>
    </w:p>
    <w:p>
      <w:pPr>
        <w:ind w:left="1080" w:right="480" w:hanging="424"/>
        <w:spacing w:after="0" w:line="312" w:lineRule="auto"/>
        <w:tabs>
          <w:tab w:leader="none" w:pos="108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existing, and establish new, strategic collaborations or other arrangements and the financial terms of any such agreements, including the timing and amount of any future milestone, royalty or other payments due under any such agreement;</w:t>
      </w:r>
    </w:p>
    <w:p>
      <w:pPr>
        <w:spacing w:after="0" w:line="45" w:lineRule="exact"/>
        <w:rPr>
          <w:rFonts w:ascii="Times New Roman" w:cs="Times New Roman" w:eastAsia="Times New Roman" w:hAnsi="Times New Roman"/>
          <w:sz w:val="17"/>
          <w:szCs w:val="17"/>
          <w:color w:val="auto"/>
        </w:rPr>
      </w:pPr>
    </w:p>
    <w:p>
      <w:pPr>
        <w:ind w:left="1080" w:right="38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manufacturing, marketing, sales, and distribution, for any of our product candidates for which we receive marketing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to attract, hire, and retain skilled personnel;</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00"/>
          </w:cols>
          <w:pgMar w:left="320" w:top="455" w:right="4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 commercially viable pricing structure and obtain approval for coverage and adequate reimbursement from third-party and government payors;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macroeconomic trends including inflation, tariffs, and fluctuating interest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potential supply chain interruptions or delays;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Until such time, if ever, that we can generate substantial product revenue, we expect to finance our operations through a combination of public and private equity offerings, debt and royalty financings, or other sources of capital, which may include additional collaborations with other companies, or licensing arrangements with third parties, or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or could be diluted, and the terms of these securities may include liquidation or other preferences that adversely affect the rights of our common stockholders. Debt or royalty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additional collaborations, strategic alliances, or licensing arrangements with third parties, we may have to relinquish valuable rights to our technologies, future revenue streams, research programs, product candidates, or grant licenses on terms that may not be favorable to us. If we are unable to raise additional capital or obtain adequate funding when needed or on acceptable terms, we may be required to delay, scale back, or discontinue our research, product development, or future commercialization efforts, or grant rights to develop and market product candidates that we would otherwise prefer to develop and market ourselves.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Asset Transfer Agreement and Transition Services Agreement with PureTech</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As part of the Asset Transfer Agreement, we have agreed to contingent payments to PureTech Health upon successful development and commercialization of products developed using the Glyph platform. For more information, refer to the subsection titled “Asset Transfer Agreement and Financings” above.</w:t>
      </w:r>
    </w:p>
    <w:p>
      <w:pPr>
        <w:spacing w:after="0" w:line="176"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entry into the Asset Transfer Agreement, we also entered into a Transition Services Agreement, or the TSA, with PureTech Health and PureTech LYT, or the PureTech TSA Parties, pursuant to which the PureTech TSA Parties agreed to provide us with certain services and resources related to corporate functions for an initial 12 month period following the Asset Transfer Date, subject to extension. Under the TSA, we were obligated to pay to the PureTech TSA Parties $0.5 million upon closing of the Asset Transfer. We further agreed to pay the PureTech TSA Parties monthly fees for services that were mutually agreed upon by us and the PureTech TSA Parties as provided under the TSA, which were based on the PureTech TSA Parties’ cost of providing the services, throughout the term of the TSA. In 2025, the TSA was amended to extend through July 2026 to provide ad-hoc support as needed; however, the services to be provided under the amended TSA are expected to be de minimis. For more information, refer to the subsection titled </w:t>
      </w:r>
      <w:r>
        <w:rPr>
          <w:rFonts w:ascii="Times New Roman" w:cs="Times New Roman" w:eastAsia="Times New Roman" w:hAnsi="Times New Roman"/>
          <w:sz w:val="18"/>
          <w:szCs w:val="18"/>
          <w:i w:val="1"/>
          <w:iCs w:val="1"/>
          <w:color w:val="auto"/>
        </w:rPr>
        <w:t>“Transition From PureTech and Costs to Operate as an Independent Company.”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Monash License Agreement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Monash License Agreement, we have agreed to use reasonable commercial endeavors to (i) develop at least one Licensed Product,</w:t>
      </w:r>
    </w:p>
    <w:p>
      <w:pPr>
        <w:spacing w:after="0" w:line="27" w:lineRule="exact"/>
        <w:rPr>
          <w:sz w:val="20"/>
          <w:szCs w:val="20"/>
          <w:color w:val="auto"/>
        </w:rPr>
      </w:pPr>
    </w:p>
    <w:p>
      <w:pPr>
        <w:ind w:left="120" w:right="40" w:hanging="4"/>
        <w:spacing w:after="0" w:line="255" w:lineRule="auto"/>
        <w:tabs>
          <w:tab w:leader="none" w:pos="38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at least one Licensed Product, and (iii) after receipt of such regulatory approval in the United States or Europe, promote and develop the sale of at least one Licensed Product in such territory. Monash University agrees to provide reasonable technical assistance and advice based on Monash University’s know-how relating to the technology licensed under the Monash License Agreement.</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As consideration for the licenses granted by Monash University, we are required to pay Monash University: (i) low-single digit royalties with a rate based on net sales per calendar year (subject to certain reductions); (ii) a low-double digit percentage (within the range of 5-15%) of any net income received under a sublicense (subject to a license payment stacking reduction) with the percentage varying based on the development stage of the licensed products at the time the sublicense is granted during the term of the Monash License Agreement; (iii) an agreed upon research funding amount to progress mutually agreed research and development or commercialization activities; (iv) a mid-five-figure annual maintenance fee during the term of the agreement commencing on the third anniversary of the execution date of the Original License Agreement until the first commercial sale of a Licensed Product creditable against net income sharing, royalties, and milestone payments; (v) milestone payments in the event of successful development milestones of up to $1.075 million per Licensed Product for the first three Licensed Products; and (vi) milestone payments in the event of successful commercial milestones of up to $7.25 million per Licensed Product for the first three Licensed Products. We are also obligated to (a) pay all costs incurred for the prosecution and maintenance of the Licensed Patents and patent filings stemming from collaboration activities and (b) reimburse Monash University for all patent prosecution costs of the Licensed Patents prior to the execution date of the Original License Agreement.</w:t>
      </w:r>
    </w:p>
    <w:p>
      <w:pPr>
        <w:spacing w:after="0" w:line="192"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Monash License Agreement commenced on the execution date of the Original License Agreement and will expire seven years after the last of the Licensed Patents expires, unless terminated earlier. Either party may terminate for due cause, including for material breach and bankruptcy. Monash University may terminate if we fail to meet our diligence requirements. Either party may terminate the Monash License Agreement if we determine that the activities are no longer commercially viable.</w:t>
      </w:r>
    </w:p>
    <w:p>
      <w:pPr>
        <w:spacing w:after="0" w:line="180"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2025, the first two development milestones for a total of $0.2 million were achieved and paid by PureTech as they occurred prior to our formation, and we have paid the third development milestone of $0.1 million as well as annual maintenance fees. No other milestones have occurred or have been paid under the Monash License Agreement as of December 31, 2025.</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additional information see the section titled “Business—Agreements—Monash License Agreement”, included elsewhere in this prospectus.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Purchase and Other Obligations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contract research organizations, or CROs, and other third-party vendors for preclinical and commercial supply manufacturing, support for pre-commercial activities, research, and development activities, and other services and products for our operations. These contracts are generally cancelable upon written notice. Payments due upon cancellation consist generally of payments for services provided and expenses incurred up to the date of cancellation.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Lease Obligations</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November 2024, we entered into a lease agreement with a third party for our corporate office space located in Boston, Massachusetts. The lease commenced in December 2024 and has an initial term of approximately six years, expiring in October 2030. The aggregate payments under the lease total approximately $6.1 million, which will be recognized over the term of the lease.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December 2024, we entered into a laboratory license with a third party for lab space located in Boston, Massachusetts. The license commenced in January 2025 and is for an initial term of 24 months from the commencement date. The aggregate payments under the license total approximately $1.2 million.</w:t>
      </w:r>
    </w:p>
    <w:p>
      <w:pPr>
        <w:spacing w:after="0" w:line="176" w:lineRule="exact"/>
        <w:rPr>
          <w:sz w:val="20"/>
          <w:szCs w:val="20"/>
          <w:color w:val="auto"/>
        </w:rPr>
      </w:pPr>
    </w:p>
    <w:p>
      <w:pPr>
        <w:jc w:val="center"/>
        <w:ind w:right="300"/>
        <w:spacing w:after="0" w:line="312" w:lineRule="auto"/>
        <w:rPr>
          <w:sz w:val="20"/>
          <w:szCs w:val="20"/>
          <w:color w:val="auto"/>
        </w:rPr>
      </w:pPr>
      <w:r>
        <w:rPr>
          <w:rFonts w:ascii="Times New Roman" w:cs="Times New Roman" w:eastAsia="Times New Roman" w:hAnsi="Times New Roman"/>
          <w:sz w:val="17"/>
          <w:szCs w:val="17"/>
          <w:color w:val="auto"/>
        </w:rPr>
        <w:t>For additional information on our contractual obligation and commitments please see Note 7—Monash License Agreement, Note 13— Commitments and Contingencies and Note 17—Subsequent Events, to our consolidated financial statements included elsewhere in this prospectus.</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Estimates and Significant Judgments</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GAAP. The preparation of these financial statements requires us to make estimates and judgments that affect the reported amounts of assets, liabilities, and expenses and the related disclosure of contingent assets and liabilities in our financial statements.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We evaluate our estimates and judgments on an ongoing basis. Our actual results may differ from these estimates under different assumptions or conditions.</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included elsewhere in this prospectus, we believe that the following accounting policies are those most critical to the judgments and estimates used in the preparation of our consolidated financial statements.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21"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As part of the process of preparing our consolidated financial statements, we are required to estimate our accrued research and development expenses as of each balance sheet date. In accruing service fees, we estimate the time period over which services will be performed and the level of effort to be expended in each period. This process involves reviewing open contracts and purchase orders, communicating with internal personnel to identify services that have been performed on our behalf and estimating the level of service performed and the associated cost incurred for the service when we have not yet been invoiced or otherwise notified of the actual cost. We periodically confirm the accuracy of our estimates with our service providers and make adjustments if necessary. The majority of our service providers invoice us monthly in arrears for services performed or when contractual milestones are met. The financial terms of agreements with these service providers are subject to negotiation, vary from contract-to-contract and may result in uneven payment flows. In circumstances where amounts have been paid in excess of costs incurred, we record a prepaid expense.</w:t>
      </w:r>
    </w:p>
    <w:p>
      <w:pPr>
        <w:spacing w:after="0" w:line="17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Stock-based compensation expense represents the cost of the grant date fair value of equity awards recognized that are expected to vest over the requisite service period of the awards, which is usually the vesting period of the respective award. For stock-based awards with service-based vesting conditions, we recognize compensation expense on a straight-line basis. For stock-based awards with performance-based vesting conditions, we recognize compensation expense over the requisite service period using the accelerated attribution method, commencing when achievement of the performance condition becomes probable. Subsequent to our formation and the Asset Transfer, we estimated the fair value of stock option awards using the Black-Scholes option pricing model. Estimating the fair value of equity awards as of the grant date using valuation models, such as the Black-Scholes option pricing model, is affected by assumptions regarding a number of variables, including the risk-free interest rate, the expected stock price volatility, the expected term of stock options, the expected dividend yield and the fair value of the underlying common stock on the date of grant. These inputs are subjective and generally require significant analysis and judgment to develop. Forfeitures are accounted for as they occur. Changes in the assumptions can materially affect the fair value and ultimately how much stock-based compensation expense is recognized. The fair value of time-vesting restricted stock unit awards is equal to the common stock price on the date of grant.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00"/>
          </w:cols>
          <w:pgMar w:left="320" w:top="455" w:right="4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stock-based compensation expense we recognized in our financial statements prior to our formation and the Asset Transfer Date, and separate from our 2024 Plan, has been determined based on the fair value of the underlying award as determined by PureTech, the total expense calculated for the period under GAAP, and the relative amount allocated to Seaport associated with each employee. The assumptions used in the Black-Scholes option pricing model for these awards were those of PureTech, including the fair value of PureTech’s common stock, expected volatility, expected term, expected dividend yield, and risk-free interest rates as of the grant date. Seaport employees continued to vest in their PureTech equity awards up until the completion of our Series B Financing in October 2024 at which time PureTech no longer maintained a controlling interest.</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Determination of the Fair Value of Common Stock</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As there has been no public market for our common stock subsequent to the Asset Transfer and to date, the estimated fair value of our common stock has been determined by our Board , as of the date of each option grant with input from management, considering our most recently available third-party valuations of common stock, and our Boards’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8"/>
          <w:szCs w:val="18"/>
          <w:i w:val="1"/>
          <w:iCs w:val="1"/>
          <w:color w:val="auto"/>
        </w:rPr>
        <w:t>Valuation of Privately-Held-Company Equity Securities Issued as Compensation</w:t>
      </w:r>
      <w:r>
        <w:rPr>
          <w:rFonts w:ascii="Times New Roman" w:cs="Times New Roman" w:eastAsia="Times New Roman" w:hAnsi="Times New Roman"/>
          <w:sz w:val="18"/>
          <w:szCs w:val="18"/>
          <w:color w:val="auto"/>
        </w:rPr>
        <w:t>. Our common stock valuation was prepared using a market approach to estimate our enterprise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and either an option pricing method, OPM, or a hybrid method to allocate value to the common stock. The OPM treats common stock and convertible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convertible preferred stock liquidation preferences at the time of the liquidity event, such as a strategic sale or a merger. The hybrid method is a probability-weighed expected return method, or PWERM, where the equity value in one or more of the scenarios is calculated using an OPM. The PWERM is a scenario-based methodology that estimates the fair value of common stock based upon an analysis of the future value of our common stock, assuming various outcomes. The value of a share of common stock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In each case, a discount for lack of marketability of the common stock is then applied to arrive at an indication of value for the common stock.</w:t>
      </w:r>
    </w:p>
    <w:p>
      <w:pPr>
        <w:spacing w:after="0" w:line="193"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These third-party valuations were performed at various dates, which resulted in valuations of our common stock of $2.35 per share as of October 18, 2024 and $2.53 per share as of July 16, 2025. Given the absence of a public trading market, our Board, with input from management, considered the results of these third-party valuations in addition to numerous objective and subjective factors to determine the fair value of common stock. The factors included, but were not limited to:</w:t>
      </w:r>
    </w:p>
    <w:p>
      <w:pPr>
        <w:spacing w:after="0" w:line="85" w:lineRule="exact"/>
        <w:rPr>
          <w:sz w:val="20"/>
          <w:szCs w:val="20"/>
          <w:color w:val="auto"/>
        </w:rPr>
      </w:pPr>
    </w:p>
    <w:p>
      <w:pPr>
        <w:ind w:left="1080" w:right="44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sold convertible preferred stock to new and existing investors and the rights and preferences of the convertible preferred stock relative to our common stock at the time of each grant;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future financings;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research and development efforts, including the status of clinical development for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of our equity as a private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 and business strategy and the material risks related to our business and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enterprise milestones, including entering into license agreements;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54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publicly traded companies in the life sciences and biotechnology sectors, as well as recently completed mergers and acquisitions of peer companies;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external market conditions affecting the biotechnology industry and trends within the biotechnology industry;</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for the holders of our convertible preferred stock and holders of our common stock, such as an initial public offering, or a sale of our company, given prevailing market conditions;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of initial public offerings and the market performance of similar companies in the biopharmaceutical industry.</w:t>
      </w:r>
    </w:p>
    <w:p>
      <w:pPr>
        <w:spacing w:after="0" w:line="225"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assumptions underlying these valuations were highly complex and subjective and represented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 Once a public trading market for our common stock has been established in connection with the completion of this offering, it will no longer be necessary for our Board to estimate the fair value of our common stock in connection with our accounting for granted stock options and other such awards we may grant, as the fair value of our common stock will be determined based on the quoted market price of our common stock.</w:t>
      </w:r>
    </w:p>
    <w:p>
      <w:pPr>
        <w:spacing w:after="0" w:line="187"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by grant date the number of shares subject to awards granted under our equity incentive plan through the date of this prospectus, the per share exercise price of the awards or purchase price of the common stock awards and weighted average grant date fair value on each grant date:</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0" w:type="dxa"/>
            <w:vAlign w:val="bottom"/>
          </w:tcPr>
          <w:p>
            <w:pPr>
              <w:spacing w:after="0"/>
              <w:rPr>
                <w:sz w:val="13"/>
                <w:szCs w:val="13"/>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Exercise or</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4560" w:type="dxa"/>
            <w:vAlign w:val="bottom"/>
            <w:vMerge w:val="restart"/>
          </w:tcPr>
          <w:p>
            <w:pPr>
              <w:spacing w:after="0"/>
              <w:rPr>
                <w:sz w:val="12"/>
                <w:szCs w:val="12"/>
                <w:color w:val="auto"/>
              </w:rPr>
            </w:pPr>
          </w:p>
        </w:tc>
        <w:tc>
          <w:tcPr>
            <w:tcW w:w="1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Type of Award</w:t>
            </w:r>
          </w:p>
        </w:tc>
        <w:tc>
          <w:tcPr>
            <w:tcW w:w="12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 Subject</w:t>
            </w:r>
          </w:p>
        </w:tc>
        <w:tc>
          <w:tcPr>
            <w:tcW w:w="320" w:type="dxa"/>
            <w:vAlign w:val="bottom"/>
          </w:tcPr>
          <w:p>
            <w:pPr>
              <w:spacing w:after="0"/>
              <w:rPr>
                <w:sz w:val="12"/>
                <w:szCs w:val="12"/>
                <w:color w:val="auto"/>
              </w:rPr>
            </w:pPr>
          </w:p>
        </w:tc>
        <w:tc>
          <w:tcPr>
            <w:tcW w:w="15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10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80"/>
        </w:trPr>
        <w:tc>
          <w:tcPr>
            <w:tcW w:w="700" w:type="dxa"/>
            <w:vAlign w:val="bottom"/>
            <w:tcBorders>
              <w:bottom w:val="single" w:sz="8" w:color="auto"/>
            </w:tcBorders>
            <w:vMerge w:val="continue"/>
          </w:tcPr>
          <w:p>
            <w:pPr>
              <w:spacing w:after="0"/>
              <w:rPr>
                <w:sz w:val="15"/>
                <w:szCs w:val="15"/>
                <w:color w:val="auto"/>
              </w:rPr>
            </w:pPr>
          </w:p>
        </w:tc>
        <w:tc>
          <w:tcPr>
            <w:tcW w:w="4560" w:type="dxa"/>
            <w:vAlign w:val="bottom"/>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22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to Award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7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of Award</w:t>
            </w:r>
          </w:p>
        </w:tc>
        <w:tc>
          <w:tcPr>
            <w:tcW w:w="104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03"/>
        </w:trPr>
        <w:tc>
          <w:tcPr>
            <w:tcW w:w="52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January 26, 2025</w:t>
            </w:r>
          </w:p>
        </w:tc>
        <w:tc>
          <w:tcPr>
            <w:tcW w:w="10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8"/>
              </w:rPr>
              <w:t>Stock Option</w:t>
            </w:r>
          </w:p>
        </w:tc>
        <w:tc>
          <w:tcPr>
            <w:tcW w:w="6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270,940</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2.35</w:t>
            </w: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25, 2025</w:t>
            </w: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Stock Option</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641,500</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 2025</w:t>
            </w:r>
          </w:p>
        </w:tc>
        <w:tc>
          <w:tcPr>
            <w:tcW w:w="1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 Option</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241,966</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25, 2025</w:t>
            </w: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Stock Option</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391,000</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15, 2025</w:t>
            </w:r>
          </w:p>
        </w:tc>
        <w:tc>
          <w:tcPr>
            <w:tcW w:w="1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 Option</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395,000</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11, 2025</w:t>
            </w: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Stock Option</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482,000</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7, 2025</w:t>
            </w:r>
          </w:p>
        </w:tc>
        <w:tc>
          <w:tcPr>
            <w:tcW w:w="1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 Option</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415,000</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this offering, we plan to grant equity awards to an executive officer and a director. For additional information, see the section titled “Executive Compensation—Narrative Disclosure to the 2025 Summary Compensation Table—Equity Incentive Compensation” and “Director Compensation”.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Transition From PureTech and Costs to Operate as an Independent Company</w:t>
      </w:r>
    </w:p>
    <w:p>
      <w:pPr>
        <w:spacing w:after="0" w:line="121"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Prior to our formation and the Asset Transfer, the financial statements reflect our operating results and financial position as our business was operated by PureTech, rather than as an independent company. We may incur additional ongoing operating expenses to operate as an independent company. These costs will include the cost of various corporate functions, incremental information technology-related costs and incremental costs to operate standalone accounting, legal and other administrative functions. We may also incur non-recurring expenses and non-recurring capital expenditures.</w:t>
      </w:r>
    </w:p>
    <w:p>
      <w:pPr>
        <w:spacing w:after="0" w:line="183"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As part of building our administrative infrastructure, we entered into the TSA in connection with the Asset Transfer with PureTech that provided us with certain services and resources related to corporate functions for an initial 12 month period following the Transfer Date as amended. We pay PureTech fees for the services as mutually agreed upon by us and PureTech as provided under the Transition Services Agreement, which fees are</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40"/>
          </w:cols>
          <w:pgMar w:left="320" w:top="455" w:right="4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based on PureTech’s cost of providing the services. This Transition Services Agreement allowed us to operate our business independently prior to completing the establishment of a standalone infrastructure. Actual costs that would have been incurred if we operated as a standalone company during these periods would have depended on various factors, including organizational design, outsourcing, and other strategic decisions related to corporate functions, information technology and back-office infrastructure.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Following the Asset Transfer Date, we began incurring additional operating expenses necessary to operate as an independent company, including various corporate functions and incremental costs to operate standalone accounting, legal, and other administrative functions. These functions were provided to us from PureTech prior to the Asset Transfer Date and continued under the TSA discussed above. Substantially all of these activities will be performed using our own resources at this time. The terms of the TSA are discussed in the section captioned “Certain Relationships and Related Person Transactions.”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or the Securities Act, as modified by the Jumpstart Our Business Startups Act, or the JOBS Act. As such, we are eligible to take advantage of certain exemptions from various reporting requirements that are applicable to other public companies that are not emerging growth companies including:</w:t>
      </w:r>
    </w:p>
    <w:p>
      <w:pPr>
        <w:spacing w:after="0" w:line="81" w:lineRule="exact"/>
        <w:rPr>
          <w:sz w:val="20"/>
          <w:szCs w:val="20"/>
          <w:color w:val="auto"/>
        </w:rPr>
      </w:pPr>
    </w:p>
    <w:p>
      <w:pPr>
        <w:ind w:left="1080" w:hanging="424"/>
        <w:spacing w:after="0" w:line="266"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and a correspondingly reduced “Management’s Discussion and Analysis of Financial Condition and Results of Operations” disclosure in this prospectus;</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 pursuant to Section 404 of the Sarbanes-Oxley 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 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compliance with the requirements of the Public Company Accounting Oversight Board regarding the communication of critical audit matters in the auditor’s report on the financial statements.</w:t>
      </w:r>
    </w:p>
    <w:p>
      <w:pPr>
        <w:spacing w:after="0" w:line="162"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of 1934, as amended, or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will adopt the new or revised standard whenever such early adoption is permitted for private companies. This may make comparison of our financial statements with another public company, which is neither an emerging growth company nor an emerging growth company that has opted out of using the extended transition period, difficult or impossible because of the potential differences in accounting standards used.</w:t>
      </w:r>
    </w:p>
    <w:p>
      <w:pPr>
        <w:spacing w:after="0" w:line="19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following the fifth anniversary of the completion of this initial public offering, (ii) the last day of the fiscal year in which we have total annual gross revenue of at least $1.235 billion, (iii) the last day of the fiscal year in which we are deemed to be a “large accelerated filer” as defined in Rule 12b-2 under the Exchange Act, which would occur if</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00"/>
          </w:cols>
          <w:pgMar w:left="320" w:top="455" w:right="4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market value of the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(i) the market value of our voting and non-voting common stock held by non-affiliates is less than $250.0 million measured on the last business day of our second fiscal quarter, or (ii)(a) our annual revenue is less than $100.0 million during the most recently completed fiscal year, and (b) the market value of our voting and non-voting common stock held by non-affiliates is less than $700.0 million measured on the last business day of our second fiscal quarter.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80" w:firstLine="440"/>
        <w:spacing w:after="0" w:line="239" w:lineRule="auto"/>
        <w:rPr>
          <w:sz w:val="20"/>
          <w:szCs w:val="20"/>
          <w:color w:val="auto"/>
        </w:rPr>
      </w:pPr>
      <w:r>
        <w:rPr>
          <w:rFonts w:ascii="Times New Roman" w:cs="Times New Roman" w:eastAsia="Times New Roman" w:hAnsi="Times New Roman"/>
          <w:sz w:val="18"/>
          <w:szCs w:val="18"/>
          <w:color w:val="auto"/>
        </w:rPr>
        <w:t>We are a clinical-stage therapeutics company focused on inventing and developing new medicines for patients with depression, anxiety, and other debilitating neuropsychiatric disorders. Through our differentiated approach, we identify clinically validated mechanisms with established efficacy and safety profiles which had historically been limited by high first-pass metabolism, low bioavailability, and/or side effects. We apply our proprietary Glyph</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platform to overcome those limitations and invent innovative oral therapies. Glyph is a lymphatic-targeting prodrug technology which is designed to bypass first-pass metabolism and thereby enhance a drug’s oral bioavailability and reduce side effects. This process, which we call “Glyphing,” also creates new composition of matter intellectual property. Our experienced team of industry leaders has a proven track record in neuropsychiatry drug discovery and development and delivering successful business outcomes. We aim to develop novel, leading treatment options that will make a significant impact for patients and their families.</w:t>
      </w:r>
    </w:p>
    <w:p>
      <w:pPr>
        <w:spacing w:after="0" w:line="203" w:lineRule="exact"/>
        <w:rPr>
          <w:sz w:val="20"/>
          <w:szCs w:val="20"/>
          <w:color w:val="auto"/>
        </w:rPr>
      </w:pPr>
    </w:p>
    <w:p>
      <w:pPr>
        <w:ind w:left="120" w:right="80" w:firstLine="440"/>
        <w:spacing w:after="0" w:line="239" w:lineRule="auto"/>
        <w:rPr>
          <w:sz w:val="20"/>
          <w:szCs w:val="20"/>
          <w:color w:val="auto"/>
        </w:rPr>
      </w:pPr>
      <w:r>
        <w:rPr>
          <w:rFonts w:ascii="Times New Roman" w:cs="Times New Roman" w:eastAsia="Times New Roman" w:hAnsi="Times New Roman"/>
          <w:sz w:val="18"/>
          <w:szCs w:val="18"/>
          <w:color w:val="auto"/>
        </w:rPr>
        <w:t>We are leveraging our proprietary Glyph platform to advance a pipeline of novel therapies to address the significant unmet needs in depression and anxiety. Our lead product candidate, GlyphAllo</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(SPT-300 or Glyph Allopregnanolone), is a novel, Glyphed oral prodrug of allopregnanolone, an endogenous molecule that has been clinically validated in third-party trials for the treatment of postpartum depression, or PPD, a form of major depressive disorder, or MDD, as a rapidly acting antidepressant with anxiolytic and sleep-promoting effects. GlyphAllo is designed to overcome bioavailability limitations of allopregnanolone and deliver rapid and durable efficacy in MDD. We have demonstrated in a Phase 1 clinical trial that GlyphAllo reaches therapeutically relevant exposures with oral dosing, and in a Phase 2a clinical trial, GlyphAllo demonstrated initial proof-of-concept with an objective biomarker of stress in healthy volunteers and a favorable tolerability profile. We have initiated the Phase 2b BUOY-1 trial in patients with MDD with or without anxious distress and anticipate topline data in         .</w:t>
      </w:r>
    </w:p>
    <w:p>
      <w:pPr>
        <w:spacing w:after="0" w:line="203" w:lineRule="exact"/>
        <w:rPr>
          <w:sz w:val="20"/>
          <w:szCs w:val="20"/>
          <w:color w:val="auto"/>
        </w:rPr>
      </w:pPr>
    </w:p>
    <w:p>
      <w:pPr>
        <w:ind w:left="120" w:firstLine="440"/>
        <w:spacing w:after="0" w:line="227" w:lineRule="auto"/>
        <w:rPr>
          <w:sz w:val="20"/>
          <w:szCs w:val="20"/>
          <w:color w:val="auto"/>
        </w:rPr>
      </w:pPr>
      <w:r>
        <w:rPr>
          <w:rFonts w:ascii="Times New Roman" w:cs="Times New Roman" w:eastAsia="Times New Roman" w:hAnsi="Times New Roman"/>
          <w:sz w:val="18"/>
          <w:szCs w:val="18"/>
          <w:color w:val="auto"/>
        </w:rPr>
        <w:t>Our second product candidate, GlyphAgo</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(SPT-320 or Glyph Agomelatine), is a novel, Glyphed, oral prodrug of agomelatine, a clinically validated anxiolytic and antidepressant that is approved for the treatment of generalized anxiety disorder, or GAD, in Australia and MDD in Australia and the European Union, or EU. Due to extensive liver first-pass metabolism, agomelatine can cause dose-dependent liver enzyme elevations, and its use has been limited by the need for frequent liver function testing. GlyphAgo is designed to overcome this limitation by avoiding first-pass metabolism and achieving therapeutic exposures of agomelatine while reducing or eliminating the need for liver monitoring. We have initiated a proof-of-concept Phase 1 trial for the treatment of GAD and expect topline data in         . We are also advancing Glyph2BLSD</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(SPT-348 or Glyph 2-bromo-LSD), a novel, Glyphed oral prodrug of the non-hallucinogenic LSD analog 2-bromo-LSD, in preclinical studies for depressive disorders, including treatment-resistant depression, or TRD, post-traumatic stress disorder, or PTSD, and headache disorders.</w:t>
      </w:r>
    </w:p>
    <w:p>
      <w:pPr>
        <w:spacing w:after="0" w:line="20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Globally, over one billion people are living with mental illness as of 2021, comparable in prevalence to obesity or hypertension. According to the World Health Organization, as of 2021, depression affects approximately 332 million people worldwide and anxiety affects approximately 359 million people worldwide, and there is a significant need for novel treatment options. Currently approved drugs for MDD and GAD have significant limitations, including modest efficacy, slow onset of action, and unfavorable side effects. Advancement of novel therapies has been limited by a lack of understanding of disease pathophysiology, poor drug-like properties, and challenges in clinical trial design and execution leading to high clinical development failure rates.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differentiated approach</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are uniquely positioned to overcome the challenges of developing medicines for depression, anxiety, and other neuropsychiatric disorders by leveraging our differentiated, three-pillar approach:</w:t>
      </w:r>
    </w:p>
    <w:p>
      <w:pPr>
        <w:spacing w:after="0" w:line="158"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Identify clinically validated mechanisms held back by issues that can be addressed by our proprietary Glyph platform. </w:t>
      </w:r>
      <w:r>
        <w:rPr>
          <w:rFonts w:ascii="Times New Roman" w:cs="Times New Roman" w:eastAsia="Times New Roman" w:hAnsi="Times New Roman"/>
          <w:sz w:val="18"/>
          <w:szCs w:val="18"/>
          <w:color w:val="auto"/>
        </w:rPr>
        <w:t>We select our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candidates based on well-established clinical data, defined as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demonstrated meaningful benefits compared to placebo in multiple randomized, placebo-controlled clinical trials in a large number of patients. We identify drugs matching this profile where clinical and commercial potential have been limited by high first-pass metabolism, low bioavailability, and/or side effects. We advance candidates that have the potential to be novel medicines and to impact a large number of patients.</w:t>
      </w:r>
    </w:p>
    <w:p>
      <w:pPr>
        <w:spacing w:after="0" w:line="172"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Create novel medicines with strong intellectual property using Glyph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Glyph is our proprietary technology platform which uses the lymphatic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 to enable and enhance the oral administration of drugs. Typically, non-Glyphed oral small molecules undergo first-pass metabolism, where the concentration of drug is significantly reduced by metabolic enzymes in the liver prior to systemic circulation. First-pass metabolism can lead to low bioavailability (i.e., reduced concentration of active drug available to target organs) and/or side effects, including liver enzyme elevations or hepatotoxicity. Glyph leverages a separate absorption path taken by dietary fats. A Glyphed molecule uses this alternative route via the intestinal lymphatic system to bypass first-pass metabolism and transit directly into systemic circulation. The Glyph platform has the potential to be widely applied to many therapeutic molecules that have high first-pass metabolism. For each program, we use Glyph to create unique sets of prodrugs with differentiated profiles, and evaluate these prodrugs as potential candidates to advance into preclinical and clinical studies. Glyph has been applied to create novel product candidates for our pipeline resulting in new intellectual property, including composition of matter patents.</w:t>
      </w:r>
    </w:p>
    <w:p>
      <w:pPr>
        <w:spacing w:after="0" w:line="2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Benefits of Our Proprietary Glyph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173990</wp:posOffset>
            </wp:positionV>
            <wp:extent cx="5212080" cy="26403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1208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right="100" w:firstLine="440"/>
        <w:spacing w:after="0"/>
        <w:rPr>
          <w:sz w:val="20"/>
          <w:szCs w:val="20"/>
          <w:color w:val="auto"/>
        </w:rPr>
      </w:pPr>
      <w:r>
        <w:rPr>
          <w:rFonts w:ascii="Times New Roman" w:cs="Times New Roman" w:eastAsia="Times New Roman" w:hAnsi="Times New Roman"/>
          <w:sz w:val="18"/>
          <w:szCs w:val="18"/>
          <w:b w:val="1"/>
          <w:bCs w:val="1"/>
          <w:i w:val="1"/>
          <w:iCs w:val="1"/>
          <w:color w:val="auto"/>
        </w:rPr>
        <w:t>Apply our team’s expertise to optimize the design and execution of clinical trials and drive successful business outcomes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team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comprised of industry leaders with a proven track record of building successful companies that have developed and commercialized innovative neuropsychiatric medicines. This includes Zyprexa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Cymbalta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Latuda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Zurzuvae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Cobenfy</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(xanomeline-trospium or KarXT), which was approved by the FDA in September 2024 and is the first new class of medicines in over 30 years for patients living with schizophrenia. Leveraging our team’s track record of success in neuropsychiatry discovery and clinical development is important as we select new product candidates and as we implement key design elements in our clinical trials to optimize treatment effect and duration and reduce placebo response. In parallel, we apply our deep experience in building successful companies to establish clear goals, drive strategic decision-making, and maintain financial discipline. Drawing on our track record of success in neuropsychiatry, we aim to drive successful outcomes for patients and shareholders.</w:t>
      </w:r>
    </w:p>
    <w:p>
      <w:pPr>
        <w:spacing w:after="0" w:line="1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80"/>
          </w:cols>
          <w:pgMar w:left="320" w:top="455" w:right="4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We are developing a pipeline of novel potential treatments for neuropsychiatric disorders with significant unmet need. We retain exclusive, worldwide development and commercialization rights to all of our product candidates and discovery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131445</wp:posOffset>
            </wp:positionV>
            <wp:extent cx="5212080" cy="16116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1208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Glyph aims to unlock the therapeutic potential of drugs in CNS and beyond. In addition to our three lead candidates, we have robust discovery programs and multiple pipeline programs underway.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GlyphAllo: Potential Differentiated Therapy for MDD</w:t>
      </w:r>
    </w:p>
    <w:p>
      <w:pPr>
        <w:spacing w:after="0" w:line="31" w:lineRule="exact"/>
        <w:rPr>
          <w:sz w:val="20"/>
          <w:szCs w:val="20"/>
          <w:color w:val="auto"/>
        </w:rPr>
      </w:pPr>
    </w:p>
    <w:p>
      <w:pPr>
        <w:jc w:val="both"/>
        <w:ind w:left="120" w:right="400" w:firstLine="440"/>
        <w:spacing w:after="0" w:line="254" w:lineRule="auto"/>
        <w:rPr>
          <w:sz w:val="20"/>
          <w:szCs w:val="20"/>
          <w:color w:val="auto"/>
        </w:rPr>
      </w:pPr>
      <w:r>
        <w:rPr>
          <w:rFonts w:ascii="Times New Roman" w:cs="Times New Roman" w:eastAsia="Times New Roman" w:hAnsi="Times New Roman"/>
          <w:sz w:val="18"/>
          <w:szCs w:val="18"/>
          <w:color w:val="auto"/>
        </w:rPr>
        <w:t>GlyphAllo is a novel, Glyphed oral prodrug of allopregnanolone, an endogenous neurosteroid and gamma-aminobutyric acid A, or GABA</w:t>
      </w:r>
      <w:r>
        <w:rPr>
          <w:rFonts w:ascii="Times New Roman" w:cs="Times New Roman" w:eastAsia="Times New Roman" w:hAnsi="Times New Roman"/>
          <w:sz w:val="26"/>
          <w:szCs w:val="26"/>
          <w:color w:val="auto"/>
          <w:vertAlign w:val="subscript"/>
        </w:rPr>
        <w:t>A</w:t>
      </w:r>
      <w:r>
        <w:rPr>
          <w:rFonts w:ascii="Times New Roman" w:cs="Times New Roman" w:eastAsia="Times New Roman" w:hAnsi="Times New Roman"/>
          <w:sz w:val="18"/>
          <w:szCs w:val="18"/>
          <w:color w:val="auto"/>
        </w:rPr>
        <w:t>, positive allosteric modulator, or PAM. Allopregnanolone is a naturally occurring molecule that reduces stress, with levels that peak during the third trimester of pregnancy. An intravenous infusion formulation of allopregnanolone was approved for the treatment of PPD, a form of MDD.</w:t>
      </w:r>
    </w:p>
    <w:p>
      <w:pPr>
        <w:spacing w:after="0" w:line="1" w:lineRule="exact"/>
        <w:rPr>
          <w:sz w:val="20"/>
          <w:szCs w:val="20"/>
          <w:color w:val="auto"/>
        </w:rPr>
      </w:pPr>
    </w:p>
    <w:p>
      <w:pPr>
        <w:ind w:left="120" w:right="240"/>
        <w:spacing w:after="0" w:line="253" w:lineRule="auto"/>
        <w:rPr>
          <w:sz w:val="20"/>
          <w:szCs w:val="20"/>
          <w:color w:val="auto"/>
        </w:rPr>
      </w:pPr>
      <w:r>
        <w:rPr>
          <w:rFonts w:ascii="Times New Roman" w:cs="Times New Roman" w:eastAsia="Times New Roman" w:hAnsi="Times New Roman"/>
          <w:sz w:val="18"/>
          <w:szCs w:val="18"/>
          <w:color w:val="auto"/>
        </w:rPr>
        <w:t>Allopregnanolone has been clinically validated in two third-party trials, which were sponsored by Sage Therapeutics in the United States for the treatment of PPD and powered for statistical significance, as a rapidly acting antidepressant with anxiolytic and sleep-promoting effects. In each trial, allopregnanolone demonstrated statistically significant results on the primary endpoint of change in baseline at 60 hours in the Hamilton Depression Rating Scale-17, or HAMD-17, a regulatory-standard depression severity rating scale. However, its scope of clinical use has been constrained by oral bioavailability limitations that the Glyph platform is uniquely designed to solve.</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our Phase 1 clinical trial conducted in Australia in 99 participants, GlyphAllo demonstrated therapeutically relevant exposures with a favorable tolerability profile that supports chronic dosing. Although no head-to-head studies have been conducted comparing GlyphAllo to oral allopregnanolone, our Phase 1 trial showed a greater than nine-fold increase in bioavailability compared to previously reported bioavailability of oral allopregnanolone. No treatment-related severe or serious adverse events were reported. GlyphAllo has also demonstrated initial proof-of-concept in a Phase 2a randomized, placebo-controlled trial conducted in Australia in 80 participants, using the Trier Social Stress Test, or TSST, a validated clinical model of anxiety in healthy volunteers. No severe or serious adverse events were reported. Based on these Phase 1 and Phase 2a data, we believe GlyphAllo has the potential to become a leading treatment for MDD. We advanced GlyphAllo into what we believe is a registration-enabling Phase 2b BUOY-1 trial conducted in the US and EU in July 2025. BUOY-1 is a global, randomized, double-blind, placebo-controlled trial evaluating the efficacy, safety, and tolerability of GlyphAllo in adults with MDD, with or without anxious distress. MDD with anxious distress is a form of MDD characterized by significant anxiety. Approximately 60% of patients with MDD meet the criteria for anxious distress. This trial is expected to enroll up to approximately 360 patients, randomized 1:1 to receive either GlyphAllo or placebo once-daily over a six-week treatment period. This randomized, double-blind, multiregional, placebo-controlled trial is designed to be registration-enabling, subject to review by the FDA and</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other comparable regulatory authorities, as an adequate and well-controlled investigation that seeks to help provide substantial evidence of effectiveness by assessing GlyphAllo’s efficacy and safety in several hundred patients. The primary endpoint of the trial is the change from baseline at six weeks in HAMD-17. Following the initial treatment period, eligible patients may enter an open-label extension trial, in which all participants will receive GlyphAllo for up to six additional weeks.</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GlyphAllo Oral Systemic Exposure vs. Literature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173990</wp:posOffset>
            </wp:positionV>
            <wp:extent cx="3737610" cy="25717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73761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No head-to-head clinical trials have been conducted. The graphic presents clinical information from the Phase 1 trial alongside publicly available information from other therapies and includes information from different clinical trials, conducted by different parties, at different points in time, with differences in trial designs and patient populations.</w:t>
      </w:r>
    </w:p>
    <w:p>
      <w:pPr>
        <w:spacing w:after="0" w:line="17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Previous clinical development of allopregnanolone and its synthetic analog, which has been evaluated by Sage Therapeutics in multiple late-stage clinical trials for the treatment of MDD, has been generally hindered by poor oral bioavailability, safety concerns, and clinical trial design limitations. GlyphAllo is designed to enhance the oral bioavailability of allopregnanolone and achieve systemic exposures comparable to an intravenous infusion of allopregnanolone, with once-daily oral dosing. We believe our ongoing Phase 2b BUOY-1 trial improves upon the design of previous third-party clinical trials that evaluated a synthetic analog of allopregnanolone in several important ways.</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are improving durable efficacy by treating patients for the full six-week duration of the primary endpoint time frame, as opposed to previous trials that treated patients for only the first two weeks and assessed efficacy after six weeks. As allopregnanolone also has an anxiolytic effect, we are also enrolling patients that have MDD with or without anxious distress. To reduce placebo response, we are optimizing the frequency of clinician-administered assessments, as our comprehensive meta-analysis of recent antidepressant trials demonstrated that the frequency of these assessments is positively correlated with the magnitude of the placebo response in MDD trials. We are also including a single treatment arm and will flex dose to a target dose, similar to the strategy implemented at Karuna Therapeutics, since the number of active arms is positively associated with increased placebo response. Additionally, we are scrutinizing site selection and patient enrollment to ensure appropriate diagnosis and exclude inappropriate patients, including those with inflated baseline ratings and those who are concurrently participating in other studies. We expect topline data from the Phase 2b BUOY-1 trial in        .</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GlyphAgo: Potential Differentiated Therapy for GAD</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GlyphAgo is a novel, Glyphed oral prodrug of agomelatine that we are advancing in a key Phase 1 proof-of-concept trial for the treatment of GAD in Australia, in which we plan to enroll up to approximately 190 participants. Agomelatine, a clinically validated MT1/MT2 melatonin receptor agonist and serotonin 2C (5-HT2C) receptor antagonist, is an effective anxiolytic and antidepressant approved for the treatment of GAD in Australia and MDD in Australia and the EU. In GAD, agomelatine has demonstrated statistically significant separation from placebo in four third-party placebo-controlled studies and, based on one of the largest non-head-to-head, literature meta-analyses of clinical trials of pharmacological agents for the treatment of GAD, agomelatine was observed to have better efficacy and tolerability – including reduced risk of abuse potential, sexual dysfunction, and weight gain – than what has been described in published literature for certain standard-of-care drugs, like selective serotonin-reuptake inhibitors, or SSRIs, or benzodiazepines. However, despite this positive profile, over 90% of unmodified agomelatine is lost to first-pass liver metabolism and its use has been limited by dose-dependent liver enzyme elevations. Its label in both Australia and the EU requires liver function testing before initiating treatment, during treatment, and upon increasing the dose. Agomelatine is not approved in the United States.</w:t>
      </w:r>
    </w:p>
    <w:p>
      <w:pPr>
        <w:spacing w:after="0" w:line="1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Agomelatine Significantly Reduces Anxiety in Patients with GAD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173990</wp:posOffset>
            </wp:positionV>
            <wp:extent cx="5212080" cy="32061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12080"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Using our proprietary Glyph platform, GlyphAgo is designed to avoid first-pass liver metabolism and increase systemic exposure of agomelatine, enabling exposure levels of agomelatine that are effective in GAD but at a lower dose that reduces liver exposure and reduces or eliminates the need for liver function testing. Based on internal analyses, we believe a two-fold increase in the bioavailability of agomelatine with GlyphAgo dosing will reduce or eliminate liver enzyme elevations. In preclinical studies in non-human primates, or NHPs, we showed that oral dosing of GlyphAgo increased plasma exposure of agomelatine versus agomelatine alone above this two-fold target. Therefore, based on the data we have generated to date, we believe GlyphAgo has the potential to become a leading treatment for GAD. The ongoing Phase 1 trial will be conducted in multiple parts to evaluate the safety, tolerability, and pharmacokinetics of GlyphAgo and compare the pharmacokinetics of GlyphAgo to agomelatine alone. It will include single- and multiple-ascending dose cohorts, as well as a food-effect crossover portion, using both open-label and placebo-controlled designs. We expect topline data from our Phase 1 trial of GlyphAgo in        .</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Although the development and commercialization of GlyphAgo for the treatment of GAD is our primary focus, as part of our longer-term growth strategy, we may evaluate GlyphAgo in other indications as well, including MDD.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Glyph2BLSD and Additional Applications of the Glyph Platform</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Glyph2BLSD is our novel, Glyphed oral prodrug of 2-bromo-LSD, a differentiated non-hallucinogenic neuroplastogen. Glyph2BLSD is designed to harness the differentiated and non-hallucinogenic profile of 2-bromo-LSD, which has rapidly acting clinical activity and is not expected to exhibit the fibrosis, cardiovascular effects, or hallucinations characteristic of some other neuroplastogens. Glyph2BLSD is designed to improve the pharmacokinetic and tolerability profile of 2-bromo-LSD while maintaining therapeutic exposure levels. Glyph2BLSD’s non-hallucinogenic profile unlocks the potential to enable convenient outpatient and repeat dosing to improve efficacy. We are advancing Glyph2BLSD through preclinical studies and are developing Glyph2BLSD for the treatment of depressive disorders, including TRD, PTSD, and headache disorders with significant unmet need. We are currently conducting first-in-human-enabling studies of Glyph2BLSD.</w:t>
      </w:r>
    </w:p>
    <w:p>
      <w:pPr>
        <w:spacing w:after="0" w:line="18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are also leveraging the power of the Glyph platform to explore additional applications in CNS and non-CNS diseases and advance programs that address significant unmet needs in these areas.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Our Team</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Seaport was founded by pioneers in the neuropsychiatry field and is led by a team of seasoned industry veterans with a shared mission to transform the treatment of neuropsychiatric disorders and improve patients’ lives. We have assembled an experienced group of individuals with a proven track record of building successful companies that have developed and commercialized innovative neuropsychiatric medicines. Members of our leadership team have collaborated successfully over several decades on the discovery, development, and commercialization of neuropsychiatric medicines including Cobenfy, Latuda, Zyprexa, Cymbalta, and Zurzuvae. Our co-founders, Daphne Zohar, and Dr. Steven Paul, were central to the success of Karuna Therapeutics, which invented and advanced the first-in-class medicine Cobenfy, and was acquired by Bristol Myers Squibb in March 2024 for $14 billion. Cobenfy was approved by the FDA in September 2024 and is the first drug to provide a new mechanism of action for schizophrenia in over 30 years. Cobenfy is estimated to achieve annual peak sales of over $5 billion. The core members of our leadership team include:</w:t>
      </w:r>
    </w:p>
    <w:p>
      <w:pPr>
        <w:spacing w:after="0" w:line="93" w:lineRule="exact"/>
        <w:rPr>
          <w:sz w:val="20"/>
          <w:szCs w:val="20"/>
          <w:color w:val="auto"/>
        </w:rPr>
      </w:pPr>
    </w:p>
    <w:p>
      <w:pPr>
        <w:ind w:left="1080" w:hanging="424"/>
        <w:spacing w:after="0" w:line="256"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Daphne Zohar</w:t>
      </w:r>
      <w:r>
        <w:rPr>
          <w:rFonts w:ascii="Times New Roman" w:cs="Times New Roman" w:eastAsia="Times New Roman" w:hAnsi="Times New Roman"/>
          <w:sz w:val="18"/>
          <w:szCs w:val="18"/>
          <w:color w:val="auto"/>
        </w:rPr>
        <w:t>, Founder, Chief Executive Officer and Board Member, previously founded and led PureTech Health for 20 years as CEO.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She also co-founded PureTech’s entities, including Karuna Therapeutics. Ms. Zohar was a key driver in PureTech’s productive R&amp;D engine, which led to 28 new medicines and a clinical success rate at PureTech and founded entities that was around six times better than the industry average during her tenure. PureTech programs, including Cobenfy (invented at PureTech) and deupirfenidone, met with clinical success pursuing the same three pillar strategy of identifying clinically validated medicines with previous issues that held back their development, applying new technology to address previous limitations, and leveraging the team’s expertise to optimize the design and execution of clinical trials and drive successful business outcomes.</w:t>
      </w:r>
    </w:p>
    <w:p>
      <w:pPr>
        <w:spacing w:after="0" w:line="88" w:lineRule="exact"/>
        <w:rPr>
          <w:rFonts w:ascii="Times New Roman" w:cs="Times New Roman" w:eastAsia="Times New Roman" w:hAnsi="Times New Roman"/>
          <w:sz w:val="18"/>
          <w:szCs w:val="18"/>
          <w:color w:val="auto"/>
        </w:rPr>
      </w:pPr>
    </w:p>
    <w:p>
      <w:pPr>
        <w:ind w:left="1080" w:right="40" w:hanging="424"/>
        <w:spacing w:after="0" w:line="275" w:lineRule="auto"/>
        <w:tabs>
          <w:tab w:leader="none" w:pos="10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Steven Paul, M.D., </w:t>
      </w:r>
      <w:r>
        <w:rPr>
          <w:rFonts w:ascii="Times New Roman" w:cs="Times New Roman" w:eastAsia="Times New Roman" w:hAnsi="Times New Roman"/>
          <w:sz w:val="17"/>
          <w:szCs w:val="17"/>
          <w:color w:val="auto"/>
        </w:rPr>
        <w:t>Co-founder and the Chair of the board of directors, brings over 40 years of experience as a physician-scientist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specializing in CNS drug discovery and development and was previously the President, Chief Executive Officer, and Chair of the Board and Chief Scientific Officer and President of Research and Development at Karuna Therapeutics. He was also formerly the Executive Vice President for Science and Technology and President of the Lilly Research Laboratories at Eli Lilly. Prior to his tenure at Eli Lilly, Dr. Paul spent 18 years at the National Institute of Health and served as the Scientific Director of the National Institute of Mental Health. Dr. Paul played a key role in the development of several important neuropsychiatric drugs, including Zyprexa, Cymbalta, Cobenfy, and Zurzuvae.</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80" w:hanging="424"/>
        <w:spacing w:after="0" w:line="259"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Antony Loebel, M.D.</w:t>
      </w:r>
      <w:r>
        <w:rPr>
          <w:rFonts w:ascii="Times New Roman" w:cs="Times New Roman" w:eastAsia="Times New Roman" w:hAnsi="Times New Roman"/>
          <w:sz w:val="18"/>
          <w:szCs w:val="18"/>
          <w:color w:val="auto"/>
        </w:rPr>
        <w:t>, Chief Medical Officer and President of Clinical Development, brings over 20 years of leadership experience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biopharmaceutical industry and is a board-certified psychiatrist. He was formerly the President and Chief Executive Officer and Chief Medical Officer of Sunovion Pharmaceuticals. Dr. Loebel was instrumental in the growth of Sunovion to a company with over $3.5 billion in total revenue and played a key role in the development and commercialization of Latuda for the treatment of patients with bipolar depression and schizophrenia.</w:t>
      </w:r>
    </w:p>
    <w:p>
      <w:pPr>
        <w:spacing w:after="0" w:line="84"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Michael Chen, Ph.D.</w:t>
      </w:r>
      <w:r>
        <w:rPr>
          <w:rFonts w:ascii="Times New Roman" w:cs="Times New Roman" w:eastAsia="Times New Roman" w:hAnsi="Times New Roman"/>
          <w:sz w:val="18"/>
          <w:szCs w:val="18"/>
          <w:color w:val="auto"/>
        </w:rPr>
        <w:t>, Co-founder and Chief Scientific Officer, has over 20 years of experience in various research and leadership roles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neuropsychiatry field. He was formerly the Head of Innovation at PureTech Health where he oversaw the rapid advancement of neuropsychiatric medicines and Glyph platform translation and validation that led to the founding of Seaport Therapeutics. At PureTech, Dr. Chen played a key role in the clinical advancement of deupirfenidone, which recently demonstrated strong and durable efficacy with favorable tolerability as a monotherapy in a Phase 2b trial in idiopathic pulmonary fibrosis. Dr. Chen was previously Co-founder and Head of Research and Strategy at Sonde Health, a leader in voice-based health monitoring developing artificial intelligence powered-vocal biomarkers for depression and other neuropsychiatric disorders.</w:t>
      </w:r>
    </w:p>
    <w:p>
      <w:pPr>
        <w:spacing w:after="0" w:line="88" w:lineRule="exact"/>
        <w:rPr>
          <w:rFonts w:ascii="Times New Roman" w:cs="Times New Roman" w:eastAsia="Times New Roman" w:hAnsi="Times New Roman"/>
          <w:sz w:val="18"/>
          <w:szCs w:val="18"/>
          <w:color w:val="auto"/>
        </w:rPr>
      </w:pPr>
    </w:p>
    <w:p>
      <w:pPr>
        <w:ind w:left="1080" w:right="120" w:hanging="424"/>
        <w:spacing w:after="0" w:line="278" w:lineRule="auto"/>
        <w:tabs>
          <w:tab w:leader="none" w:pos="10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Lauren White</w:t>
      </w:r>
      <w:r>
        <w:rPr>
          <w:rFonts w:ascii="Times New Roman" w:cs="Times New Roman" w:eastAsia="Times New Roman" w:hAnsi="Times New Roman"/>
          <w:sz w:val="17"/>
          <w:szCs w:val="17"/>
          <w:color w:val="auto"/>
        </w:rPr>
        <w:t>, Chief Financial Officer, has over 22 years of corporate finance, accounting, strategic partnering and investor relations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experience. Most recently, she served as the Chief Financial Officer at ImmunoGen prior to and through its acquisition by AbbVie for $10.1 billion in 2024. Before that she was the Chief Financial Officer, Treasurer, and Principal Accounting Officer at C4 Therapeutics, responsible for developing and leading the company’s financial and capital strategies. Prior to that, Ms. White spent ten years at Novartis in various finance roles. Ms. White started her career at General Electric and Boston Consulting Group in strategy and marketing roles.</w:t>
      </w:r>
    </w:p>
    <w:p>
      <w:pPr>
        <w:spacing w:after="0" w:line="69" w:lineRule="exact"/>
        <w:rPr>
          <w:rFonts w:ascii="Times New Roman" w:cs="Times New Roman" w:eastAsia="Times New Roman" w:hAnsi="Times New Roman"/>
          <w:sz w:val="17"/>
          <w:szCs w:val="17"/>
          <w:color w:val="auto"/>
        </w:rPr>
      </w:pPr>
    </w:p>
    <w:p>
      <w:pPr>
        <w:ind w:left="1080" w:right="100" w:hanging="424"/>
        <w:spacing w:after="0" w:line="282" w:lineRule="auto"/>
        <w:tabs>
          <w:tab w:leader="none" w:pos="10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Lana Gladstein, J.D.</w:t>
      </w:r>
      <w:r>
        <w:rPr>
          <w:rFonts w:ascii="Times New Roman" w:cs="Times New Roman" w:eastAsia="Times New Roman" w:hAnsi="Times New Roman"/>
          <w:sz w:val="17"/>
          <w:szCs w:val="17"/>
          <w:color w:val="auto"/>
        </w:rPr>
        <w:t>, General Counsel, has over 25 years of legal expertise including corporate governance and M&amp;A transactions,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licensing and partnerships, and intellectual property matters. Most recently, Ms. Gladstein was the Group General Counsel at APRINOIA Therapeutics, a clinical-stage company developing therapeutics and diagnostics for neurodegenerative diseases. Prior to APRINOIA, she was Chief Legal Officer at Arranta Bio and Executive Vice President and General Counsel at Brammer Bio until their acquisitions.</w:t>
      </w:r>
    </w:p>
    <w:p>
      <w:pPr>
        <w:spacing w:after="0" w:line="66" w:lineRule="exact"/>
        <w:rPr>
          <w:rFonts w:ascii="Times New Roman" w:cs="Times New Roman" w:eastAsia="Times New Roman" w:hAnsi="Times New Roman"/>
          <w:sz w:val="17"/>
          <w:szCs w:val="17"/>
          <w:color w:val="auto"/>
        </w:rPr>
      </w:pPr>
    </w:p>
    <w:p>
      <w:pPr>
        <w:ind w:left="1080" w:right="300" w:hanging="424"/>
        <w:spacing w:after="0" w:line="26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Eric Green</w:t>
      </w:r>
      <w:r>
        <w:rPr>
          <w:rFonts w:ascii="Times New Roman" w:cs="Times New Roman" w:eastAsia="Times New Roman" w:hAnsi="Times New Roman"/>
          <w:sz w:val="18"/>
          <w:szCs w:val="18"/>
          <w:color w:val="auto"/>
        </w:rPr>
        <w:t>, Chief Operating Officer, has diverse expertise with over 25 years of experience across R&amp;D process engineering,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pharmaceutical manufacturing, operations, and global development and commercialization strategy. Most recently, he was Senior Vice President, Head of Development Programs at Alnylam Pharmaceuticals where he led a team responsible for global development and pre-commercialization activities for a portfolio of development stage programs.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brings together seasoned leaders in the biopharmaceutical industry, with expertise spanning neuropsychiatry research and development, regulatory affairs, financial operations, and commercialization. Our team is united by a shared commitment to develop transformative treatments for patients to address the significant unmet need in neuropsychiatry. Despite the prior experience of our team, our limited operating history as a standalone company makes any reliance on past performance uncertain.</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Since our inception, we have raised $325 million in net proceeds from leading life science investors, including shareholders with holdings greater than 5%: ARCH Venture Partners, General Atlantic, Sofinnova Investments, Third Rock Ventures, and our founder, PureTech. Prospective investors should not rely on the investment decisions of our existing investors, as these investors may have different risk tolerances and in certain cases received their shares in prior offerings at prices lower than the price offered to the public in this offering. See the sections titled “Certain Relationships and Related Person Transactions” and “Principal Stockholders” for more information.</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80"/>
          </w:cols>
          <w:pgMar w:left="320" w:top="455" w:right="4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founded our company with a mission to develop life-changing treatments for patients with depression, anxiety, and other neuropsychiatric disorders. The key elements of our business strategy are to:</w:t>
      </w:r>
    </w:p>
    <w:p>
      <w:pPr>
        <w:spacing w:after="0" w:line="63" w:lineRule="exact"/>
        <w:rPr>
          <w:sz w:val="20"/>
          <w:szCs w:val="20"/>
          <w:color w:val="auto"/>
        </w:rPr>
      </w:pPr>
    </w:p>
    <w:p>
      <w:pPr>
        <w:ind w:left="1080" w:right="20" w:hanging="424"/>
        <w:spacing w:after="0" w:line="254"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Successfully advance GlyphAllo through clinical development for the treatment of patients with MDD with or without anxious distress</w:t>
      </w:r>
      <w:r>
        <w:rPr>
          <w:rFonts w:ascii="Times New Roman" w:cs="Times New Roman" w:eastAsia="Times New Roman" w:hAnsi="Times New Roman"/>
          <w:sz w:val="18"/>
          <w:szCs w:val="18"/>
          <w:color w:val="auto"/>
        </w:rPr>
        <w:t>. GlyphAllo is a novel, Glyphed oral prodrug of allopregnanolone, an endogenous molecule that has been clinically validated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two third-party trials as a rapidly acting antidepressant with anxiolytic and sleep-promoting effects. GlyphAllo is designed to overcome bioavailability limitations of allopregnanolone and deliver rapid and durable efficacy in MDD. We have demonstrated in a Phase 1 clinical trial that GlyphAllo reaches therapeutically relevant exposures with oral dosing, and in a Phase 2a clinical trial, GlyphAllo demonstrated initial proof-of-concept with an objective biomarker of stress in healthy volunteers and a favorable tolerability profile that supports chronic</w:t>
      </w:r>
    </w:p>
    <w:p>
      <w:pPr>
        <w:spacing w:after="0" w:line="4" w:lineRule="exact"/>
        <w:rPr>
          <w:sz w:val="20"/>
          <w:szCs w:val="20"/>
          <w:color w:val="auto"/>
        </w:rPr>
      </w:pPr>
    </w:p>
    <w:p>
      <w:pPr>
        <w:ind w:left="1080" w:right="340"/>
        <w:spacing w:after="0" w:line="260" w:lineRule="auto"/>
        <w:rPr>
          <w:sz w:val="20"/>
          <w:szCs w:val="20"/>
          <w:color w:val="auto"/>
        </w:rPr>
      </w:pPr>
      <w:r>
        <w:rPr>
          <w:rFonts w:ascii="Times New Roman" w:cs="Times New Roman" w:eastAsia="Times New Roman" w:hAnsi="Times New Roman"/>
          <w:sz w:val="18"/>
          <w:szCs w:val="18"/>
          <w:color w:val="auto"/>
        </w:rPr>
        <w:t>dosing. We have initiated the Phase 2b BUOY-1 trial in patients with MDD with or without anxious distress and anticipate topline data in        .</w:t>
      </w:r>
    </w:p>
    <w:p>
      <w:pPr>
        <w:spacing w:after="0" w:line="83" w:lineRule="exact"/>
        <w:rPr>
          <w:sz w:val="20"/>
          <w:szCs w:val="20"/>
          <w:color w:val="auto"/>
        </w:rPr>
      </w:pPr>
    </w:p>
    <w:p>
      <w:pPr>
        <w:ind w:left="1080" w:hanging="424"/>
        <w:spacing w:after="0" w:line="257"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Successfully advance GlyphAgo through clinical development for the treatment of patients with GAD</w:t>
      </w:r>
      <w:r>
        <w:rPr>
          <w:rFonts w:ascii="Times New Roman" w:cs="Times New Roman" w:eastAsia="Times New Roman" w:hAnsi="Times New Roman"/>
          <w:sz w:val="18"/>
          <w:szCs w:val="18"/>
          <w:color w:val="auto"/>
        </w:rPr>
        <w:t>. GlyphAgo is a novel,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Glyphed oral prodrug of agomelatine, a clinically validated anxiolytic and antidepressant that is approved for the treatment of GAD in Australia and MDD in Australia and the EU. Due to extensive first-pass metabolism, agomelatine can cause dose-dependent liver enzyme elevations, and its use has been limited by the need for frequent liver function testing. GlyphAgo is designed to overcome this limitation by avoiding first-pass metabolism and achieving therapeutic exposures of agomelatine while reducing or eliminating the need for liver monitoring. We have initiated a proof-of-concept Phase 1 trial for the treatment of GAD and expect topline data in .</w:t>
      </w:r>
    </w:p>
    <w:p>
      <w:pPr>
        <w:spacing w:after="0" w:line="87" w:lineRule="exact"/>
        <w:rPr>
          <w:rFonts w:ascii="Times New Roman" w:cs="Times New Roman" w:eastAsia="Times New Roman" w:hAnsi="Times New Roman"/>
          <w:sz w:val="18"/>
          <w:szCs w:val="18"/>
          <w:color w:val="auto"/>
        </w:rPr>
      </w:pPr>
    </w:p>
    <w:p>
      <w:pPr>
        <w:ind w:left="1080" w:right="20" w:hanging="424"/>
        <w:spacing w:after="0" w:line="255"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Develop a robust pipeline of differentiated programs for neuropsychiatric and other CNS disorders by leveraging our Glyph platform</w:t>
      </w:r>
      <w:r>
        <w:rPr>
          <w:rFonts w:ascii="Times New Roman" w:cs="Times New Roman" w:eastAsia="Times New Roman" w:hAnsi="Times New Roman"/>
          <w:sz w:val="18"/>
          <w:szCs w:val="18"/>
          <w:color w:val="auto"/>
        </w:rPr>
        <w:t>. We have used Glyph to create over 24 different small molecules based on the broad compatibility of our platform with a range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small molecule physicochemical properties. Given the novel prodrug modifications to these drugs and resulting improvements in drug properties, we create new composition of matter intellectual property for these therapies. In addition to GlyphAllo and GlyphAgo, we have multiple preclinical programs, including Glyph2BLSD, and are also evaluating the application of our Glyph platform in therapeutic areas beyond neuropsychiatry. Our team has a track record of building revolutionary biopharmaceutical companies that have developed successful medicines for neuropsychiatric disorders, and we believe that our scientific expertise and world-class technical capabilities will enable us to identify and develop high value targets in the future.</w:t>
      </w:r>
    </w:p>
    <w:p>
      <w:pPr>
        <w:spacing w:after="0" w:line="90" w:lineRule="exact"/>
        <w:rPr>
          <w:rFonts w:ascii="Times New Roman" w:cs="Times New Roman" w:eastAsia="Times New Roman" w:hAnsi="Times New Roman"/>
          <w:sz w:val="18"/>
          <w:szCs w:val="18"/>
          <w:color w:val="auto"/>
        </w:rPr>
      </w:pPr>
    </w:p>
    <w:p>
      <w:pPr>
        <w:ind w:left="1080" w:right="320" w:hanging="424"/>
        <w:spacing w:after="0" w:line="256"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Opportunistically pursue strategic partnerships to maximize the value of our Glyph platform. </w:t>
      </w:r>
      <w:r>
        <w:rPr>
          <w:rFonts w:ascii="Times New Roman" w:cs="Times New Roman" w:eastAsia="Times New Roman" w:hAnsi="Times New Roman"/>
          <w:sz w:val="18"/>
          <w:szCs w:val="18"/>
          <w:color w:val="auto"/>
        </w:rPr>
        <w:t>We have exclusive global rights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 and commercialize our product candidates and pursue various discovery programs using our Glyph platform. We may seek strategic collaborations where we believe the resources and expertise of third-party biopharmaceutical companies could accelerate the clinical development or maximize the commercial potential of our product candidates and/or discovery programs, or where such collaborations could expand the capabilities of our Glyph platform. We may also opportunistically evaluate partnerships in therapeutic areas outside neuropsychiatry where our Glyph platform has demonstrated potential applicability, such as oncology, immunology and inflammation, metabolic disease, and obesity.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Unmet Patient Need in Neuropsychiatry</w:t>
      </w:r>
    </w:p>
    <w:p>
      <w:pPr>
        <w:spacing w:after="0" w:line="121" w:lineRule="exact"/>
        <w:rPr>
          <w:sz w:val="20"/>
          <w:szCs w:val="20"/>
          <w:color w:val="auto"/>
        </w:rPr>
      </w:pPr>
    </w:p>
    <w:p>
      <w:pPr>
        <w:ind w:left="120" w:right="440" w:firstLine="440"/>
        <w:spacing w:after="0" w:line="276" w:lineRule="auto"/>
        <w:rPr>
          <w:sz w:val="20"/>
          <w:szCs w:val="20"/>
          <w:color w:val="auto"/>
        </w:rPr>
      </w:pPr>
      <w:r>
        <w:rPr>
          <w:rFonts w:ascii="Times New Roman" w:cs="Times New Roman" w:eastAsia="Times New Roman" w:hAnsi="Times New Roman"/>
          <w:sz w:val="17"/>
          <w:szCs w:val="17"/>
          <w:color w:val="auto"/>
        </w:rPr>
        <w:t>According to the World Health Organization, as of 2021, depression affects approximately 332 million people worldwide and anxiety affects approximately 359 million people worldwide. Quality of life can be severely impacted and the societal economic burden of MDD totals over</w:t>
      </w:r>
    </w:p>
    <w:p>
      <w:pPr>
        <w:spacing w:after="0" w:line="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$300 billion in the United States alone as of 2023. According to the National Institute of Mental Health, MDD affects approximately 21 million adults in the United States, as of 2021. According to the National Institute of Mental Health, approximately 4 in 10 people with MDD do not receive treatment, and for those that do, currently approved drugs often have significant limitations, including modest efficacy,</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slow onset of action, and unfavorable side effects. Anxiety disorders are even more prevalent than MDD and affect approximately 350 million people worldwide. Of these, approximately 100 million adults suffer from GAD, including more than seven million adults in the United States, according to JAMA Psychiatry, as of 2017. There have been no new therapies approved for GAD in almost two decades, and the medicines currently used for GAD have modest efficacy, slow onset, and/or unfavorable side effects.</w:t>
      </w:r>
    </w:p>
    <w:p>
      <w:pPr>
        <w:spacing w:after="0" w:line="180" w:lineRule="exact"/>
        <w:rPr>
          <w:sz w:val="20"/>
          <w:szCs w:val="20"/>
          <w:color w:val="auto"/>
        </w:rPr>
      </w:pPr>
    </w:p>
    <w:p>
      <w:pPr>
        <w:ind w:left="120" w:firstLine="440"/>
        <w:spacing w:after="0" w:line="242" w:lineRule="auto"/>
        <w:rPr>
          <w:sz w:val="20"/>
          <w:szCs w:val="20"/>
          <w:color w:val="auto"/>
        </w:rPr>
      </w:pPr>
      <w:r>
        <w:rPr>
          <w:rFonts w:ascii="Times New Roman" w:cs="Times New Roman" w:eastAsia="Times New Roman" w:hAnsi="Times New Roman"/>
          <w:sz w:val="18"/>
          <w:szCs w:val="18"/>
          <w:color w:val="auto"/>
        </w:rPr>
        <w:t>Despite the shortcomings of existing therapies, there has been limited innovation in neuropsychiatric treatment options over the last 30 years and there remains a significant need for novel mechanisms and additional treatment options. The unmet need for improved therapies to treat depression and anxiety is so great that even approved drugs with limited efficacy and significant tolerability issues have become widely prescribed drugs. For instance, standard-of-care therapies, such as Zoloft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Zyprexa, and Cymbalta, have each generated $3 billion to $5 billion in peak annual sales between 2005 and 2012, despite significant limitations, such as modest efficacy, slow onset, and undesirable side effects. SSRIs and serotonin-norepinephrine reuptake inhibitors, or SNRIs, both first-line treatments for MDD and GAD, can take weeks to improve symptoms, and often do not lead to complete remission of symptoms. In addition, patients with MDD with anxious distress, a subtype of MDD representing approximately 60% of patients with MDD, have even lower rates of treatment response and remission, and there are no approved therapies indicated for MDD with anxious distress. Patients with MDD have an increased likelihood of both suicidal ideation and suicide attempts, which is further increased in patients with MDD with anxious distress. Even for patients who benefit from standard-of-care drugs, many experience challenging side effects, such as unintended weight gain, sexual dysfunction, and sleep disturbances.</w:t>
      </w:r>
    </w:p>
    <w:p>
      <w:pPr>
        <w:spacing w:after="0" w:line="20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GAD is characterized by excessive anxiety and worry that is difficult to control, and presents with associated symptoms such as restlessness, sleep disturbance, and irritability. More than half of GAD patients are untreated, and of those that are treated, only half respond to standard-of-care treatments like SSRIs and SNRIs. Current therapies provide limited efficacy and can cause significant adverse effects, including weight gain, sexual dysfunction, and sleep disturbances. There is a clear unmet need for novel therapies that provide improved efficacy and reduce unfavorable side effects for patients suffering from GAD.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Challenges in Neuropsychiatric Drug Development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Despite the significant unmet need in neuropsychiatry, over 90% of neuropsychiatry product candidates fail in clinical trials, according to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Biotechnology Innovation Organization. The challenges that have held back the development of novel treatments for neuropsychiatric disorders include:</w:t>
      </w:r>
    </w:p>
    <w:p>
      <w:pPr>
        <w:spacing w:after="0" w:line="108" w:lineRule="exact"/>
        <w:rPr>
          <w:sz w:val="20"/>
          <w:szCs w:val="20"/>
          <w:color w:val="auto"/>
        </w:rPr>
      </w:pPr>
    </w:p>
    <w:p>
      <w:pPr>
        <w:jc w:val="both"/>
        <w:ind w:left="1080" w:right="80" w:hanging="424"/>
        <w:spacing w:after="0" w:line="268"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Fundamental pathophysiology is unknown: </w:t>
      </w:r>
      <w:r>
        <w:rPr>
          <w:rFonts w:ascii="Times New Roman" w:cs="Times New Roman" w:eastAsia="Times New Roman" w:hAnsi="Times New Roman"/>
          <w:sz w:val="18"/>
          <w:szCs w:val="18"/>
          <w:color w:val="auto"/>
        </w:rPr>
        <w:t>High failure rates in clinical trials evaluating investigational therapies without prior 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validation can reflect an incomplete understanding of the underlying pathophysiology of depression and anxiety. Translation of data from animal models to humans is difficult due to the complexity of the CNS.</w:t>
      </w:r>
    </w:p>
    <w:p>
      <w:pPr>
        <w:spacing w:after="0" w:line="76" w:lineRule="exact"/>
        <w:rPr>
          <w:rFonts w:ascii="Times New Roman" w:cs="Times New Roman" w:eastAsia="Times New Roman" w:hAnsi="Times New Roman"/>
          <w:sz w:val="18"/>
          <w:szCs w:val="18"/>
          <w:color w:val="auto"/>
        </w:rPr>
      </w:pPr>
    </w:p>
    <w:p>
      <w:pPr>
        <w:ind w:left="1080" w:right="260" w:hanging="424"/>
        <w:spacing w:after="0" w:line="286"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Poor drug-like properties: </w:t>
      </w:r>
      <w:r>
        <w:rPr>
          <w:rFonts w:ascii="Times New Roman" w:cs="Times New Roman" w:eastAsia="Times New Roman" w:hAnsi="Times New Roman"/>
          <w:sz w:val="18"/>
          <w:szCs w:val="18"/>
          <w:color w:val="auto"/>
        </w:rPr>
        <w:t>Drugs for neuropsychiatric disorders have had low oral bioavailability and/or significant side effects due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 to poor drug-like properties, often due to high first-pass metabolism in the liver.</w:t>
      </w:r>
    </w:p>
    <w:p>
      <w:pPr>
        <w:spacing w:after="0" w:line="60" w:lineRule="exact"/>
        <w:rPr>
          <w:rFonts w:ascii="Times New Roman" w:cs="Times New Roman" w:eastAsia="Times New Roman" w:hAnsi="Times New Roman"/>
          <w:sz w:val="18"/>
          <w:szCs w:val="18"/>
          <w:color w:val="auto"/>
        </w:rPr>
      </w:pPr>
    </w:p>
    <w:p>
      <w:pPr>
        <w:ind w:left="1080" w:right="160" w:hanging="424"/>
        <w:spacing w:after="0" w:line="26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Challenges with clinical trial design and execution: </w:t>
      </w:r>
      <w:r>
        <w:rPr>
          <w:rFonts w:ascii="Times New Roman" w:cs="Times New Roman" w:eastAsia="Times New Roman" w:hAnsi="Times New Roman"/>
          <w:sz w:val="18"/>
          <w:szCs w:val="18"/>
          <w:color w:val="auto"/>
        </w:rPr>
        <w:t>Suboptimal trial design and execution of neuropsychiatry clinical trials can lead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failed studies and prevent drug approvals. A key challenge in neuropsychiatry clinical development is the placebo effect, which can be impacted by the frequency of clinician-administered assessments, the number of treatment arms, the number of sites, and the inclusion of inappropriate patients, including those with inflated baseline ratings and those who are concurrently participating in other studies.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Differentiated Approach</w:t>
      </w:r>
    </w:p>
    <w:p>
      <w:pPr>
        <w:spacing w:after="0" w:line="121" w:lineRule="exact"/>
        <w:rPr>
          <w:sz w:val="20"/>
          <w:szCs w:val="20"/>
          <w:color w:val="auto"/>
        </w:rPr>
      </w:pPr>
    </w:p>
    <w:p>
      <w:pPr>
        <w:ind w:left="120" w:right="980" w:firstLine="440"/>
        <w:spacing w:after="0" w:line="282" w:lineRule="auto"/>
        <w:rPr>
          <w:sz w:val="20"/>
          <w:szCs w:val="20"/>
          <w:color w:val="auto"/>
        </w:rPr>
      </w:pPr>
      <w:r>
        <w:rPr>
          <w:rFonts w:ascii="Times New Roman" w:cs="Times New Roman" w:eastAsia="Times New Roman" w:hAnsi="Times New Roman"/>
          <w:sz w:val="18"/>
          <w:szCs w:val="18"/>
          <w:color w:val="auto"/>
        </w:rPr>
        <w:t>We are uniquely positioned to develop novel medicines that will make a significant impact for patients and their families through our differentiated, three-pillar approach: 1) identify clinically validated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mechanisms held back by issues that can be addressed by our proprietary Glyph platform, 2) create novel medicines with strong intellectual property using Glyph, and 3) apply our team’s expertise to optimize the design and execution of clinical trials and drive successful business outcomes. We believe our approach will enable us to develop transformative treatments for patients and build a leading neuropsychiatry company.</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1) Identify clinically validated mechanisms held back by issues that can be addressed by our proprietary Glyph platform.</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use our team’s deep expertise in neuropsychiatry drug discovery and development to analyze data generated from prior clinical trials of investigational therapies for depression, anxiety, and other neuropsychiatric disorders. Of the investigational therapies that have demonstrated clinical efficacy, we analyze the factors that have held these molecules back from achieving regulatory or commercial success and identify those that we can address with our Glyph platform, including poor oral bioavailability and/or liver-related adverse events.</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select product candidates that have the potential to become high-impact, leading therapies and design and conduct early proof-of-concept studies that address key development questions and validate the fundamental hypotheses underlying each program. Molecules that meet all the above criteria become candidates for our Glyph platform.</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2) Create novel medicines with strong intellectual property using Glyph.</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Glyph is a lymphatic-targeting prodrug platform that has shown clinical proof of concept in our Phase 1 and Phase 2a clinical trials of GlyphAllo. We can apply Glyph to molecules to overcome limitations such as low oral bioavailability, liver related adverse events, and other side effects. Importantly, every time we Glyph a molecule, it results in the creation of a novel molecule and, therefore, new composition of matter intellectual property.</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development of the Glyph platform has been a culmination of over 50 years of work since researchers began exploring the potential of lymphatic transport to improve drug delivery. Since the 1970s, research has been conducted on highly lipophilic molecules, or molecules that can be dissolved in lipids or fats, that could take advantage of the lymphatic route to bypass first-pass metabolism and target lymphatic tissues. However, this approach was limited by the need for chemical properties like lipophilicity, which can negatively affect drug absorption and metabolism. To overcome these limitations, Dr. Christopher Porter, the co-inventor of Glyph and Director of the Monash Institute of Pharmaceutical Sciences, advanced cleavable prodrugs with lipophilic moieties to promote lymphatic transport and the release of parent drug. Simple triglyceride-based prodrugs with direct conjugation of a desired drug with a lipophilic moiety were explored but did not fully capture the potential of lymphatic targeting prodrugs.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Dr. Porter, in collaboration with our Head of Chemistry, Dr. Jamie Simpson, then invented our Glyph platform, which advanced the creation of a new type of prodrug that significantly improved lymphatic transport. This proprietary prodrug chemistry is designed to promote enhanced lymphatic uptake while maintaining gut stability and the release of the parent drug. Our Glyph platform enables the design of various linkers, glyceride moieties, and self-immolative groups tailored for each active pharmaceutical ingredient, or API, candidate, to allow for the release of the API. An illustration of an exemplary lymphatic targeting lipid prodrug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145415</wp:posOffset>
            </wp:positionV>
            <wp:extent cx="5194935" cy="22802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9493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When taken orally, conventional small molecule drugs are absorbed in the gut, enter the portal vein, and travel to the liver, where they can undergo high first-pass metabolism before entering systemic circulation. This can result in low bioavailability, or very little of the drug actually circulating in the body or brain and can also increase the risk of liver-related adverse events. In contrast, dietary fats enter systemic circulation through a completely different pathway: they enter the mesenteric lymphatic system of the gut and traffic into the thoracic duct, bypassing the liver on their way into systemic circulation. With Glyph, we cloak drugs so that the body recognizes them as if they were dietary fats, and traffics them through the lymphatic system, avoiding the liver and transporting them directly into the bloodstream. This improves a molecule’s bioavailability and thereby enables drugs that otherwise need to be given intravenously, to be dosed orally. Glyph also helps to overcome other issues—such as liver toxicity—by avoiding the liver on the first pass and reducing dose while maintaining therapeutic exposure levels. Glyph is, to our knowledge, the only clinically validated lymphatic-targeting platform. Previous examples of oral lymphatic-targeting therapies have yet to result in efficient lymphatic transport, generalized across molecules, or translated to humans.</w:t>
      </w:r>
    </w:p>
    <w:p>
      <w:pPr>
        <w:spacing w:after="0" w:line="19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We have pioneered the use of preclinical models to test and validate our lymphatic transport approach. We are able to use a streamlined series of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vitro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assays, which are efficient, repeatable, and highly translatable, and customize prodrug chemistry to each unique active drug.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translatability of these models is illustrated by our GlyphAllo program, which was predicted to have enhanced bioavailability based on our preclinical data. This was confirmed in a Phase 1 trial of GlyphAllo in healthy volunteers, which demonstrated therapeutically relevant exposures following dosing of GlyphAllo. Although no head-to-head studies have been conducted comparing GlyphAllo to oral allopregnanolone, our Phase 1 trial showed a greater than nine-fold increase in bioavailability compared to previously reported bioavailability of oral allopregnanolone.</w:t>
      </w:r>
    </w:p>
    <w:p>
      <w:pPr>
        <w:spacing w:after="0" w:line="184"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We have used Glyph to create over 24 different small molecules based on our Glyph platform’s compatibility with a range of physiochemical properties of small molecules. Our Glyph platform can be used with a range of small molecules, including for indications beyond neuropsychiatry, including oncology, immunology and inflammation, metabolic disease, and obesity.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3) Apply our team’s expertise to optimize the design and execution of clinical trials and drive successful business outcomes.</w:t>
      </w:r>
    </w:p>
    <w:p>
      <w:pPr>
        <w:spacing w:after="0" w:line="22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experienced team has a proven track record of building successful companies that have developed and commercialized innovative neuropsychiatric medicines. We are led by the team that discovered and advanced Cobenfy, which was first approved by the FDA in September 2024 and is the first new mechanism in over 30 years for patients living with schizophrenia. Within each of our programs, we are implementing key learnings from our collective experience to improve the probability of success. For instance, to optimize the design and execution of the Phase 2b BUOY-1 trial of GlyphAllo in MDD, we aim to implement learnings from the prior trials of allopregnanolone and its synthetic analogs such as zuranolone. These include key design elements to improve durable efficacy and reduce the placebo effect, namely treating patients for the full duration of the primary endpoint, limiting the frequency of clinical assessments, randomizing patients 1:1 to either a single active treatment arm or placebo, and using rigorous patient inclusion criteria. Our strategy to optimize the frequency of clinical assessments is supported by a recent meta-analysis we conducted of major MDD trials over the last 10 years to identify clinical design factors associated with the magnitude of the placebo response. A key finding from this analysis was that the number and frequency of clinician-administered assessments were significantly associated with greater placebo response. Thus, reducing the number and frequency of clinician-administered assessments may decrease the placebo response in MDD trials.</w:t>
      </w:r>
    </w:p>
    <w:p>
      <w:pPr>
        <w:spacing w:after="0" w:line="19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table below summarizes the key design elements we are incorporating into our clinical trials to improve durable efficacy and minimize the placebo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131445</wp:posOffset>
            </wp:positionV>
            <wp:extent cx="4612005" cy="254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61200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Product Candidates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are leveraging our Glyph platform to advance a pipeline of novel candidates to address the significant unmet need for patients with depression and anxiety. Our lead product candidates include GlyphAllo for the treatment of MDD and GlyphAgo for the treatment of GAD.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GlyphAllo: Potential Differentiated Therapy for MDD</w:t>
      </w:r>
    </w:p>
    <w:p>
      <w:pPr>
        <w:spacing w:after="0" w:line="31" w:lineRule="exact"/>
        <w:rPr>
          <w:sz w:val="20"/>
          <w:szCs w:val="20"/>
          <w:color w:val="auto"/>
        </w:rPr>
      </w:pPr>
    </w:p>
    <w:p>
      <w:pPr>
        <w:ind w:left="120" w:firstLine="440"/>
        <w:spacing w:after="0" w:line="279" w:lineRule="auto"/>
        <w:rPr>
          <w:sz w:val="20"/>
          <w:szCs w:val="20"/>
          <w:color w:val="auto"/>
        </w:rPr>
      </w:pPr>
      <w:r>
        <w:rPr>
          <w:rFonts w:ascii="Times New Roman" w:cs="Times New Roman" w:eastAsia="Times New Roman" w:hAnsi="Times New Roman"/>
          <w:sz w:val="18"/>
          <w:szCs w:val="18"/>
          <w:color w:val="auto"/>
        </w:rPr>
        <w:t>GlyphAllo, is a novel, Glyphed oral prodrug of allopregnanolone, an endogenous neurosteroid and GABA</w:t>
      </w:r>
      <w:r>
        <w:rPr>
          <w:rFonts w:ascii="Times New Roman" w:cs="Times New Roman" w:eastAsia="Times New Roman" w:hAnsi="Times New Roman"/>
          <w:sz w:val="26"/>
          <w:szCs w:val="26"/>
          <w:color w:val="auto"/>
          <w:vertAlign w:val="subscript"/>
        </w:rPr>
        <w:t>A</w:t>
      </w:r>
      <w:r>
        <w:rPr>
          <w:rFonts w:ascii="Times New Roman" w:cs="Times New Roman" w:eastAsia="Times New Roman" w:hAnsi="Times New Roman"/>
          <w:sz w:val="18"/>
          <w:szCs w:val="18"/>
          <w:color w:val="auto"/>
        </w:rPr>
        <w:t xml:space="preserve"> PAM that has been clinically validated in two third-party trials, which were sponsored by Sage Therapeutics in</w:t>
      </w:r>
    </w:p>
    <w:p>
      <w:pPr>
        <w:spacing w:after="0" w:line="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40"/>
          </w:cols>
          <w:pgMar w:left="320" w:top="455" w:right="4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United States for the treatment of PPD and powered for statistical significance, as a rapidly acting antidepressant with anxiolytic and sleep-promoting effects. In each trial, allopregnanolone demonstrated statistically significant results on the primary endpoint of change in baseline at 60 hours in the HAMD-17. However, its scope of clinical use has been constrained by oral bioavailability limitations that the Glyph platform is uniquely designed to solve.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currently advancing GlyphAllo in the Phase 2b BUOY-1 trial in MDD with or without anxious distress, that we believe will be registration-enabling, subject to review by the FDA and/or other comparable regulatory authorities, as the trial is an adequate and well-controlled investigation that seeks to help provide substantial evidence of effectiveness by definitively assessing GlyphAllo’s efficacy and safety in several hundred patients. We believe that GlyphAllo has the potential to be a leading treatment for MDD.</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Background on MDD and Market Opportunity</w:t>
      </w:r>
    </w:p>
    <w:p>
      <w:pPr>
        <w:spacing w:after="0" w:line="11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MDD is one of the most disabling neuropsychiatric disorders and ranks among the leading causes of disease burden worldwide. As of 2023, 29% of adults in the United States reported having been diagnosed with depression at some point in their life, more than diabetes (16%) or chronic kidney disease (14%). Depression is often characterized by persistent low mood or anhedonia—loss of interest in normally enjoyable activities—as well as changes in sleep, appetite, cognition, psychomotor function, fatigue, feelings of worthlessness, inappropriate guilt, or suicidal ideation. Depression can be debilitating to daily functioning, including school, work, and interpersonal relationships, and it significantly reduces quality of life. Individuals with depression are 20 times more likely to commit suicide than those without depression. In 2022, suicide was the second leading cause of death for people ages 10-14 and 20-34, and the third leading cause of death for people ages 15-19.</w:t>
      </w:r>
    </w:p>
    <w:p>
      <w:pPr>
        <w:spacing w:after="0" w:line="189" w:lineRule="exact"/>
        <w:rPr>
          <w:sz w:val="20"/>
          <w:szCs w:val="20"/>
          <w:color w:val="auto"/>
        </w:rPr>
      </w:pPr>
    </w:p>
    <w:p>
      <w:pPr>
        <w:ind w:left="120" w:right="120" w:firstLine="440"/>
        <w:spacing w:after="0" w:line="274" w:lineRule="auto"/>
        <w:rPr>
          <w:sz w:val="20"/>
          <w:szCs w:val="20"/>
          <w:color w:val="auto"/>
        </w:rPr>
      </w:pPr>
      <w:r>
        <w:rPr>
          <w:rFonts w:ascii="Times New Roman" w:cs="Times New Roman" w:eastAsia="Times New Roman" w:hAnsi="Times New Roman"/>
          <w:sz w:val="17"/>
          <w:szCs w:val="17"/>
          <w:color w:val="auto"/>
        </w:rPr>
        <w:t>MDD is a highly heterogeneous disease that manifests in myriad ways, with variations in symptoms, severity, and duration. Furthermore, the underlying causes are multifaceted, encompassing genetic, biological, environmental, and psychological factors. For example, according to The American Journal of Psychiatry, more than half of adults diagnosed with MDD also experience notable concurrent anxiety. Individuals with MDD with anxious distress have worse depressive symptoms, higher likelihood of suicidal ideation, and attempted suicide, increased functional and physical impairment, reduced quality of life, and lower response to treatments for MDD. In recognition of the clinical impact of anxious distress, the DSM-5 added in 2013 a specifier for anxious distress in the context of MDD. There are no drugs specifically approved for MDD patients with anxious distress.</w:t>
      </w:r>
    </w:p>
    <w:p>
      <w:pPr>
        <w:spacing w:after="0" w:line="2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Limitations of the Current Standard of Care in MDD</w:t>
      </w:r>
    </w:p>
    <w:p>
      <w:pPr>
        <w:spacing w:after="0" w:line="119"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Although there are multiple approved antidepressant therapies, only 61% of adults with MDD in the United States received treatment in 2021, according to the National Institute of Mental Health. Of MDD patients who do receive treatment, approximately one-half fail to achieve remission with first-line therapies. Current standard of care for those who respond poorly to initial antidepressant monotherapy treatment relies on polypharmacy and treatment-switching strategies between current options including SSRIs, SNRIs, dopaminergic/noradrenergic drugs, and atypical antipsychotics. Current treatments are also in many cases associated with significant negative side effects such as sexual dysfunction, weight gain, gastrointestinal issues, insomnia, fatigue, nausea, emotional blunting, and others, which limit medication adherence and can negatively impact treatment outcomes. Even when patients achieve symptom remission, standard-of-care therapies may take weeks to yield effect and can even make symptoms like insomnia worse. Therefore, there is a significant unmet need for novel therapies that are more effective and better tolerated for the treatment of people with MDD.</w:t>
      </w:r>
    </w:p>
    <w:p>
      <w:pPr>
        <w:spacing w:after="0" w:line="2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Validation of Allopregnanolone and GABA Modulation in MDD</w:t>
      </w:r>
    </w:p>
    <w:p>
      <w:pPr>
        <w:spacing w:after="0" w:line="29"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color w:val="auto"/>
        </w:rPr>
        <w:t>Allopregnanolone is an endogenous neurosteroid that is synthesized in the periphery and brain and binds selectively with high affinity to GABA</w:t>
      </w:r>
      <w:r>
        <w:rPr>
          <w:rFonts w:ascii="Times New Roman" w:cs="Times New Roman" w:eastAsia="Times New Roman" w:hAnsi="Times New Roman"/>
          <w:sz w:val="26"/>
          <w:szCs w:val="26"/>
          <w:color w:val="auto"/>
          <w:vertAlign w:val="subscript"/>
        </w:rPr>
        <w:t>A</w:t>
      </w:r>
      <w:r>
        <w:rPr>
          <w:rFonts w:ascii="Times New Roman" w:cs="Times New Roman" w:eastAsia="Times New Roman" w:hAnsi="Times New Roman"/>
          <w:sz w:val="18"/>
          <w:szCs w:val="18"/>
          <w:color w:val="auto"/>
        </w:rPr>
        <w:t xml:space="preserve"> receptors. Allopregnanolone has a rapid onset of action and a well-established,</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clinically validated antidepressant, anxiolytic, and sleep-promoting effect. GlyphAllo retains the activity and potency of endogenous allopregnanolone in oral form. Levels of allopregnanolone peak during the third trimester of pregnancy, and an intravenous infusion formulation of allopregnanolone was approved for the treatment of PPD.</w:t>
      </w:r>
    </w:p>
    <w:p>
      <w:pPr>
        <w:spacing w:after="0" w:line="176" w:lineRule="exact"/>
        <w:rPr>
          <w:sz w:val="20"/>
          <w:szCs w:val="20"/>
          <w:color w:val="auto"/>
        </w:rPr>
      </w:pPr>
    </w:p>
    <w:p>
      <w:pPr>
        <w:ind w:left="120" w:right="60" w:firstLine="440"/>
        <w:spacing w:after="0" w:line="223" w:lineRule="auto"/>
        <w:rPr>
          <w:sz w:val="20"/>
          <w:szCs w:val="20"/>
          <w:color w:val="auto"/>
        </w:rPr>
      </w:pPr>
      <w:r>
        <w:rPr>
          <w:rFonts w:ascii="Times New Roman" w:cs="Times New Roman" w:eastAsia="Times New Roman" w:hAnsi="Times New Roman"/>
          <w:sz w:val="18"/>
          <w:szCs w:val="18"/>
          <w:color w:val="auto"/>
        </w:rPr>
        <w:t>GABA is the primary inhibitory neurotransmitter in the brain and is a pivotal component of the etiology of depression and anxiety disorders. Reduced GABA levels in the brain are associated with MDD, and cerebrospinal fluid, or CSF, GABA levels are highly correlated with anxiety in patients with MDD and tend to normalize with successful treatment. Other drugs that target GABA, such as benzodiazepines, have been investigated for MDD; however, these have been largely ineffective as they lack antidepressant effects driven by specific GABA receptor subtypes and can lead to dependence and abuse. Importantly, allopregnanolone binds to GABA</w:t>
      </w:r>
      <w:r>
        <w:rPr>
          <w:rFonts w:ascii="Times New Roman" w:cs="Times New Roman" w:eastAsia="Times New Roman" w:hAnsi="Times New Roman"/>
          <w:sz w:val="26"/>
          <w:szCs w:val="26"/>
          <w:color w:val="auto"/>
          <w:vertAlign w:val="subscript"/>
        </w:rPr>
        <w:t>A</w:t>
      </w:r>
      <w:r>
        <w:rPr>
          <w:rFonts w:ascii="Times New Roman" w:cs="Times New Roman" w:eastAsia="Times New Roman" w:hAnsi="Times New Roman"/>
          <w:sz w:val="18"/>
          <w:szCs w:val="18"/>
          <w:color w:val="auto"/>
        </w:rPr>
        <w:t xml:space="preserve"> receptors at distinct sites compared to benzodiazepines and thereby modulates GABA</w:t>
      </w:r>
      <w:r>
        <w:rPr>
          <w:rFonts w:ascii="Times New Roman" w:cs="Times New Roman" w:eastAsia="Times New Roman" w:hAnsi="Times New Roman"/>
          <w:sz w:val="26"/>
          <w:szCs w:val="26"/>
          <w:color w:val="auto"/>
          <w:vertAlign w:val="subscript"/>
        </w:rPr>
        <w:t>A</w:t>
      </w:r>
      <w:r>
        <w:rPr>
          <w:rFonts w:ascii="Times New Roman" w:cs="Times New Roman" w:eastAsia="Times New Roman" w:hAnsi="Times New Roman"/>
          <w:sz w:val="18"/>
          <w:szCs w:val="18"/>
          <w:color w:val="auto"/>
        </w:rPr>
        <w:t xml:space="preserve"> signaling in a manner distinct from benzodiazepines.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Prior Clinical Studies of Allopregnanolone and its Synthetic Analogs</w:t>
      </w:r>
    </w:p>
    <w:p>
      <w:pPr>
        <w:spacing w:after="0" w:line="119"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Allopregnanolone and its synthetic analogs, including zuranolone, have been tested in multiple studies in MDD and PPD and have demonstrated rapidly acting antidepressant and anxiolytic effects. An IV formulation of allopregnanolone, brexanolone, was developed and approved by the FDA in 2019 for the treatment of PPD and marketed under the trade name Zulresso. In two positive Phase 3 trials, brexanolone demonstrated statistically significant and clinically meaningful and rapid reductions in HAMD-17 as compared to placebo in patients with PPD. In addition, brexanolone demonstrated rapid and statistically significant anxiolytic effects and improvement in insomnia symptoms from baseline, according to pooled post-hoc analyses of three placebo-controlled trials of brexanolone in PPD.</w:t>
      </w:r>
    </w:p>
    <w:p>
      <w:pPr>
        <w:spacing w:after="0" w:line="18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After oral administration, unmodified allopregnanolone is rapidly and nearly completely metabolized via liver first-pass metabolism, resulting in only a small percentage reaching the systemic circulation and CNS. As a result, oral administration of allopregnanolone does not produce adequate exposure levels for efficacy and is poorly suited for chronic treatment of depression and anxiety disorders. Due to the poor oral bioavailability of allopregnanolone, brexanolone was only available via a 60-hour IV infusion, requiring the presence of a health care provider to continuously monitor the patient.</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To overcome the poor bioavailability of brexanolone and the challenges associated with IV administration, an oral synthetic analog of allopregnanolone, zuranolone, was developed. In two Phase 3 studies in PPD conducted by Sage Therapeutics, zuranolone met the primary endpoint and also demonstrated a statistically significant improvement in symptoms of anxiety. Zuranolone was approved by the FDA for the treatment of PPD in 2023 and is marketed under the trade name Zurzuvae.</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to its development in PPD, zuranolone was tested in four placebo-controlled clinical trials in patients with MDD. In these trials, patients received either zuranolone or placebo once daily for two weeks. The primary endpoint in these trials was change from baseline in HAMD-17 score at Day 15 or Day 3. Change from baseline in HAMD-17 score was also assessed at Day 42, when patients had not received treatment for four weeks. Zuranolone demonstrated a rapid antidepressant effect that deepened while patients were on drug and met the primary endpoint in three of the four trials. In the trial that did not meet its primary endpoint, zuranolone showed statistically significant reductions in HAMD-17 total score at Days 3, 8 and 12, but not at Day 15. Zuranolone also demonstrated a statistically significant anxiolytic effect in the WATERFALL trial. We believe the negative results of these trials at Day 42 was primarily due to two key factors related to clinical trial design and execution. First, as patients received treatment for only the first two weeks of the study, patients had not received treatment for approximately four weeks when HAMD-17 score was assessed at Day 42. Second, these studies showed a high placebo response, likely driven by the elevated frequency of clinician-administered assessments. Indeed, according to our meta-analysis of recent antidepressant trials, zuranolone’s WATERFALL trial had approximately double the placebo response and double the frequency of clinician-administered assessments compared to typical antidepressant trials. Zuranolone was generally safe and well tolerated in 2,005 treated patients across seven</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40"/>
          </w:cols>
          <w:pgMar w:left="320" w:top="455" w:right="4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16" w:lineRule="exact"/>
        <w:rPr>
          <w:sz w:val="20"/>
          <w:szCs w:val="20"/>
          <w:color w:val="auto"/>
        </w:rPr>
      </w:pPr>
    </w:p>
    <w:p>
      <w:pPr>
        <w:ind w:left="120" w:right="520"/>
        <w:spacing w:after="0" w:line="300" w:lineRule="auto"/>
        <w:rPr>
          <w:sz w:val="20"/>
          <w:szCs w:val="20"/>
          <w:color w:val="auto"/>
        </w:rPr>
      </w:pPr>
      <w:r>
        <w:rPr>
          <w:rFonts w:ascii="Times New Roman" w:cs="Times New Roman" w:eastAsia="Times New Roman" w:hAnsi="Times New Roman"/>
          <w:sz w:val="18"/>
          <w:szCs w:val="18"/>
          <w:color w:val="auto"/>
        </w:rPr>
        <w:t>randomized control trials, with the most common treatment-emergent adverse event being somnolence, an on-target effect of GABA</w:t>
      </w:r>
      <w:r>
        <w:rPr>
          <w:rFonts w:ascii="Times New Roman" w:cs="Times New Roman" w:eastAsia="Times New Roman" w:hAnsi="Times New Roman"/>
          <w:sz w:val="26"/>
          <w:szCs w:val="26"/>
          <w:color w:val="auto"/>
          <w:vertAlign w:val="subscript"/>
        </w:rPr>
        <w:t>A</w:t>
      </w:r>
      <w:r>
        <w:rPr>
          <w:rFonts w:ascii="Times New Roman" w:cs="Times New Roman" w:eastAsia="Times New Roman" w:hAnsi="Times New Roman"/>
          <w:sz w:val="18"/>
          <w:szCs w:val="18"/>
          <w:color w:val="auto"/>
        </w:rPr>
        <w:t>. Despite its demonstrated antidepressant and anxiolytic activity, zuranolone was not approved in MDD by the FDA during its review of the product.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GlyphAllo Overcomes Limitations of Allopregnanolone and its Synthetic Analogs</w:t>
      </w:r>
    </w:p>
    <w:p>
      <w:pPr>
        <w:spacing w:after="0" w:line="119" w:lineRule="exact"/>
        <w:rPr>
          <w:sz w:val="20"/>
          <w:szCs w:val="20"/>
          <w:color w:val="auto"/>
        </w:rPr>
      </w:pPr>
    </w:p>
    <w:p>
      <w:pPr>
        <w:ind w:left="120" w:right="300" w:firstLine="440"/>
        <w:spacing w:after="0" w:line="256" w:lineRule="auto"/>
        <w:rPr>
          <w:sz w:val="20"/>
          <w:szCs w:val="20"/>
          <w:color w:val="auto"/>
        </w:rPr>
      </w:pPr>
      <w:r>
        <w:rPr>
          <w:rFonts w:ascii="Times New Roman" w:cs="Times New Roman" w:eastAsia="Times New Roman" w:hAnsi="Times New Roman"/>
          <w:sz w:val="18"/>
          <w:szCs w:val="18"/>
          <w:color w:val="auto"/>
        </w:rPr>
        <w:t>GlyphAllo is a novel, Glyphed oral prodrug of allopregnanolone designed to increase the oral bioavailability of allopregnanolone. After oral dosing, GlyphAllo is metabolized to the parent API, allopregnanolone, chemically identical to the endogenous neurosteroid, which we believe can overcome safety limitations of synthetic analogs of allopregnanolone. Additionally, we believe GlyphAllo may have additional benefits compared to other MDD drugs, including a rapid onset of action, anxiolytic activity, and sleep-promoting effects. Paired with our expertise in designing and executing neuropsychiatry clinical trials, we believe we can overcome the historical limitations seen in the development of allopregnanolone and its synthetic analogs.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GlyphAllo Phase 1 and Phase 2a Trial in Healthy Volunteers</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As initial proof of concept for GlyphAllo, we conducted a trial in 179 healthy volunteers to evaluate the safety, tolerability and pharmacokinetics of GlyphAllo, which included both Phase 1 and Phase 2a portions. Phase 1 was a multi-part trial with single ascending, multiple ascending, and food effect parts with doses ranging from 70 mg to 1,000 mg daily for up to 7 days. The primary endpoints of the Phase 1 portion of the trial were safety and tolerability. The goal of this trial was to demonstrate that orally dosed GlyphAllo can safely achieve therapeutically relevant exposures and demonstrate pharmacodynamic effects consistent with allopregnanolone activity in the brain.</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Phase 1 trial, we observed that GlyphAllo resulted in dose-dependent levels of allopregnanolone in plasma with no accumulation and minimal evidence of a clinically meaningful food effect. Across dose groups, the estimated time to peak exposure was between three to four hours, and the terminal half-life after single or multiple doses was approximately 24 hours. Unlike synthetic analogs of allopregnanolone that can exhibit delayed elimination rates compared to endogenous allopregnanolone, levels of allopregnanolone dropped to 15% of Cmax by eight hours post-dose following administration of GlyphAllo, which we believe will reduce or eliminate next-day somnolence or drowsiness. Although no head-to-head studies have been conducted, GlyphAllo achieved exposures that are nine-fold greater than those reported without Glyph, reaching therapeutically relevant levels that are comparable to those that occur naturally during the third trimester of pregnancy.</w:t>
      </w:r>
    </w:p>
    <w:p>
      <w:pPr>
        <w:spacing w:after="0" w:line="18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At these therapeutically relevant levels, GlyphAllo also demonstrated pharmacodynamic effects consistent with allopregnanolone activity in the brain (upper panel of figure below). These additional measures include increased beta electroencephalogram, or beta EEG, power versus placebo (lower left panel of figure below) and reduced saccadic eye velocity, or SEV (lower right panel of figure below), at four hours post dose, consistent with the pharmacology of IV allopregnanolone. Both allopregnanolone blood concentrations and brain activity signals peaked at 3-5 hours post-dose and declined by 6-8 hours.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GlyphAllo Provided Therapeutically Relevant Allopregnanolone Exposures and Demonstrated Pharmacodynamic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173990</wp:posOffset>
            </wp:positionV>
            <wp:extent cx="3789045" cy="29832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789045"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0" w:firstLine="440"/>
        <w:spacing w:after="0" w:line="238" w:lineRule="auto"/>
        <w:rPr>
          <w:sz w:val="20"/>
          <w:szCs w:val="20"/>
          <w:color w:val="auto"/>
        </w:rPr>
      </w:pPr>
      <w:r>
        <w:rPr>
          <w:rFonts w:ascii="Times New Roman" w:cs="Times New Roman" w:eastAsia="Times New Roman" w:hAnsi="Times New Roman"/>
          <w:sz w:val="18"/>
          <w:szCs w:val="18"/>
          <w:color w:val="auto"/>
        </w:rPr>
        <w:t>On the primary endpoints of safety and tolerability, GlyphAllo was generally well-tolerated with no serious or severe adverse events, or AEs, including no events of excessive sedation, altered state of consciousness, loss of consciousness, pre-syncope, syncope, falls, or suicidal ideation or behavior. These data were consistent with the safety profile seen in our extensive non-clinical dog toxicity studies. All treatment-related AEs were transient, mild or moderate, and were consistent with the known pharmacology profile of allopregnanolone. These events were generally dose- and time-dependent, occurring more frequently at high doses and early in dosing. The most common AE was mild and transient somnolence, an on-target effect of GABA</w:t>
      </w:r>
      <w:r>
        <w:rPr>
          <w:rFonts w:ascii="Times New Roman" w:cs="Times New Roman" w:eastAsia="Times New Roman" w:hAnsi="Times New Roman"/>
          <w:sz w:val="26"/>
          <w:szCs w:val="26"/>
          <w:color w:val="auto"/>
          <w:vertAlign w:val="subscript"/>
        </w:rPr>
        <w:t>A</w:t>
      </w:r>
      <w:r>
        <w:rPr>
          <w:rFonts w:ascii="Times New Roman" w:cs="Times New Roman" w:eastAsia="Times New Roman" w:hAnsi="Times New Roman"/>
          <w:sz w:val="18"/>
          <w:szCs w:val="18"/>
          <w:color w:val="auto"/>
        </w:rPr>
        <w:t>. Furthermore, Stanford Sleepiness Score, or SSS, scores returned to baseline by six hours post-dosing, and this effect decreased after Day 1.</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Based on the demonstration of therapeutically relevant plasma exposures of allopregnanolone and pharmacodynamic markers of allopregnanolone activity in the brain observed in Phase 1, we evaluated an active, well-tolerated dose of GlyphAllo in an initial proof-of-concept trial in healthy volunteers. As allopregnanolone is an anti-stress hormone and has demonstrated clinical efficacy in PPD, a form of major depression that is also characterized by high anxiety, we conducted a Phase 2a initial proof-of-concept trial in Australia using a validated clinical model of anxiety in healthy volunteers called the Trier Social Stress Test, or TSST. This randomized, double-blind, placebo-controlled trial evaluated a single dose of GlyphAllo (375 mg) or placebo given in the morning to 80 healthy volunteers. The TSST involves preparing a speech and delivering it in front of a panel of judges, followed by a mental math test judged by the panel. Typically, participants will have a robust increase in salivary cortisol, the body’s primary stress hormone, in response to the TSST.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40"/>
          </w:cols>
          <w:pgMar w:left="320" w:top="455" w:right="4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Design of Phase 2a Trial of GlyphAllo Using the TSST in Healthy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173990</wp:posOffset>
            </wp:positionV>
            <wp:extent cx="5212080" cy="21513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21208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this trial, individuals receiving placebo exhibited a robust increase in salivary cortisol in response to the TSST. In contrast, this increase in the physiological stress response was potently blunted by a single dose of GlyphAllo, with a p-value of 0.0001, meeting the primary endpoint. To date, the only compound to demonstrate reduced salivary cortisol levels in response to the TSST is alprazolam, a benzodiazepine that has been marketed as Xanax.</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GlyphAllo Potently Blunted Salivary Cortisol Response to the TSST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97155</wp:posOffset>
            </wp:positionV>
            <wp:extent cx="3703320" cy="28371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70332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Self-reported assessments of anxiety were also collected using the State-Trait Anxiety Inventory which confirmed that the TSST transiently and modestly increased self-reported anxiety in both the placebo and GlyphAllo groups. These results are consistent with previous data showing that healthy volunteers are less likely to</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00"/>
          </w:cols>
          <w:pgMar w:left="320" w:top="455" w:right="4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self-report anxiety symptoms following the TSST compared to patients with an anxiety disorder, who may experience a heightened negative psychological response to social stress. These results are also consistent with previously published self-reported assessments during the TSST using known anxiolytic drugs such as alprazolam in healthy volunteers, in which self-reported anxiety increased in both drug and placebo groups in response to the TSST. Treatment-emergent related adverse events occurring at &gt;5% were somnolence (29% GlyphAllo vs. 13% placebo) dizziness (20% GlyphAllo vs. 3% placebo), and headache (7.3% GlyphAllo vs. 7.7% placebo), all of which were transient and mild or moderate in severity. No treatment-related severe or serious adverse events (AEs) were reported. The results of these Phase 1 and Phase 2a trials support the continued development of GlyphAllo as a potential medicine for MDD with or without anxious distress.</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GlyphAllo Phase 2b BUOY-1 Trial in MDD</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July 2025, we initiated the Phase 2b BUOY-1 trial of GlyphAllo in the United States and the EU in adults with MDD with or without anxious distress. BUOY-1 is a global, randomized, double-blind, placebo-controlled trial with an open-label extension to evaluate the efficacy, safety, and tolerability of GlyphAllo. Patients will be randomized to GlyphAllo or placebo during the double-blind period. In the active treatment arm, GlyphAllo will be administered once daily at bedtime at flexible fixed doses ranging from 125 mg to 375 mg. On Day 42, patients completing the double-blind period will be eligible to enter a six-week open label extension, or OLE, trial.</w:t>
      </w:r>
    </w:p>
    <w:p>
      <w:pPr>
        <w:spacing w:after="0" w:line="17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Design of Phase 2b BUOY-1 Trial of GlyphAllo in MDD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173990</wp:posOffset>
            </wp:positionV>
            <wp:extent cx="5212080" cy="13970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212080"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expect topline data from the Phase 2b BUOY-1 trial in        . Based on the results of our Phase 2b clinical trial, we intend to consult with the FDA about the potential to use this trial to support our registrational filing for MDD.</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Opportunities to Expand the Potential for GlyphAllo in MDD and Other Indications</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While the development and commercialization of GlyphAllo for the treatment of MDD with or without anxious distress is our primary focus, we plan to evaluate GlyphAllo in additional indications as part of our longer-term growth strategy. For instance, since allopregnanolone is a rapidly acting antidepressant with anxiolytic and sleep-promoting effects, we may also evaluate GlyphAllo as a treatment for other stress-related mood and anxiety disorders.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GlyphAgo: Potential Differentiated Therapy for GAD</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GlyphAgo is a novel, Glyphed oral prodrug of agomelatine that we are developing for the treatment of GAD. We are currently progressing a key Phase 1 proof-of-concept trial of GlyphAgo in Australia in healthy volunteers in which we plan to enroll up to approximately 190 participants. Agomelatine, a clinically validated melatonin receptor agonist and serotonin 2C receptor antagonist, is an effective anxiolytic and antidepressant approved for the treatment of GAD in Australia and MDD in Australia and the EU. With GlyphAgo, we aim to</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00"/>
          </w:cols>
          <w:pgMar w:left="320" w:top="455" w:right="5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achieve the exposure levels of agomelatine that are effective in GAD, but at a lower dose that reduces or eliminates the need for liver function testing, while creating new composition of matter 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131445</wp:posOffset>
            </wp:positionV>
            <wp:extent cx="5194935" cy="22288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9493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Background on GAD and Market Opportunity</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According to the World Health Organization, anxiety disorders affect 359 million people worldwide, as of 2021. Of these, 100 million adults suffer from GAD, including more than seven million adults in the United States, according to JAMA Psychiatry as of 2017. As there have been no new approved therapies for GAD in almost two decades, and the current standards of care for GAD are characterized by modest efficacy, slow onset, and/or unfavorable side effects, there is a significant unmet need for novel treatments. GAD results in excessive, obsessive, and continuous stress to the point where patients are incapable of living normal lives or carrying out standard daily routines. GAD patients typically have uncontrollable symptoms of restlessness, fatigue, inability to focus, irritability, muscle tension, and sleep disturbance. GAD places substantial strain on the broader healthcare system, with patients with GAD having more than twice as many health care visits and almost nine times more mental health care visits than those without GAD.</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Current Standard of Care and Limitations in GAD</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According to the Anxiety &amp; Depression Association of America, as of 2025, more than approximately half of GAD patients do not receive treatment, and those that do typically are prescribed SSRI or SNRI agents, which can have significant AEs including weight gain, sexual dysfunction, emotional blunting, and insomnia. These AEs, coupled with the observation that only half of patients respond to these medications, lead many patients to pursue augmentation therapies including benzodiazepines, buspirone, gabapentin, mirtazapine, or antipsychotics—each with its own risks. For example, benzodiazepines are widely used and can result in dependence and abuse in just a few weeks. Despite this, approximately 1 in 8 adults in the United States use benzodiazepines each year.</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Clinical Validation of Agomelatine in GAD</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Agomelatine is a clinically validated anxiolytic and antidepressant and is approved in Australia for the treatment of GAD. Agomelatine has demonstrated clinical efficacy compared to placebo in four out of four third-party, randomized, placebo-controlled studies in GAD, and its efficacy in GAD is better than standard-of-care drugs like benzodiazepines or SSRIs. These studies demonstrate a favorable efficacy and tolerability profile, with the only key exception being dose-dependent elevations in liver enzymes in a small but notable percentage of patients. As a result, frequent liver function testing is required prior to and during use of agomelatine. Agomelatine is also approved in the EU and Australia for the treatment of MDD, but it has never been approved in the United States.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60"/>
          </w:cols>
          <w:pgMar w:left="320" w:top="455" w:right="5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favorable efficacy and safety profile of agomelatine in GAD is supported by a recent meta-analysis of 22 pharmacological treatments evaluated in randomized trials of adult outpatients with GAD. This non-head-to-head, literature meta-analysis, which was based on data collected from 25,441 patients across 89 trials, found that agomelatine demonstrated superior efficacy compared to SSRIs and benzodiazepines. In addition, agomelatine demonstrated a superior tolerability profile compared to both benzodiazepines, which have abuse potential, and SSRIs, which can have significant AEs, including insomnia, sexual dysfunction, emotional blunting, weight gain, and even withdrawal symptoms in the event of discontinuation.</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Moreover, agomelatine’s favorable tolerability profile consists of no statistically significant difference in overall adverse events or dropout rate and no association with clinically significant somnolence compared to placebo. Agomelatine does not cause sexual dysfunction. Specifically, no deleterious effect on sexual function was observed during agomelatine treatment over 12 or 24-week treatment periods in a specific sexual dysfunction comparative trial in remitted depressed patients. Agomelatine also does not exhibit the “hangover” effects (e.g., lethargy, fatigue, decreased motivation, anxiety, etc.) caused by various antidepressants and antipsychotics. Agomelatine also improves sleep latency, sleep architecture, and daytime sleepiness compared to SSRIs, which can worsen sleep and cause insomnia. This makes agomelatine well-suited for GAD, where sleep disturbance is a core symptom.</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Despite the superior tolerability profile of agomelatine, clinical uptake has been limited by the requirement for frequent liver function monitoring. Due to extensive first-pass liver metabolism, the oral bioavailability of agomelatine is very low (~1%), and the frequency of liver transaminase elevations with agomelatine treatment is two to five-fold greater than placebo. As a result, patients in Australia and the EU—where agomelatine is approved—are required to undergo frequent liver function tests. Specifically, liver function tests must be performed before starting treatment, after 3, 6, 12, and 24 weeks, and when increasing dose. This burdensome liver testing, combined with a lack of patent protection, has limited clinical and commercial adoption of agomelatine.</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Glyph enables bypass of liver first-pass metabolism, improving oral bioavailability and enabling the potential to achieve therapeutic exposures at a lower dose. As the increases in liver transaminase levels observed with agomelatine are dose-dependent, our goal is to achieve the exposure levels of agomelatine that are effective in GAD, but at a higher bioavailability and thus lower dose that reduces or eliminates the need for liver function testing. Based on internal analyses, we believe a two-fold increase in the bioavailability of agomelatine will reduce or eliminate liver enzyme elevations.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Agomelatine Can Cause Dose-Dependent Liver Enzyme Elevations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173990</wp:posOffset>
            </wp:positionV>
            <wp:extent cx="5023485" cy="31546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023485"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GlyphAgo in Preclinical Studies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validation for GlyphAgo and further validation for our Glyph platform, we conducted in vivo studies in NHPs to evaluate the potential for GlyphAgo to achieve therapeutic exposure levels at a lower dose that may reduce or eliminate the need for liver function testing. In these studies, we dosed NHPs with either GlyphAgo or an equivalent (i.e., equimolar) amount of agomelatine alone. GlyphAgo was shown to enhance lymphatic absorption and provide significantly higher systemic exposures of agomelatine compared to agomelatine alone. Oral dosing of GlyphAgo in a rat model resulted in over 50% of agomelatine being transported through the mesenteric lymphatics versus less than 1% for orally dosed agomelatine alone. Following administration of agomelatine alone, levels of agomelatine in plasma were below the limit of quantification, consistent with the low oral bioavailability of agomelatine in humans and NHPs (Valdoxan EPAR). In contrast, administration of GlyphAgo substantially increased plasma exposures of agomelatine compared with agomelatine alone, demonstrating the potential of GlyphAgo to achieve therapeutic exposures of agomelatine while minimizing the dose impacting the liver.</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60"/>
          </w:cols>
          <w:pgMar w:left="320" w:top="455" w:right="5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GlyphAgo Substantially Increased Plasma Agomelatine Levels in Non-Human Primates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173990</wp:posOffset>
            </wp:positionV>
            <wp:extent cx="3737610" cy="33858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737610" cy="338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Following the therapeutic exposures achieved with GlyphAgo in our NHP studies, we modelled the clinical implications of these data with respect to potential liver enzyme elevations using DILIsym, an analytical, computational model-based software capable of predicting and explaining Drug-Induced Liver Injury, or DILI. The FDA uses and cites DILIsym in drug approvals as the standard software for the quantitative prediction and investigation of DILI.</w:t>
      </w:r>
    </w:p>
    <w:p>
      <w:pPr>
        <w:spacing w:after="0" w:line="180"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One useful output of DILIsym is an eDISH (Evaluation of Drug-Induced Serious Hepatotoxicity) plot. eDISH plots are a standard way that the FDA evaluates liver safety of new drug candidates in clinical trials. eDISH graphs the peak serum alanine aminotransferase (ALT; a liver enzyme) value and peak serum bilirubin value observed in each patient (or simulated patient) in a clinical trial along the x-axis and y-axis, respectively. Each patient (or simulated patient) is represented by a single point on the graph, and liver enzyme elevations (&gt;3x upper limit of normal) are indicated by the presence of points on the right half of the graph. We first simulated the relationship between agomelatine dose and liver enzyme elevations using available clinical data for two approved doses of agomelatine (25 and 50 mg). Next, we simulated potential liver enzyme elevations following administration of GlyphAgo at doses designed to generate comparable systemic exposures of agomelatine, using assumptions derived from our in vivo study in NHPs described above. The results are shown in the four eDISH plots below. The eDISH plots in the upper row represent approved doses of agomelatine (25 mg and 50 mg) and recapitulate the liver enzyme elevations observed in previous clinic trials of agomelatine. The eDISH plots in the lower row represent doses of GlyphAgo with enhanced bioavailability and thus lower doses of agomelatine, which in contrast show no liver enzyme elevations.</w:t>
      </w:r>
    </w:p>
    <w:p>
      <w:pPr>
        <w:spacing w:after="0" w:line="1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DILIsym Simulations Demonstrate that GlyphAgo is Not Projected to Cause Liver Enzyme Elevations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173990</wp:posOffset>
            </wp:positionV>
            <wp:extent cx="5212080" cy="32143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212080"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Therefore, our DILIsym simulations demonstrated that, with conservative estimates, clinically relevant doses of GlyphAgo are not projected to cause liver enzyme elevations.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Clinical Development Plan of GlyphAgo in GAD</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advancing a Phase 1 proof-of-concept trial of GlyphAgo in healthy adult volunteers in which we plan to enroll up to approximately 190 participants, that we believe has the potential to be proof of concept, in addition to addressing key development questions for the GlyphAgo program. In this trial, we aim to demonstrate that GlyphAgo can achieve exposure levels that have demonstrated efficacy in GAD at a lower dose that does not cause an increase in liver enzymes and reduces or eliminates the need for liver function testing. This Phase 1 trial will be conducted in multiple parts to evaluate the safety, tolerability, and pharmacokinetics of GlyphAgo compared to agomelatine. The primary endpoints will be safety, tolerability, and pharmacokinetics. It will include single- and multiple-ascending dose phases, as well as a food-effect crossover portion, using both open-label and placebo-controlled designs. We expect topline data in           .</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Opportunities to Expand the Potential for GlyphAgo in GAD and Other Indications</w:t>
      </w:r>
    </w:p>
    <w:p>
      <w:pPr>
        <w:spacing w:after="0" w:line="119"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Although the development and commercialization of GlyphAgo for the treatment of GAD is our primary focus, as part of our longer-term growth strategy, we may evaluate GlyphAgo in other indications as well, including MDD. Indeed, agomelatine is approved for MDD in Australia and the EU, but it is constrained by similar liver function testing requirements in MDD as well. As agomelatine also improves sleep latency, sleep quality, and daytime sleepiness compared to SSRIs, which can worsen sleep and cause insomnia, we may also evaluate GlyphAgo for the treatment of insomnia.</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00"/>
          </w:cols>
          <w:pgMar w:left="320" w:top="455" w:right="4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Glyph2BLSD: Non-Hallucinogenic Neuroplastogen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Glyph2BLSD is our novel, Glyphed oral prodrug of the non-hallucinogenic neuroplastogen 2-bromo-LSD, which we are developing for the treatment of depressive disorders, including TRD, PTSD, and headache disorders with significant unmet need. Neuroplastogens are compounds that enhance neuroplasticity, the brain’s ability to form, reorganize, and strengthen neural connections, and include psychedelics and ketamine. They offer the potential to repair disrupted brain circuits and have demonstrated efficacy for treating neuropsychiatric disorders. However, significant challenges remain, including functional unblinding of clinical trials due to the production of hallucinations and sensory disturbances, the accompanying need for supervised administration, and concerns over long-term safety, such as the risk of fibrosis. Leveraging our Glyph platform, we have designed Glyph2BLSD to harness the differentiated and non-hallucinogenic profile of 2-bromo-LSD, which has rapidly acting clinical activity and is not expected to exhibit the risks of fibrosis, cardiovascular effects, or hallucinations characteristic of some other neuroplastogens. With Glyph2BLSD, we aim to improve the pharmacokinetic and tolerability profile of 2-bromo-LSD while maintaining therapeutic exposure levels, and enable the execution of placebo-controlled trials, outpatient dosing, and an enhanced dosing regimen to optimize efficacy.</w:t>
      </w:r>
    </w:p>
    <w:p>
      <w:pPr>
        <w:spacing w:after="0" w:line="3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Clinical Development Plan of Glyph2BLSD</w:t>
      </w:r>
    </w:p>
    <w:p>
      <w:pPr>
        <w:spacing w:after="0" w:line="119"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We are currently conducting first-in-human-enabling studies of Glyph2BLSD. We expect to initiate a Phase 1 trial to evaluate the safety, tolerability, and pharmacokinetics of Glyph2BLSD in healthy volunteers in           .</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Potential Indications for Glyph2BLSD</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Approximately 3 million adults in the United States have TRD, according to The Journal of Clinical Psychiatry, as of 2021. Unlike MDD, which, according to the National Institute of Mental Health, as of 2021, impacts an estimated 21 million adults annually, TRD is characterized by the failure to achieve an adequate response after two or more antidepressant treatments. Patients with TRD face severe challenges, including a significantly lower likelihood of responding to subsequent therapies, a reduced quality of life, and an increased risk of attempting suicide, more than double the rate seen in non-resistant depression. Many of these individuals experience chronic disability, relying heavily on social support systems.</w:t>
      </w:r>
    </w:p>
    <w:p>
      <w:pPr>
        <w:spacing w:after="0" w:line="183"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PTSD affects approximately 12 million individuals in the United States and is also characterized by significant unmet need. There are currently only two approved therapies for PTSD, both of which are SSRIs. We believe Glyph2BLSD has the potential to restore function and improve outcomes to address the significant unmet medical need in TRD and PTSD.</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Trigeminal autonomic cephalalgias, notably cluster headaches, are severe neurological conditions linked to the trigeminal nerve. Cluster headaches affect approximately 150,000 patients in the United States and cause the most severe pain known to humans, greater than labor pain or gunshot wounds. Individuals with cluster headache experience intense pain and autonomic symptoms including eye watering, swelling, and redness, as well as nose congestion. Headache attacks may last for up to 3 hours per episode and occur up to 8 times a day, disrupting patients’ lives. Cluster headache has also been called “suicide headache” due to the increased risk of suicide during headache periods.</w:t>
      </w:r>
    </w:p>
    <w:p>
      <w:pPr>
        <w:spacing w:after="0" w:line="183"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A small trial by Karst et al. showed that three doses of 2-bromo-LSD over a 10-day period significantly reduced the frequency and intensity of chronic cluster headaches, with effects lasting weeks to months. Importantly, the treatment did not induce hallucinations, making it a safer alternative to traditional psychedelics. While the trial was not placebo-controlled, and thus requires additional clinical investigation, we believe that Glyph2BLSD has the potential to optimize the pharmacokinetics of 2-bromo-LSD to ensure precise and sustained dosing, while preserving its non-hallucinogenic profile.</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a clinical-stage therapeutics company focused on inventing and developing novel medicines for patients with depression, anxiety, and other debilitating neuropsychiatric disorders. While we believe our Glyph platform can produce small molecules that offer an attractive alternative to branded and generic therapeutics treating neuropsychiatric diseases if they are approved, today we face competition from major pharmaceutical and biopharmaceutical companies, academic institutions, governmental agencies, consortiums, and public and private research institutions, among others. Many of our potential competitors, either alone or with collaboration partners, have significantly greater financial resources than we do, as well as equal or greater experience in the discovery and development of product candidates, obtaining FDA and other regulatory approvals of products, and the commercialization of those products. Accordingly, our potential competitors may be more successful than we are in achieving regulatory approvals and commercializing their neuropsychiatric products.</w:t>
      </w:r>
    </w:p>
    <w:p>
      <w:pPr>
        <w:spacing w:after="0" w:line="19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believe the key competitive factors affecting the success of our lead product candidates GlyphAllo and GlyphAgo, that we are developing to address MDD and GAD, respectively, if approved, are likely to be efficacy, safety, and frequency of dosing, convenience, price, the level of generic competition, and the availability of reimbursement from government and other third-party payors.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developing GlyphAllo for the treatment of MDD. We believe, if approved, that GlyphAllo would compete with several currently approved therapeutics, including: Caplyta and Spravato (marketed by Janssen Pharmaceuticals), Vraylar (AbbVie and Gideon Richert Plc.), Trintellix (Takeda Pharmaceuticals and Lundbeck), Auvelity (Axsome Therapeutics), and Rexulti and Abilify (Ostuka Pharmaceuticals). We are also aware of multiple potentially competitive late-clinical-stage assets, including azetukalner (Xenon Pharmaceuticals), ALTO-300 and ALTO-203 (Alto Neuroscience) and CYB003 (Cybin). We also face competition from branded and generic atypical antipsychotics and SSRI/SNRIs.</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are developing GlyphAgo for the treatment of GAD. We believe, if approved, that GlyphAgo would compete with several currently marketed therapeutics, including: Lyrica and Buspirone (marketed by Viatris) and marketed generic SSRI/SNRIs and benzodiazepines. In relation to both GlyphAgo and Glyph2BLSD, we are also aware of multiple potentially competitive late-clinical-stage assets, including an LSD program (Mind Medicine, MindMed), ENX-102 (Engrail Therapeutics), CYB004 (Cybin), and non-hallucinogenic neuroplastogens (Gilgamesh Pharma and AbbVie).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strive to protect the proprietary technology, inventions and improvements that are commercially important to the development of our business, by seeking, maintaining and standing ready to defend patent rights, whether developed internally or licensed from third parties. We also rely on trademarks, trade secrets and other intellectual property rights relating to our proprietary Glyph platform and product candidates, and on continuing technological innovation and in-licensing opportunities to develop, strengthen and maintain our proprietary and intellectual property position. We may also rely on regulatory and other protections afforded through data and marketing exclusivities, where available.</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seek to protect the intellectual property and proprietary technology that we consider important to our business by pursuing patent applications that cover our technologies (including the Glyph platform) and product candidates and methods of using the same, as well as any other relevant inventions and improvements that are considered commercially important to the development of our business. We likewise seek to protect the intellectual property to which we obtain rights through licenses and sublicenses and work collaboratively with our licensors to ensure patent prosecution and protection. Our commercial success depends in part upon our ability to obtain and maintain patent and other proprietary protection for our product candidates, commercially important technologies (including the Glyph platform), inventions and trade secrets related to our business, defend and enforce our intellectual property rights, particularly our patent rights and any patents we may own or in-license in the future, preserve the confidentiality of our trade secrets and operate without infringing valid and enforceable intellectual property rights of others.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80"/>
          </w:cols>
          <w:pgMar w:left="320" w:top="455" w:right="4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patent positions for therapeutics companies like us are generally uncertain and can involve complex legal, scientific and factual issues. In addition, the coverage claimed in a patent application can be significantly reduced before a patent is issued, and its scope can be reinterpreted and even challenged after issuance. As a result, we cannot guarantee that any of our product candidates will be protectable or remain protected by enforceable patents that we own or in-license now or in the future.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Notwithstanding the scope of the patent protection available to us, a competitor could develop competitive technologies and products that are not covered by our patents, and we may be unable to stop such competitor from commercializing such technologies and products.</w:t>
      </w:r>
    </w:p>
    <w:p>
      <w:pPr>
        <w:spacing w:after="0" w:line="192" w:lineRule="exact"/>
        <w:rPr>
          <w:sz w:val="20"/>
          <w:szCs w:val="20"/>
          <w:color w:val="auto"/>
        </w:rPr>
      </w:pPr>
    </w:p>
    <w:p>
      <w:pPr>
        <w:ind w:left="120" w:right="160" w:firstLine="440"/>
        <w:spacing w:after="0" w:line="273" w:lineRule="auto"/>
        <w:rPr>
          <w:sz w:val="20"/>
          <w:szCs w:val="20"/>
          <w:color w:val="auto"/>
        </w:rPr>
      </w:pPr>
      <w:r>
        <w:rPr>
          <w:rFonts w:ascii="Times New Roman" w:cs="Times New Roman" w:eastAsia="Times New Roman" w:hAnsi="Times New Roman"/>
          <w:sz w:val="17"/>
          <w:szCs w:val="17"/>
          <w:color w:val="auto"/>
        </w:rPr>
        <w:t>Our patent portfolio includes a combination of patents and pending patent applications solely owned by us or co-owned with Monash University where Monash University’s rights are exclusively licensed to us, and patents and pending patent applications owned by Monash University that are exclusively licensed to us. As of January 15, 2026, our owned and exclusively licensed patent estate contains eleven patent families comprising five issued U.S. patents, thirteen issued patents in Australia, Canada, China, Europe (validated in Great Britain and through a Unitary Patent in Austria, Belgium, Bulgaria, Denmark, Estonia, Finland, France, Germany, Italy, Latvia, Lithuania, Luxembourg, Malta, Netherlands, Portugal, Romania, Slovenia, and Sweden), Japan and New Zealand, seven pending U.S. non-provisional patent applications, two allowed European applications, 37 pending patent applications in various jurisdictions outside of the U.S., as further described below, and four pending PCT international applications.</w:t>
      </w:r>
    </w:p>
    <w:p>
      <w:pPr>
        <w:spacing w:after="0" w:line="2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GlyphAllo Program</w:t>
      </w:r>
    </w:p>
    <w:p>
      <w:pPr>
        <w:spacing w:after="0" w:line="11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addition to the Glyph platform patents and applications discussed below, as of January 15, 2026, with regard to the GlyphAllo program, we co-own with and exclusively license from Monash University one issued U.S. patent relating to composition of matter coverage of GlyphAllo, which is expected to expire in 2041. We also co-own with and exclusively license from Monash University three pending U.S. non-provisional patent applications, one allowed European application, one allowed Japanese application and 19 pending patent applications in Australia, Canada, China, Europe, Hong Kong, India, Israel, Japan, Korea, New Zealand, and Singapore, relating to the composition of matter and methods of treatment which, if issued, will be expected to expire between 2039 and 2041. The foregoing expiration dates may not account for potentially available patent term adjustments or extensions and terminal disclaimers, and assume payment of all appropriate maintenance, renewal, and annuity fees.</w:t>
      </w:r>
    </w:p>
    <w:p>
      <w:pPr>
        <w:spacing w:after="0" w:line="18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also solely own two international patent applications filed under the Patent Cooperation Treaty (PCT), one directed to methods of treating MDD with and without anxious distress using our GlyphAllo product candidate and the other directed to an intermediate for GlyphAllo. We expect that any issued patents claiming priority to these applications will expire in 2044, without taking into account any possible patent term adjustments or extensions and if all maintenance and annuity fees are paid.</w:t>
      </w:r>
    </w:p>
    <w:p>
      <w:pPr>
        <w:spacing w:after="0" w:line="180"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Neither we nor any other Company has composition of matter patent protection on the parent molecule or the unmodified, non-glyphed form of allopregnanolone. Allopregnanolone, a naturally occurring neuroactive steroid, has no composition-of-matter patent protection in the United States or globally.</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GlyphAgo Program</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Glyph platform patents and applications discussed below, we also solely own one international patent application filed under the PCT, directed to the composition of matter of our GlyphAgo product candidate and its use. We expect that any issued patents claiming priority to the international patent application will expire in 2044, without taking into account any possible patent term adjustments or extensions and if all maintenance and annuity fees are paid.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Neither we nor any other Company has composition of matter patent protection on the parent molecule or the unmodified, non-glyphed form of agomelatine. The composition-of-matter patents for agomelatine have expired in the United States and worldwide between 2010 and 2012.</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Glyph2BLSD Program</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Glyph platform patents and applications discussed below, we also solely own one international patent application filed under the PCT, directed to the composition of matter of our Glyph2BLSD product candidate and its use. We expect that any issued patents claiming priority to this international patent application will expire in 2044, without taking into account any possible patent term adjustments or extensions and if all maintenance and annuity fees are paid.</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Glyph Platform</w:t>
      </w:r>
    </w:p>
    <w:p>
      <w:pPr>
        <w:spacing w:after="0" w:line="11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With regard to the Glyph platform, we exclusively license from Monash University two issued U.S. patents, twelve issued patents in Australia, Canada, China, Europe (validated in Great Britain and through a Unitary Patent in Austria, Belgium, Bulgaria, Denmark, Estonia, Finland, France, Germany, Italy, Latvia, Lithuania, Luxembourg, Malta, Netherlands, Portugal, Romania, Slovenia and Sweden), Japan, and New Zealand, and one allowed European patent application, relating to platform coverage of GlyphAllo, GlyphAgo and Glyph2BLSD, as well as design-around coverage, which are expected to expire between 2035 and 2037. We also exclusively license from Monash University three pending U.S. non-provisional patent applications and 15 pending patent applications in Australia, Canada, China, Europe, Hong Kong, Japan, and New Zealand, relating to platform coverage of GlyphAllo, GlyphAgo and Glyph2BLSD, as well as design-around coverage, which are expected to expire between 2035 and 2036 We also co-own and exclusively license from Monash University one issued U.S. patent, two pending U.S. non-provisional patent applications and four pending patent applications in Australia, Canada, Europe, and Hong Kong, relating to platform coverage of Glyph2BLSD, as well as design-around coverage, which are expected to expire in 2039. The foregoing expiration dates may not account for potentially available patent term adjustments or extensions and terminal disclaimers, and assume payment of all appropriate maintenance, renewal, and annuity fees.</w:t>
      </w:r>
    </w:p>
    <w:p>
      <w:pPr>
        <w:spacing w:after="0" w:line="192"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the patent term is 20 years from the earliest date of filing a non-provisional patent application. In the United States, a patent’s term may be lengthened by patent term adjustment, which compensates a patentee for administrative delays by the United States Patent and Trademark Office in examining and granting a patent, or may be shortened if a patent is terminally disclaimed over an earlier expiring patent. Our patent applications may not issue as patents, and even if issued, the scope or term of any issued patent may not afford sufficient protection or competitive advantage to our existing or future products. See the section titled “Risk Factors—Risks related to our intellectual property” for a more comprehensive description of risks related to our intellectual property.</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United States, the term of a patent covering an FDA-approved drug may be eligible for a patent term extension under the Hatch-Waxman Act as compensation for the loss of patent term during the FDA regulatory review process. The period of extension may be up to five years beyond the expiration of the patent, but cannot extend the remaining term of a patent beyond a total of 14 years from the date of product approval. Only one patent among those eligible for an extension may be extended, and a given patent may only be extended once. Similar provisions are available in Europe and in certain other jurisdictions to extend the term of a patent that covers an approved drug. If our product candidates receive FDA approval, we intend to apply for patent term extensions, if available, to extend the term of patents that cover the approved product candidates. We also intend to seek patent term extensions in any jurisdictions where they are available, however, there is no guarantee that the applicable authorities, including the FDA, will agree with our assessment of whether such extensions should be granted, and even if granted, the length of such extensions.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of January 15, 2026, we have no outstanding litigation related to our intellectual property nor any threat to initiate claims against us. In the future, we may need to engage in litigation to enforce patents issued or licensed to us, to protect our trade secrets or know-how or to defend against claims of infringement of the rights of others. Such litigation could be costly and could divert our attention from other functions and responsibilities. We may not receive adequate remedies even if we prevail in such litigation and adverse determinations could subject us to significant liabilities to third parties, which could severely harm our business. See the section titled “Risk Factors—Risks related to our intellectual property” for a more comprehensive description of risks related to our intellectual property.</w:t>
      </w:r>
    </w:p>
    <w:p>
      <w:pPr>
        <w:spacing w:after="0" w:line="187"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Although we rely on intellectual property rights, including patents, trademarks and trade secrets, as well as contractual protections to establish and protect our proprietary rights, we believe that factors such as the technological and creative skills of our personnel, creation of new solutions, features and functionality, and frequent enhancements to our platform are also essential to establishing and maintaining our technology leadership position.</w:t>
      </w:r>
    </w:p>
    <w:p>
      <w:pPr>
        <w:spacing w:after="0" w:line="158"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to patent protection, we also rely on know-how and trade secret protection for our proprietary information to develop and maintain our proprietary position. However, trade secrets can be difficult to protect. Although we take steps to protect our proprietary information, including restricting and monitoring access to our premises and our confidential information, as well as entering into agreements with our employees, consultants, advisors and potential collaborators, third parties may independently develop the same or similar proprietary information or may otherwise gain access to our proprietary information. As a result, we may be unable to meaningfully protect our know-how and trade secret information. See the section titled “Risk Factors—Risks related to our intellectual property” for a more comprehensive description of risks related to our intellectual property.</w:t>
      </w:r>
    </w:p>
    <w:p>
      <w:pPr>
        <w:spacing w:after="0" w:line="187"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In addition, we plan to rely on regulatory protection based on orphan drug exclusivities, data exclusivities, and market exclusivities. See the section titled “—Government Regulation” for additional information.</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Further, we have and will continue to pursue trademark protection for our company name and brand. As of January 27, 2026, we own eighteen pending trademark applications in the United States and foreign jurisdictions, including four allowed trademarks in the United States.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Asset Transfer Agreement with PureTech</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April 2024, we entered into an Asset Transfer Agreement, as amended in December 2025, or the Asset Transfer Agreement, with PureTech Health LLC, or PureTech Health, and PureTech LYT, Inc., or PureTech LYT, pursuant to which PureTech Health and PureTech LYT agreed to contribute, convey, assign, transfer, and deliver to us all of PureTech Health’s and PureTech LYT’s right, title, and interest in, to, and under the assets related to its Glyph technology or products, including the Monash License Agreement and the exclusive patents thereunder, subject to the terms set forth in the Asset Transfer Agreement. In exchange, we issued 40,000,000 shares of our Series A-1 convertible preferred stock and 949,000 shares of our common stock to PureTech LYT.</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Asset Transfer Agreement, we have agreed to make milestone payments for the first product covered by assets transferred through the Asset Transfer Agreement, or the first Seaport Glyph Product, of $2.0 million for the first patient dosed in the first phase 3 clinical trial, $4.0 million for the first commercial sale in the United States, $2.0 million for the first commercial sale in a major European market, and $2.0 million for the first commercial sale in Japan, and for each subsequent Seaport Glyph Product, we have agreed to make milestone payments of $1.0 million for the first patient dosed in the first phase 3 clinical trial, $2.0 million for the first commercial sale in the United States, $1.0 million for the first commercial sale in a major European market, and $1.0 million for the first commercial sale in Japan. In addition, we are obligated to pay royalties between 3% and 5% on the annual net sales of each Seaport Glyph Product as follows: less than $500 million: 3%; $500 million to $1 billion: 3.5%; $1 billion to $2.5 billion: 4%; $2.5 billion to $3.5 billion: 4.5%; $3.5 billion or greater: 5%. The royalty term will expire on a country-by-country basis as to each Seaport Glyph Product on the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later of the ten year anniversary of the first commercial sale of such Seaport Glyph Product in such country or the date on which the last valid claim of patent rights of such Seaport Glyph Product expires in such country.</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the event we license or sublicense to a third-party a product directed to an indication that is primarily affecting or manifesting in the brain, spinal cord, or peripheral nervous system (with the exception of and not including the enteric nervous system), including neurological, psychiatric, neuropsychiatric, pain, mental, and behavioral indications made using our Glyph platform under the Glyph intellectual property, transferred to us through the Asset Transfer Agreement, we have also agreed to pay a percentage of net income we receive from such third party under such a license within the range of 5%-7.5% and adjusted depending on the date such a license is granted, with the amount to be paid subject to certain reductions. Any such amount of net income are creditable against royalty payments.</w:t>
      </w:r>
    </w:p>
    <w:p>
      <w:pPr>
        <w:spacing w:after="0" w:line="187"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Under the Asset Transfer Agreement, PureTech may from time to time request that we grant it a license under the Glyph technology to utilize certain products directed to an indication that is not primarily affecting or manifesting in the brain, spinal cord, or peripheral nervous system (such as, for example, neurological, psychiatric, neuropsychiatric, pain, mental, and behavioral indications) under license terms that have already been agreed to by PureTech and us in the Asset Transfer Agreement; provided that such products (i) are not subject to an agreement, or we are not actively engaged in negotiations, with a third party that would prevent us from granting such license, (ii) are not the subject of an internal research and development program, and (iii) have not been demonstrated or under experimental investigation by us to be potentially useful as a therapeutic for any disease, disorder, or condition primarily affecting or manifesting in the brain, spinal cord, or peripheral nervous system. PureTech’s right to request such a license terminates upon a change of control of either PureTech or us.</w:t>
      </w:r>
    </w:p>
    <w:p>
      <w:pPr>
        <w:spacing w:after="0" w:line="19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Other than the upfront equity grant, we have not made any payments to date pursuant to the Asset Transfer Agreement. Should we sell our first controlled affiliate that has exclusive rights to utilize any Seaport Glyph Product, we will be obligated to pay a low double-digit percentage, within the range of 5% to 15%, of the value of the aggregate amount of all change of control consideration paid to us. We will not be obligated to pay any fee under the Asset Transfer Agreement in the event of a sale of the Company or any other subsequent controlled affiliate. The Asset Transfer Agreement closed on April 8, 2024, and it is not contractually permissible to terminate the Asset Transfer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Monash University Exclusive License Agreement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April 2024, PureTech Health exclusively assigned to us, and we assumed, all rights and obligations under the Original License Agreement. In March 2025, we entered Monash License Agreement. Pursuant to the Monash License Agreement, Monash University grants us (i) a worldwide, exclusive, sublicensable license under certain Monash University intellectual property rights, including patent rights related to the Glyph platform, or the Licensed Patents, know-how, and intellectual property stemming from joint research and development activities, for the purpose of developing and commercializing products in all fields with one exception, (ii) a worldwide, non-exclusive, sublicensable license under certain background technology and certain other intellectual property strictly to the extent necessary to exercise the license described in subclause (i) above, and (iii) a first right and an exclusive option to obtain an exclusive license to any invention generated by Monash University outside of the Licensed Patents and pertaining to certain prodrug technology. Additionally, we and Monash University agreed to collaborate in conducting research and development activities.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Monash License Agreement, we have agreed to use reasonable commercial endeavors to (i) develop at least one Licensed Product,</w:t>
      </w:r>
    </w:p>
    <w:p>
      <w:pPr>
        <w:spacing w:after="0" w:line="27" w:lineRule="exact"/>
        <w:rPr>
          <w:sz w:val="20"/>
          <w:szCs w:val="20"/>
          <w:color w:val="auto"/>
        </w:rPr>
      </w:pPr>
    </w:p>
    <w:p>
      <w:pPr>
        <w:ind w:left="120" w:right="40" w:hanging="4"/>
        <w:spacing w:after="0" w:line="253" w:lineRule="auto"/>
        <w:tabs>
          <w:tab w:leader="none" w:pos="3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at least one Licensed Product, and (iii) after receipt of such regulatory approval in the United States or Europe, promote and develop the sale of at least one Licensed Product in such territory. Monash University agrees to provide reasonable technical assistance and advice based on Monash University’s know-how relating to the technology licensed under the Monash License Agreement. We grant Monash University a non-exclusive, perpetual, royalty-free license under the Licensed Patents, related know-how, and intellectual property stemming from joint research and development activities solely for academic,</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teaching, and non-commercial collaborative research uses, which includes the right to sublicense for non-commercial collaborative research to other academic institutions or non-commercial research entities.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consideration for the licenses granted by Monash University, we are required to pay Monash University: (i) low-single digit royalties with a rate based on net sales per calendar year (subject to certain reductions); (ii) a low-double digit percentage (within the range of 5-15%) of any net income received under a sublicense (subject to a license payment stacking reduction) with the percentage varying based on the development stage of the Licensed Products at the time the sublicense is granted during the term of the Monash License Agreement; (iii) an agreed upon research funding amount to progress mutually agreed research and development or commercialization activities; (iv) a mid-five-figure annual maintenance fee during the term of the agreement commencing on the third anniversary of the execution date of the Original License Agreement until the first commercial sale of a Licensed Product creditable against net income sharing, royalties, and milestone payments; (v) milestone payments in the event of successful development milestones of up to $1.075 million per Licensed Product for the first three Licensed Products; and (vi) milestone payments in the event of successful commercial milestones of up to $7.25 million per Licensed Product for the first three Licensed Products. We are also obligated to (a) pay all costs incurred for the prosecution and maintenance of the Licensed Patents and patent filings stemming from collaboration activities and (b) reimburse Monash University for all patent prosecution costs of the Licensed Patents prior to the execution date of the Original License Agreement.</w:t>
      </w:r>
    </w:p>
    <w:p>
      <w:pPr>
        <w:spacing w:after="0" w:line="19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Monash License Agreement commenced on the execution date of the Original License Agreement and will expire seven years after the last of the Licensed Patents expires, unless terminated earlier. Either party may terminate for due cause, including for material breach and bankruptcy. Monash University may terminate if we fail to meet our diligence requirements. Either party may terminate the Monash License Agreement if we determine that the activities are no longer commercially viable.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including the European Union, or EU, extensively regulate, among other things, the research, development, testing, manufacturing, quality control, safety, effectiveness,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require the expenditure of substantial time and financial resources.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Drugs in the United States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the United States, the FDA regulates drugs under the U.S. Federal Food, Drug, and Cosmetic Act, or FDCA, and its implementing regulations. The failure to comply with applicable U.S. requirements at any time during the product development process, approval process, or after approval may subject an applicant and/or sponsor to a variety of administrative or judicial sanctions, including refusal by the FDA to approve pending applications, withdrawal of an approval, imposition of a clinical hold, issuance of warning letters, and other types of letters, product seizures, total or partial suspension of production or distribution, injunctions, fines, product recalls, and other post-market actions, refusals of government contracts, restitution, disgorgement of profits, or civil or criminal investigations, and penalties brought by the FDA and the U.S. Department of Justice or other governmental entities.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applicant seeking approval to market and distribute a new drug product in the United States must typically undertake the following:</w:t>
      </w:r>
    </w:p>
    <w:p>
      <w:pPr>
        <w:spacing w:after="0" w:line="131" w:lineRule="exact"/>
        <w:rPr>
          <w:sz w:val="20"/>
          <w:szCs w:val="20"/>
          <w:color w:val="auto"/>
        </w:rPr>
      </w:pPr>
    </w:p>
    <w:p>
      <w:pPr>
        <w:ind w:left="1080" w:right="42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or preclinical, laboratory tests, animal studies, and formulation studies in compliance with the FDA’s good laboratory practice, or GLP, regulations;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00"/>
          </w:cols>
          <w:pgMar w:left="320" w:top="455" w:right="47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or IND, which must take effect before human clinical trials may begin;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representing each clinical site before each clinical trial may be initiated at that site;</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practices, or GCPs, to establish the safety and efficacy of the proposed drug product for each indication;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New Drug Application, or NDA, and payment of user fees;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by an FDA advisory committee, where appropriate or if applicable;</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66"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inspections of the manufacturing facility or facilities at which the product, or components thereof, are produced to assess compliance with current Good Manufacturing Practices, or cGMP, requirements and to assure that the facilities, methods and controls are adequate to preserve the product’s identity, strength, quality, and purity;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FDA audits of clinical trial sites to assure compliance with GCPs and the integrity of the clinical data;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Before an applicant begins testing a compound in humans, the drug candidate enters the preclinical testing stage. Preclinical studies include, among other things, laboratory evaluation of the purity and stability of the manufactured drug substance or active pharmaceutical ingredient, or API, and the formulated drug or drug product,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the potential safety and activity of the drug for initial testing in humans and to establish a rationale for therapeutic use. The conduct of certain preclinical studies is subject to federal regulations and requirements, including GLP regulations. Some long-term preclinical testing, such as animal tests of reproductive adverse effects, or AEs, and carcinogenicity, may continue after the IND is submitted.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IND and IRB Processes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An IND is an exemption from the FDCA that allows an investigational drug to be shipped in interstate commerce for use in a clinical trial and a request for FDA authorization to administer such investigational drug to humans. Such authorization must be secured prior to interstate shipment and administration of the investigational drug. In an IND, applicants must submit a protocol for each clinical trial and any subsequent protocol amendments. In addition, the results of the preclinical tests, manufacturing information, analytical data, any available clinical data or literature and plans for clinical trials, among other things, are submitted to the FDA as part of an IND. An IND automatically becomes effective 30 days after receipt by the FDA, unless before that time, the FDA raises concerns or questions related to one or more proposed clinical trials and places the trial on clinical hold. The FDA also may impose a clinical hold or partial clinical hold after commencement of a clinical trial under an IND. A clinical hold is an order issued by the FDA to the sponsor to delay a proposed clinical investigation or to suspend an ongoing investigation. A partial clinical hold is a delay or suspension of only part of the clinical work requested under the IND. No more than 30 days after imposition of a clinical hold or partial clinical hold, the FDA will provide the sponsor a written explanation of the basis for the hold. Following issuance of a clinical hold or partial clinical hold, an investigation (or full investigation in the case of a partial clinical hold)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18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 sponsor may choose, but is not required, to conduct a foreign clinical trial under an IND. When a foreign clinical trial is conducted under an IND, all FDA IND requirements must be met unless waived. When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foreign clinical trial is not conducted under an IND, the sponsor must ensure that the study is conducted in accordance with GCP, among other things, including review and approval by an independent ethics committee and obtaining informed consent from subjects. The GCP requirements are intended to help ensure the protection of human subjects enrolled in non-IND foreign clinical trials, as well as the quality and integrity of the resulting data. FDA must also be able to validate the data from the study through an on-site inspection if necessary.</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of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87"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Additionally, some trials are overseen by an independent group of qualified experts organized by the trial sponsor, known as a data safety monitoring board or committee. This group provides advice to the sponsor as to whether or not a trial may move forward at designated check points based on pre-specified criteria and access that only the group maintains to available data from the study. The FDA or the sponsor may suspend or terminate a clinical trial at any time on various grounds, including a finding that the research subjects are being exposed to an unacceptable health risk.</w:t>
      </w:r>
    </w:p>
    <w:p>
      <w:pPr>
        <w:spacing w:after="0" w:line="164"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Information about certain clinical trials must be submitted within specific timeframes to the National Institutes of Health for public dissemination on its ClinicalTrials.gov website.</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Human Clinical Trials in Support of an NDA</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 requirements, which include, among other things, the requirement that all research subjects, or their legal representative, provide their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which may overlap or be combined:</w:t>
      </w:r>
    </w:p>
    <w:p>
      <w:pPr>
        <w:spacing w:after="0" w:line="129" w:lineRule="exact"/>
        <w:rPr>
          <w:sz w:val="20"/>
          <w:szCs w:val="20"/>
          <w:color w:val="auto"/>
        </w:rPr>
      </w:pPr>
    </w:p>
    <w:p>
      <w:pPr>
        <w:jc w:val="both"/>
        <w:ind w:left="1080" w:right="200" w:hanging="424"/>
        <w:spacing w:after="0" w:line="267"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 The product candidate is initially introduced into healthy human subjects or, in certain indications such as cancer, patients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target disease or condition and tested for safety, dosage tolerance, absorption, metabolism, distribution, excretion and, if possible, to gain an early indication of its effectiveness, and to determine maximal dosage.</w:t>
      </w:r>
    </w:p>
    <w:p>
      <w:pPr>
        <w:spacing w:after="0" w:line="78" w:lineRule="exact"/>
        <w:rPr>
          <w:rFonts w:ascii="Times New Roman" w:cs="Times New Roman" w:eastAsia="Times New Roman" w:hAnsi="Times New Roman"/>
          <w:sz w:val="18"/>
          <w:szCs w:val="18"/>
          <w:color w:val="auto"/>
        </w:rPr>
      </w:pPr>
    </w:p>
    <w:p>
      <w:pPr>
        <w:ind w:left="1080" w:right="140" w:hanging="424"/>
        <w:spacing w:after="0" w:line="267"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 The product candidate is administered to a limited patient population with the specified disease or condition to identify possible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AEs and safety risks, to preliminarily evaluate the efficacy of the product for specific targeted diseases or conditions and to determine dosage tolerance and optimal dosage.</w:t>
      </w:r>
    </w:p>
    <w:p>
      <w:pPr>
        <w:spacing w:after="0" w:line="78" w:lineRule="exact"/>
        <w:rPr>
          <w:rFonts w:ascii="Times New Roman" w:cs="Times New Roman" w:eastAsia="Times New Roman" w:hAnsi="Times New Roman"/>
          <w:sz w:val="18"/>
          <w:szCs w:val="18"/>
          <w:color w:val="auto"/>
        </w:rPr>
      </w:pPr>
    </w:p>
    <w:p>
      <w:pPr>
        <w:ind w:left="1080" w:hanging="424"/>
        <w:spacing w:after="0" w:line="267"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 The product candidate is administered to an expanded patient population, generally at geographically dispersed clinical trial sites,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well-controlled clinical trials with the intent to generate enough data to evaluate the efficacy and safety of the product for approval, to establish the overall risk-benefit profile of the product candidate and to provide adequate information for the labeling of the product.</w:t>
      </w:r>
    </w:p>
    <w:p>
      <w:pPr>
        <w:spacing w:after="0" w:line="175"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Post-approval studies, sometimes referred to as Phase 4 studies, may be conducted after initial regulatory approval. These studies are used to gain additional experience from the treatment of patients in the intended therapeutic indication. In certain instances, the FDA may mandate the performance of Phase 4 clinical trials as a condition of approval of an NDA.</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80"/>
          </w:cols>
          <w:pgMar w:left="320" w:top="455" w:right="4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While the IND is active, progress reports detailing the results of the clinical trials, among other information, must be submitted at least annually to the FDA. In addition, within 15 calendar days after the sponsor determines that the information qualifies for reporting, IND safety reports must be submitted to the FDA for any of the following: serious and unexpected suspected adverse reactions;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in humans exposed to the drug; and any clinically important increase in the case of a serious suspected adverse reaction over that listed in the protocol or investigator brochure. The sponsor also must notify the FDA of any unexpected fatal or life-threatening suspected adverse reaction within seven calendar days after the sponsor’s initial receipt of the information.</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often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the applicant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Review of an NDA by the FDA</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Assuming successful completion of required clinical testing and other requirements, the results of the preclinical studies and clinical trials, together with detailed information relating to the product’s chemistry, manufacture, controls, and proposed labeling, among other things, are submitted to the FDA as part of an NDA requesting approval to market the drug product for one or more indications. Under federal law, the submission of most NDAs is additionally subject to a significant application user fee as well as annual prescription drug product program fees. These fees are typically increased annually. Certain exceptions and waivers are available for some of these fees.</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addition, the Pediatric Research Equity Act, or PREA, requires a sponsor to conduct pediatric clinical trials for most drugs, for a new active ingredient, new indication, new dosage form, new dosing regimen or new route of administration. Under PREA, NDAs, and certain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deemed safe and effective. The sponsor or FDA may request a deferral of pediatric clinical trials for some or all of the pediatric subpopulations. A deferral may be granted for several reasons, including a finding that the product candidate is ready for approval for use in adults before pediatric clinical trials are complete or that additional safety or effectiveness data needs to be collected before any pediatric clinical trials begin. The FDA must send a non-compliance letter to any sponsor that fails to submit the required assessment, keep a deferral current or fails to submit a request for approval of a pediatric formulation.</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FDA conducts a preliminary review of an NDA within 60 days of its receipt, before accepting the NDA for filing, to determine whether the application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a product is safe and effective for its intended use and whether its manufacturing is cGMP compliant to assure and preserve the product’s identity, strength, quality, and purity. Under the performance goals and policies implemented by the FDA under the Prescription Drug User Fee Act, or PDUFA, FDA has agreed to specified performance goals in the review process of NDAs. Applications for drugs containing new molecular entities are meant to be reviewed within 10 months from the date of filing, and applications for “priority review” products containing new molecular entities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are meant to be reviewed within six months of filing. The review process may be extended by the FDA for three additional months if FDA requests or the applicant otherwise provides additional information or clarification regarding information already provided in the submission within the last three months before the PDUFA goal date or is otherwise deemed a “major amendment” to the application.</w:t>
      </w:r>
    </w:p>
    <w:p>
      <w:pPr>
        <w:spacing w:after="0" w:line="176"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During its review of an NDA, the FDA typically will inspect the facility or facilities where the product is or will be manufactured. These pre-approval inspections may cover all facilities associated with an NDA, including drug component manufacturing (such as APIs), finished drug product manufacturing, and control testing laboratories. The FDA will not approve an NDA unless it determines that the manufacturing processes and facilities are in compliance with cGMP requirements and adequate to assure consistent production of the product within required specifications. In addition, the FDA will typically inspect one or more clinical sites to assure compliance with GCP and the integrity of the clinical data submitted.</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addition, as a condition of approval, the FDA may require an applicant to develop a risk evaluation and mitigation strategy, or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AEs, and whether the product is a new molecular entity. REMS can include medication guides, physician communication plans for healthcare professionals, and elements to assure safe use, or ETASU. ETASU may include, but are not limited to, special training or certification for prescribing or dispensing, dispensing only under certain circumstances, special monitoring, and the use of patient registries. The FDA may require a REMS before approval or post-approval if it becomes aware of a serious risk associated with use of the product.</w:t>
      </w:r>
    </w:p>
    <w:p>
      <w:pPr>
        <w:spacing w:after="0" w:line="192"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FDA is required to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Fast Track, Breakthrough Therapy, and Priority Review</w:t>
      </w:r>
    </w:p>
    <w:p>
      <w:pPr>
        <w:spacing w:after="0" w:line="11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FDA has a number of programs intended to facilitate and expedite development and review of investigational drugs if they are intended to address an unmet medical need in the treatment of a serious or life-threatening disease or condition. Three of these programs are referred to as Fast Track Designation, Breakthrough Therapy Designation, and priority review designation.</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First, the FDA may designate a product candidate for Fast Track review if it is intended, whether alone or in combination with one or more other products, for the treatment of a serious or life-threatening disease or condition, and it demonstrates the potential to address unmet medical needs for such disease or condition. For Fast Track product candidates, sponsors may have greater interactions with the FDA and the FDA may initiate review of sections of a Fast Track product candidate’s application before the application is complete. This rolling review may be available if the FDA determines, after preliminary evaluation of clinical data submitted by the sponsor, that a Fast Track product candidate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8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Second, a product candidate may be designated as a Breakthrough Therapy if it is intended, either alone or in combination with one or more other drugs products, to treat a serious or life-threatening disease or condition and preliminary clinical evidence indicates that the product candidate may demonstrate substantial improvement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over existing therapies on one or more clinically significant endpoints, such as substantial treatment effects observed early in clinical development. Breakthrough Therapy Designation includes all of the benefits associated with Fast Track Designation, including the potential for rolling review of an NDA submission. In addition,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87"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Third, the FDA may designate an NDA review for a priority review if it is for a product candidate that treats a serious or life-threatening disease or condition and, if approved, would provide a significant improvement in safety or effectiveness compared to available therapies. The FDA determines, on a case-by-case basis, whether the product candidate may represent a significant improvement when compared with other available therapies. Significant improvement may be illustrated, among other things,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10 months to six months.</w:t>
      </w:r>
    </w:p>
    <w:p>
      <w:pPr>
        <w:spacing w:after="0" w:line="2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Accelerated Approval Pathway</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FDA may grant accelerated approval to a product candidate intended to treat a serious or life-threatening condition that provides meaningful therapeutic advantage to patients over existing treatments based upon a determination that the product candidate has an effect on a surrogate endpoint that is reasonably likely to predict clinical benefit or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18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accelerated approval pathway is often used in settings in which the course of a disease is long and an extended period of time is required to measure the intended clinical benefit of a product, even if the effect on the surrogate or intermediate clinical endpoint occurs rapidly.</w:t>
      </w:r>
    </w:p>
    <w:p>
      <w:pPr>
        <w:spacing w:after="0" w:line="16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accelerated approval pathway is typically contingent on a sponsor’s agreement to conduct, in a diligent manner, additional post-approval confirmatory studies to verify and describe the product’s anticipated clinical benefit. As a result, a product candidate approved on this basis is subject to rigorous post-marketing compliance requirements, including the completion of Phase 4 or other post-approval clinical trials to verify and describe the anticipated the effect on the clinical endpoint. Under the Food and Drug Omnibus Reform Act of 2022, or FDORA, the FDA is permitted to require, as appropriate, that such trials be underway prior to approval or within a specific time period after the date of approval for a product granted accelerated approval. Sponsors are also required to send updates to the FDA every 180 days on the status of such studies, including progress toward enrollment targets, and the FDA must post this information publicly. Under FDORA, the FDA has increased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20"/>
          </w:cols>
          <w:pgMar w:left="320" w:top="455"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authority for expedited procedures to withdraw approval of a drug or indication approved under accelerated approval if, for example, the sponsor fails to conduct such studies in a timely manner and send the necessary updates to the FDA, or if a confirmatory trial fails to verify the predicted clinical benefit of the product. In addition, the FDA generally requires, unless otherwise informed by the agency, pre-approval of promotional materials for product candidates approved under accelerated regulations, which could adversely impact the timing of the commercial launch of the product.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FDA’s Decision on an NDA</w:t>
      </w:r>
    </w:p>
    <w:p>
      <w:pPr>
        <w:spacing w:after="0" w:line="121" w:lineRule="exact"/>
        <w:rPr>
          <w:sz w:val="20"/>
          <w:szCs w:val="20"/>
          <w:color w:val="auto"/>
        </w:rPr>
      </w:pPr>
    </w:p>
    <w:p>
      <w:pPr>
        <w:ind w:left="120" w:right="100" w:firstLine="440"/>
        <w:spacing w:after="0" w:line="272" w:lineRule="auto"/>
        <w:rPr>
          <w:sz w:val="20"/>
          <w:szCs w:val="20"/>
          <w:color w:val="auto"/>
        </w:rPr>
      </w:pPr>
      <w:r>
        <w:rPr>
          <w:rFonts w:ascii="Times New Roman" w:cs="Times New Roman" w:eastAsia="Times New Roman" w:hAnsi="Times New Roman"/>
          <w:sz w:val="17"/>
          <w:szCs w:val="17"/>
          <w:color w:val="auto"/>
        </w:rPr>
        <w:t>On the basis of the FDA’s evaluation of the NDA and accompanying information, including the results of any inspections of the manufacturing facilities and select clinical trial sites,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 complete response letter is issued, the applicant may resubmit the NDA to address all of the deficiencies identified in the letter, withdraw the application, or request a hearing. If the applicant resubmits the NDA, the FDA will issue an approval letter only when the deficiencies have been addressed to the FDA’s satisfaction.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7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the FDA approves a product, it may limit the approved indications for use for the product, require that contraindications, warnings, or precautions be included in the product labeling, require that post-approval studies, including Phase 4 clinical trials, be conducted to further assess the drug’s safety or effectiveness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reporting of adverse experiences with the product and applicable product tracking and tracing requirements. After approval, many changes to the approved product, such as adding new indications or other labeling claims, are subject to prior FDA review and approval. There also are annual prescription drug product program fee requirements for certain marketed products.</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and those supplying products, ingredients, and components of them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NDA holder and any third-party manufacturers that the NDA holder may decide to use. Manufacturers and other parties involved in the drug supply chain for prescription drug products must also comply with product tracking and tracing requirements and notify the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cGMP compliance.</w:t>
      </w:r>
    </w:p>
    <w:p>
      <w:pPr>
        <w:spacing w:after="0" w:line="188"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00"/>
          </w:cols>
          <w:pgMar w:left="320" w:top="455" w:right="47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85" w:lineRule="exact"/>
        <w:rPr>
          <w:sz w:val="20"/>
          <w:szCs w:val="20"/>
          <w:color w:val="auto"/>
        </w:rPr>
      </w:pPr>
    </w:p>
    <w:p>
      <w:pPr>
        <w:ind w:left="1080" w:right="20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voluntary product recalls;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or untitled letters or holds on post-approval clinical trials;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may be promoted only for the approved indications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and a company that is found to have improperly promoted off-label uses may be subject to significant liability.</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Hatch-Waxman Amendments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505 of the 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The FDA may also require companies to perform additional studies or measurements, including clinical trials, to support the change from the approved branded reference drug. The FDA may then approve the new product candidate for all, or some, of the labeled indications for which the branded reference drug has been approved, as well as for any new indication sought by the 505(b)(2) applicant. Section 505(j) establishes an abbreviated approval process for a generic version of approved drug products through the submission of an Abbreviated New Drug Application, or ANDA. An ANDA provides for marketing of a generic drug product that has the same active ingredients, dosage form, strength, route of administration, labeling, performance characteristics and intended use, among other things, to a previously approved product, known as a reference listed drug, or RLD. ANDAs are termed “abbreviated” because they are generally not required to include preclinical (animal) and clinical (human) data to establish safety and efficacy. Instead, generic applicants must scientifically demonstrate that their product is bioequivalent to, or performs in the same manner as, the innovator drug through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or other testing. In certain situations, an applicant may obtain ANDA approval of a generic product with a strength or dosage form that differs from a referenced innovator drug pursuant to the filing and approval of an ANDA Suitability Petition. The FDA will approve the generic product as suitable for an ANDA application if it finds that the generic product does not raise new questions of safety and effectiveness as compared to the innovator product.</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Non-Patent Exclusivity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Hatch-Waxman Amendments, the FDA may not approve (or in some cases accept) an ANDA or 505(b)(2) application until any applicable period of non-patent exclusivity for the RLD has expired. The FDCA provides a period of five years of non-patent data exclusivity for a new drug containing a new chemical entity, or NCE. For the purposes of this provision, an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which states the proposed generic drug will not infringe one or more of the already approved product’s listed patents or that such patents are invalid or unenforceable, in which case the applicant may submit its application four years following the original product approval.</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FDCA also provides for a period of three years of exclusivity for non-NCE drugs if the NDA or a supplement to the NDA includes reports of one or more new clinical investigations, other than bioavailability or bioequivalence studies, that were conducted by or for the applicant and are essential to the approval of the application or supplement. This three-year exclusivity period often protects changes to a previously approved drug product, such as a new dosage form, route of administration, combination, or indication, but it generally would not protect the original, unmodified product from generic competition. Unlike five-year NCE exclusivity, an award of three-year exclusivity does not block the FDA from accepting ANDAs seeking approval for generic versions of the drug as of the date of approval of the original drug product; it only prevents FDA from approving such ANDAs.</w:t>
      </w:r>
    </w:p>
    <w:p>
      <w:pPr>
        <w:spacing w:after="0" w:line="18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 drug product can obtain pediatric market exclusivity in the United States. Pediatric exclusivity, if granted, adds six months to existing exclusivity periods for all formulations, dosage forms, and indications of the active moiety and to patent terms. This six-month exclusivity, which runs from the end of other exclusivity protection and patent term, may be granted based on the voluntary completion of a pediatric study in accordance with an FDA-issued “Written Request” for such a study, provided that at the time pediatric exclusivity is granted there is not less than nine months of term remaining.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Hatch-Waxman Patent Certification and the 30-Month Stay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seeking approval of an NDA or a supplement thereto, NDA sponsors are required to list with the FDA each patent with claims that cover the applicant’s product or an approved method of using the product. Upon approval of an NDA, each of the patents listed in the application for the drug is published in the FDA’s Approved Drug Products with Therapeutic Equivalence Evaluations, commonly known as the Orange Book. Upon submission of an ANDA or 505(b)(2) NDA, an applicant is required to certify to the FDA concerning any patents listed for the RLD in the Orange Book that:</w:t>
      </w:r>
    </w:p>
    <w:p>
      <w:pPr>
        <w:spacing w:after="0" w:line="85" w:lineRule="exact"/>
        <w:rPr>
          <w:sz w:val="20"/>
          <w:szCs w:val="20"/>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patent information on the drug product that is the subject of the application has been submitted to the FDA;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patent has expired;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such patent expires; or</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patent is invalid, unenforceable, or will not be infringed upon by the manufacture, use, or sale of the drug product for which the application is submitted.</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Generally, the ANDA or 505(b)(2) NDA cannot be approved until all listed patents have expired, except where the ANDA or 505(b)(2) NDA applicant challenges a listed patent through the last type of certification, also known as a paragraph IV certification. If the applicant does not challenge the listed patents or indicates that it is not seeking approval of a patented method of use, the ANDA or 505(b)(2) NDA application will not be approved until all of the listed patents claiming the referenced product have expired. If the ANDA or 505(b)(2)</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NDA applicant has provided a paragraph IV certification, the applicant must send notice of the paragraph IV certification to the NDA and patent holders once the application has been accepted for filing by the FDA. The NDA and patent holders may then initiate a patent infringement lawsuit in response to the notice of the paragraph IV certification. If the paragraph IV certification is challenged by an NDA holder or the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w:t>
      </w:r>
    </w:p>
    <w:p>
      <w:pPr>
        <w:spacing w:after="0" w:line="2"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 If the drug has NCE exclusivity and the ANDA is submitted four years after approval, the 30-month stay is extended so that it expires seven and a half years after approval of the innovator drug, unless the patent expires or there is a decision in the infringement case that is favorable to the ANDA applicant before then.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 Term Restoration and Extension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patent claiming a new drug product may be eligible for a limited patent term extension under the Hatch-Waxman Amendments, which permits a patent term restoration of up to five years for patent term lost during product development and the FDA regulatory review. The restoration period granted is typically one-half the time between the effective date of an IND and the submission date of an NDA, plus the time between the submission date of an NDA and the ultimate approval date, provided the sponsor acted with diligence.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and within 60 days of drug approval. A patent that covers multiple drugs for which approval is sought can only be extended in connection with one of the approvals. The U.S. Patent and Trademark Office, or USPTO, reviews and approves the application for any patent term extension or restoration in consultation with the FDA.</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Drug Enforcement Administration Regulation</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Certain of our product candidates have the potential to be regulated as controlled substances by the U.S. Drug Enforcement Administration, or DEA. The Controlled Substances Act of 1970, or CSA, establishes registration, security, recordkeeping, reporting, storage, distribution, and other requirements administered by the DEA. The DEA is concerned with the control of handlers of controlled substances, and with the equipment and raw materials used in their manufacture and packaging, in order to prevent loss and diversion into illicit channels of commerce. 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w:t>
      </w:r>
    </w:p>
    <w:p>
      <w:pPr>
        <w:spacing w:after="0" w:line="18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 The DEA typically inspects a facility to review its security measures prior to issuing a registration. Security requirements vary by controlled substance schedule, with the most stringent requirements applying to Schedule I and Schedule II substances. Required security measures include background checks on employees and physical control of inventory through measures such as cages, surveillance cameras and inventory reconciliations. Records must be maintained for the handling of all controlled substances, and periodic reports made to the DEA. Reports must also be made for thefts or losses of</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00"/>
          </w:cols>
          <w:pgMar w:left="320" w:top="455" w:right="47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any controlled substance, and authorization must be obtained to destroy any controlled substance. In addition, special authorization and notification requirements apply to imports and exports.</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To meet its responsibilities, the DEA conducts periodic inspections of registered establishments that handle controlled substances. Failure to maintain compliance with applicable requirements, particularly as manifested in loss or diversion, can result in enforcement action. The DEA may seek civil penalties, refuse to renew necessary registrations, or initiate proceedings to revoke those registrations. In certain circumstances, violations can lead to criminal prosecution. Individual states also regulate controlled substances, and manufacturers are also subject to state regulation on distribution of these products.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 of the World Regulation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other countries outside of the United States, such as those in Europe, Latin America, or Asia, the requirements governing product development, the conduct of clinical trials, product marketing, product licensing, pricing and reimbursement can vary from country to country. Failure to comply with applicable foreign regulatory requirements may subject sponsors, manufacturers, or marketers of pharmaceutical products to, among other things, fines, suspension, or withdrawal of regulatory authorizations and approvals, product recalls, seizure of products, operating restrictions and criminal prosecution.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Medicinal Products in the European Union</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obtaining marketing authorization, or MA, commercial sales and distribution of products. Whether or not it obtains FDA approval for a product, an applicant will need to obtain the necessary approvals by the comparable foreign regulatory authorities before it can commence clinical trials or marketing of the product in those countries or jurisdictions. Specifically, the process governing approval of medicinal products in the EU generally follows similar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an MA application, or MAA, and granting of an MA by these authorities before the product can be marketed and sold in the EU.</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Non-clinical Studies and Clinical Trials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Similarly to the United States, the various phases of non-clinical and clinical research in the EU are subject to significant regulatory controls.</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Non-clinical studies are performed to demonstrate the health or environmental safety of new chemical or biological substances. Non-clinical (pharmaco-toxicological) studies must be conducted in compliance with the principles of good laboratory practice, or GLP, as set forth in EU Directive 2004/10/EC (unless otherwise justified for certain particular medicinal products, e.g., radio-pharmaceutical precursors for radio-labeling purposes). These GLP standards reflect the Organization for Economic Co-operation and Development requirements.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Clinical trials of medicinal products in the EU must be conducted in accordance with EU and national regulations and the International Council for Harmonization of Technical Requirements for Pharmaceuticals for Human Use, or ICH, guidelines on Good Clinical Practices, or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regulatory landscape related to clinical trials in the EU has been subject to recent changes. The EU Clinical Trials Regulation, or CTR, which was adopted in April 2014 and repealed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While the EU Clinical Trials Directive required a separate clinical trial application, or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allowed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188"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Medicines used in clinical trials must be manufactured in accordance with Good Manufacturing Practice, or GMP. Other national and EU-wide regulatory requirements may also apply.</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Marketing Authorization</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order to market our product candidates in the EU and many other foreign jurisdictions, we must obtain separate regulatory approvals. More concretely, in the EU, medicinal product candidates can only be commercialized after obtaining an MA. To obtain an MA, an applicant must submit an MAA either under a centralized procedure administered by the European Medicines Agency, or EMA, or one of the procedures administered by competent authorities in the EU member states (decentralized procedure or mutual recognition procedure) for obtaining an MA in multiple EU Member States.</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“Centralized MAs” are issued by the European Commission through the centralized procedure based on the opinion of the Committee for Medicinal Products for Human Use, or CHMP, of the European Medicines Agency, or EMA, and are valid throughout the EU. Pursuant to Regulation (EC) No 726/2004, the centralized procedure is compulsory for specific products, including for medicines produced by certain biotechnological processes, products designated as orphan medicinal products, advanced therapy medicinal products (gene therapy, somatic cell therapy and tissue-engineered products) and products with a new active substance indicated for the treatment of certain diseases, including products for the treatment of HIV, AIDS, cancer, diabetes, neurodegenerative diseases,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19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Under the centralized procedure, the maximum timeframe for the evaluation of an MAA by the EMA is 210 days, excluding clock stops, when additional information or written or oral explanation is to be provided by the applicant in response to questions asked by the CHMP. Clock stops may extend the timeframe of evaluation of an MAA considerably beyond 210 days. Accelerated evaluation might be granted by the CHMP in exceptional cases, when a medicinal product is of major interest from a public health perspective and in particular from the point of view of therapeutic innovation. If the CHMP accepts such request, the time limit of 210 days will be reduced to 150 days, excluding clock stops,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80"/>
          </w:cols>
          <w:pgMar w:left="320" w:top="455" w:right="4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should be granted in relation to a medicinal product. Within 67 days from the date of the CHMP opinion, the European Commission will adopt its final decision on the MAA.</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“National MAs” are issued by the competent authorities of the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Periods of Authorization and Renewals</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 MA has an initial validity of five years. The MA may be renewed after five years on the basis of a re-evaluation of the risk-benefit balance by the EMA or by the competent authority of the relevant EU member state for a nationally authorized product. To this end, the MA holder must provide the EMA or the competent authority with a consolidated version of the file in respect of quality, safety, and efficacy, including all variations introduced since the MA was granted, at least nine months before the MA ceases to be valid. Once renewed, the MA is valid for an unlimited period, unless the European Commission or the competent authorities of the relevant member states decide, on justified grounds relating to pharmacovigilance, to proceed with one further five year renewal period. Any authorization which is not followed by the actual placing of the medicinal product on the EU market (for centrally-authorized products) or on the market of the authorizing EU member state (for nationally-authorized products) within three years after authorization ceases to be valid (the so-called “sunset clause”).</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Data and Market Exclusivity</w:t>
      </w:r>
    </w:p>
    <w:p>
      <w:pPr>
        <w:spacing w:after="0" w:line="11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the EU, innovative medicinal products approved on the basis of a complete and independent data package generally receive eight years of data exclusivity and an additional two years of market exclusivity upon grant of an MA. The data exclusivity period prevents applicants for authorization of generics or biosimilars of these innovative products from referencing the innovator’s preclinical and clinical trial data contained in the dossier of the reference product when applying for a generic or biosimilar (abbreviated) MA, for a period of eight years from the date on which the reference product was first authorized in the EU. During an additional two-year period of market exclusivity, a generic or biosimilar MAA can be submitted, and the innovator’s data may be referenced, but no generic or biosimilar medicinal product can be placed on the EU market until the expiration of the market exclusivity. The overall 10-year period will be extended to a maximum of 11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nevertheless could also market another version of the product if such company obtained an MA based on an MAA with a complete and independent data package of pharmaceutical tests, preclinical tests and clinical trials.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Orphan Medicinal Products</w:t>
      </w:r>
    </w:p>
    <w:p>
      <w:pPr>
        <w:spacing w:after="0" w:line="119" w:lineRule="exact"/>
        <w:rPr>
          <w:sz w:val="20"/>
          <w:szCs w:val="20"/>
          <w:color w:val="auto"/>
        </w:rPr>
      </w:pPr>
    </w:p>
    <w:p>
      <w:pPr>
        <w:ind w:left="120" w:right="300" w:firstLine="440"/>
        <w:spacing w:after="0" w:line="289" w:lineRule="auto"/>
        <w:rPr>
          <w:sz w:val="20"/>
          <w:szCs w:val="20"/>
          <w:color w:val="auto"/>
        </w:rPr>
      </w:pPr>
      <w:r>
        <w:rPr>
          <w:rFonts w:ascii="Times New Roman" w:cs="Times New Roman" w:eastAsia="Times New Roman" w:hAnsi="Times New Roman"/>
          <w:sz w:val="17"/>
          <w:szCs w:val="17"/>
          <w:color w:val="auto"/>
        </w:rPr>
        <w:t>The criteria for designating an “orphan medicinal product” in the EU are similar in principle to those in the United States. A medicinal product can be designated as an orphan if its sponsor can establish that: (1) the product is intended for the diagnosis, prevention, or treatment of a life-threatening or chronically debilitating condition, (2) either (i) such condition affects no more than five in ten thousand persons in the EU when the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application is made, or (ii) without the benefits derived from orphan status, it is unlikely that the marketing of the product in the EU would generate sufficient return to justify the necessary investment in its development; (3) there exists no satisfactory method of diagnosis, prevention, or treatment of the condition in question that has been authorized in the EU or, if such method exists, the product would be of significant benefit to those affected by that condition.</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 orphan designation provides a number of benefits, including fee reductions, regulatory assistance, and the possibility to apply for a centralized EU MA. Upon grant of an MA, orphan medicinal products are entitled to a ten-year period of market exclusivity, which means that the EMA and the competent authorities of the EU member states cannot accept another MAA, or grant an MA, or accept an application to extend an MA for a similar medicinal product for the same indication for a period of ten years. A “similar medicinal product” is defined as a medicinal product containing a similar active substance or substances as contained in an authorized orphan medicinal product, and which is intended for the same therapeutic indication. The period of market exclusivity is extended by two years for orphan medicinal products that have also complied with an agreed pediatric investigation plan, or PIP. No extension to any supplementary protection certificate, or SPC, can be granted on the basis of pediatric studies for orphan indications. Orphan designation does not convey any advantage in, or shorten the duration of, the regulatory review and approval process.</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orphan exclusivity period may be reduced to six years if, at the end of the fifth year, it is established that the product no longer meets the criteria for which it received orphan destination, including where it is shown that the product is sufficiently profitable not to justify maintenance of market exclusivity or where the prevalence of the condition has increased above the threshold. Additionally, an MA may be granted to a similar product for the same indication as an authorized orphan product at any time if (i) a second applicant can establish that its product, although similar to the authorized orphan product, is safer, more effective or otherwise clinically superior; (ii) the MA holder for the authorized orphan product consents to a second medicinal product application; or (iii) the MA holder for the authorized product cannot supply enough orphan medicinal product.</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Pediatric Development</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Regulation (EC) No 1901/2006 provides that prior to obtaining an MA in the EU, applicants have to demonstrate compliance with all measures included in a pediatric investigation plan, or PIP, agreed with the EMA’s Pediatric Committee, or PDCO, and covering all subsets of the pediatric population, unless the PDCO has granted (1) a product-specific waiver, (2) a class waiver, or (3) a deferral for one or more of the measures included in the PIP. The PIP sets out the timing and measures proposed to generate data to support a pediatric indication of the product for which an MA is being sought. Products that are granted an MA with the results of the pediatric clinical trials conducted in accordance with the PIP are eligible for a six-month extension of the protection under a SPC provided an application for such extension is made at the same time as filing the SPC application for the product, or at any point up to two years before the SPC expires, even where the trial results are negative.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2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Similar to the United States, both MA holders and manufacturers of medicinal products are subject to comprehensive regulatory oversight by the EMA, the European Commission and/or the competent regulatory authorities of the member states. The holder of an MA must establish and maintain a pharmacovigilance system and appoint an individual qualified person for pharmacovigilance, or QPPV, who is responsible for the establishment and maintenance of that system, and oversees the safety profiles of medicinal products and any emerging safety concerns. Key obligations include expedited reporting of suspected serious adverse reactions and submission of periodic safety update reports, or PSURs.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00"/>
          </w:cols>
          <w:pgMar w:left="320" w:top="455" w:right="47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All new MAA must include a risk management plan, or RMP, describing the risk management system that the company will put in place and documenting measures to prevent or minimize the risks associated with the product.</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in the EU.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183"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European Economic Area, or EEA, which consists of the EU member states plus Norway, Liechtenstein, and Iceland.</w:t>
      </w:r>
    </w:p>
    <w:p>
      <w:pPr>
        <w:spacing w:after="0" w:line="16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Failure to comply with EU and member state laws that apply to the conduct of clinical trials, manufacturing approval, authorization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an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Reform of the Regulatory Framework in the European Union</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Council of the EU and the proposals may therefore be substantially revised before adoption, which is not anticipated before early 2026.</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United Kingdom</w:t>
      </w:r>
    </w:p>
    <w:p>
      <w:pPr>
        <w:spacing w:after="0" w:line="11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Following the end of the Brexit transition period on January 1, 2021 and the implementation of the Windsor Framework on January 1, 2025, the United Kingdom, or UK, is not generally subject to EU laws in respect of medicines. The EU laws that have been transposed into UK law through secondary legislation remain applicable in the UK however, new legislation such as the (EU) CTR is not applicable in the UK.</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Under the Medicines and Medical Devices Act 2021, the Secretary of State or an ‘appropriate authority’ have delegated powers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spacing w:after="0" w:line="180"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As of January 1, 2021, the Medicines and Healthcare products Regulatory Agency, or MHRA, is the UK’s standalone medicines and medical devices regulator. As a result of the Ireland/Northern Ireland protocol,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00"/>
          </w:cols>
          <w:pgMar w:left="320" w:top="455" w:right="47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different rules applied in Northern Ireland than in England, Wales, and Scotland (together, “Great Britain”, or GB), which continued to follow the EU regulatory regime. However, on January 1, 2025 a new arrangement called the “Windsor Framework” came into effect and reintegrated Northern Ireland under the regulatory authority of the MHRA with respect to medicinal products. The Windsor Framework removes EU licensing processes and EU labeling and serialization requirements in relation to Northern Ireland and introduces a UK-wide licensing process for medicines.</w:t>
      </w:r>
    </w:p>
    <w:p>
      <w:pPr>
        <w:spacing w:after="0" w:line="180"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UK regulatory framework in relation to clinical trials is governed by the Medicines for Human Use (Clinical Trials) Regulations 2004, as amended, which is derived from the CTD, as implemented into UK national law through secondary legislation. In April 2025, the UK introduced the Medicines for Human Use (Clinical Trials) (Amendment) Regulations. These changes, which will take full effect from April 2026, aim to create a streamlined, risk-proportionate system that accelerates approvals while maintaining robust safety standards.</w:t>
      </w:r>
    </w:p>
    <w:p>
      <w:pPr>
        <w:spacing w:after="0" w:line="180"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In addition, in October 2023, the MHRA announced a new Notification Scheme for clinical trials which enables a more streamlined and risk-proportionate approach to initial clinical trial applications for Phase 4 and low-risk Phase 3 clinical trial applications.</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MAs in the UK are governed by the Human Medicines Regulations (SI 2012/1916), as amended. All existing EU MAs for centrally authorized products were automatically converted or grandfathered into UK MAs, effective in GB (only), free of charge on January 1, 2021, unless the MA holder chose to opt-out. Under the terms of the Windsor Framework, these licenses became valid for the whole of the UK from January 1, 2025. In order to use the centralized procedure to obtain an MA that will be valid throughout the EEA, companies must be established in the EEA. Therefore, after Brexit, companies established in the UK can no longer use the EU centralized procedure and instead an EEA entity must hold any centralized MAs. In order to obtain a UK MA to commercialize products in the UK, an applicant must be established in the UK and must follow one of the UK national authorization procedures or one of the remaining post-Brexit international cooperation procedures. The MHRA has introduced changes to national licensing procedures, including procedures to prioritize access to new medicines that will benefit patients, a 150-day assessment (subject to clock-stops) and a rolling review procedure. The rolling-review procedure permits the separate or joint submission of quality, non-clinical, and clinical data to the MHRA which can be reviewed on a rolling basis. After an application under the rolling-review procedure has been validated, the final decision should be received within 100 days (subject to clock-stops). In addition, since January 1, 2024, the MHRA may rely on the International Recognition Procedure, or IRP, when reviewing certain types of MAAs. Pursuant to the IRP, the MHRA will take into account the expertise and decision-making of trusted regulatory partners (e.g. the medicines regulatory authorities in Australia, Canada, Switzerland, Singapore, Japan, the U.S.A. and the EMA in the EU). The MHRA will conduct a targeted assessment of IRP applications but retain the authority to reject applications if the evidence provided is considered insufficiently robust. Applications should be decided within a maximum of 60 days if there are no major objections identified that cannot be resolved within such 60 day period and the approval from the trusted regulatory partner selected has been granted within the previous 2 years. If there are such major objections identified or such approval hasn’t been granted within the previous 2 years, then the relevant timeframe for the MHRA decision is within 110 days. Applicants can submit initial MAAs to the IRP but the procedure can also be used throughout the lifecycle of a product for post-authorization procedures including line extensions, variations, and renewals.</w:t>
      </w:r>
    </w:p>
    <w:p>
      <w:pPr>
        <w:spacing w:after="0" w:line="19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the UK, the initial duration of an MA is five years and following renewal will be valid for an unlimited period unless the MHRA decides on justified grounds relating to pharmacovigilance, to proceed with only one additional five-year renewal. Any authorization which is not followed by the actual placing of the medicine on the market in the UK (or GB, if the MA is only valid in GB) within three (3) years shall cease to be in force.</w:t>
      </w:r>
    </w:p>
    <w:p>
      <w:pPr>
        <w:spacing w:after="0" w:line="176" w:lineRule="exact"/>
        <w:rPr>
          <w:sz w:val="20"/>
          <w:szCs w:val="20"/>
          <w:color w:val="auto"/>
        </w:rPr>
      </w:pPr>
    </w:p>
    <w:p>
      <w:pPr>
        <w:ind w:left="120" w:right="1040" w:firstLine="440"/>
        <w:spacing w:after="0" w:line="282" w:lineRule="auto"/>
        <w:rPr>
          <w:sz w:val="20"/>
          <w:szCs w:val="20"/>
          <w:color w:val="auto"/>
        </w:rPr>
      </w:pPr>
      <w:r>
        <w:rPr>
          <w:rFonts w:ascii="Times New Roman" w:cs="Times New Roman" w:eastAsia="Times New Roman" w:hAnsi="Times New Roman"/>
          <w:sz w:val="18"/>
          <w:szCs w:val="18"/>
          <w:color w:val="auto"/>
        </w:rPr>
        <w:t>There is no pre-MA orphan designation in the UK. Instead, the MHRA reviews applications for orphan designation in parallel to the corresponding MA application. The criteria are essentially the same, but have been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tailored for the market, i.e., the prevalence of the condition in the UK, rather than the EU, must not be more than five in 10,000. Should an orphan designation be granted, the period or market exclusivity will be set from the date of first approval of the product in the UK.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 laws that may affect our ability to operate, and our proposed sales, marketing, and distribution strategies, include, but are not limited to:</w:t>
      </w:r>
    </w:p>
    <w:p>
      <w:pPr>
        <w:spacing w:after="0" w:line="81" w:lineRule="exact"/>
        <w:rPr>
          <w:sz w:val="20"/>
          <w:szCs w:val="20"/>
          <w:color w:val="auto"/>
        </w:rPr>
      </w:pPr>
    </w:p>
    <w:p>
      <w:pPr>
        <w:ind w:left="1080" w:right="20" w:hanging="424"/>
        <w:spacing w:after="0" w:line="254"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FCA (discussed below);</w:t>
      </w:r>
    </w:p>
    <w:p>
      <w:pPr>
        <w:spacing w:after="0" w:line="93"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FCA and civil monetary penalty laws, which impose criminal and civil penalties against individuals or entities for, among other things, knowingly presenting, or causing to be presented, claims for payment or approval from Medicare, Medicaid, or other federal healthcare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97" w:lineRule="exact"/>
        <w:rPr>
          <w:rFonts w:ascii="Times New Roman" w:cs="Times New Roman" w:eastAsia="Times New Roman" w:hAnsi="Times New Roman"/>
          <w:sz w:val="18"/>
          <w:szCs w:val="18"/>
          <w:color w:val="auto"/>
        </w:rPr>
      </w:pPr>
    </w:p>
    <w:p>
      <w:pPr>
        <w:ind w:left="1080" w:right="80" w:hanging="424"/>
        <w:spacing w:after="0" w:line="273" w:lineRule="auto"/>
        <w:tabs>
          <w:tab w:leader="none" w:pos="108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these statutes without actual knowledge of the statutes or specific intent to violate them;</w:t>
      </w:r>
    </w:p>
    <w:p>
      <w:pPr>
        <w:spacing w:after="0" w:line="76" w:lineRule="exact"/>
        <w:rPr>
          <w:rFonts w:ascii="Times New Roman" w:cs="Times New Roman" w:eastAsia="Times New Roman" w:hAnsi="Times New Roman"/>
          <w:sz w:val="17"/>
          <w:szCs w:val="17"/>
          <w:color w:val="auto"/>
        </w:rPr>
      </w:pPr>
    </w:p>
    <w:p>
      <w:pPr>
        <w:ind w:left="1080" w:hanging="424"/>
        <w:spacing w:after="0" w:line="258"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take appropriate steps to keep consumers’ personal information secure could constitute an unfair act or practice in or affecting commerce in violation of Section 5(a) of the Federal Trade Commission Act, 15 U.S.C. § 45(a) or similar state laws. The Federal Trade Commission, or FTC, and state regulators expect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00"/>
          </w:cols>
          <w:pgMar w:left="320" w:top="455" w:right="47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00" w:hanging="424"/>
        <w:spacing w:after="0" w:line="254"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created under the Patient Protection and Affordable Care Act, as amended by the Health Care and Education Reconciliation Act, or collectively, the ACA, and its implementing regulations requires manufacturers of drugs, devices, biologicals, and medical supplies for which payment is available under Medicare, Medicaid or the Children’s Health Insurance Program (with certain exceptions) to report annually to the Department of Health and Human Services, or HHS, information related to payments or other transfers of value made to physicians (defined to include doctors, dentists, optometrists, podiatrists, and chiropractors), certain other licensed healthcare professionals (i.e., physician assistants, nurse practitioners, clinical nurse specialists, anesthesiologist assistants, certified registered nurse anesthetists, and certified nurse midwives), and teaching hospitals, as well as ownership and investment interests held by physicians and their immediate family members;</w:t>
      </w:r>
    </w:p>
    <w:p>
      <w:pPr>
        <w:spacing w:after="0" w:line="9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price reporting laws, which require manufacturers to calculate and report complex pricing metrics in an accurate and timely manner to government programs;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67"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local laws requiring the registration of pharmaceutical sales representatives.</w:t>
      </w:r>
    </w:p>
    <w:p>
      <w:pPr>
        <w:spacing w:after="0" w:line="18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Federal, state, and foreign enforcement bodies are continuing to increase their scrutiny of interactions between healthcare companies and healthcare providers, which has led to a number of investigations, prosecutions, convictions, and settlements in the healthcare industry. If our operations are found to be in violation of any of such laws or any other governmental regulations that apply, we may be subject to significant penalties, including, without limitation, administrative, civil, and criminal penalties, damages, fines, disgorgement, contractual damages, the curtailment or restructuring of operations, integrity oversight and reporting obligations, exclusion from participation in federal and state healthcare programs, reputational harm, diminished profits and future earnings, and individual imprisonment.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Privacy and Data Security</w:t>
      </w:r>
    </w:p>
    <w:p>
      <w:pPr>
        <w:spacing w:after="0" w:line="121"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and the third parties upon which we rely collect, receive, store, or otherwise process personal data, including information we may collect about participants in our clinical trials. This personal data can also include data that is considered “sensitive” personal data under privacy laws, policies, or agreements to which we are subject. Accordingly, we are, or may be become, subject to numerous, evolving privacy and data security obligations, including global, federal, state, and local laws, regulations, guidance, industry standards, external and internal privacy and security policies, contractual requirements, and other obligations related to privacy and data security.</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These privacy and data security laws are evolving and may impose potentially conflicting obligations. Such obligations may include, without limitation, federal health information privacy laws, state information security and data breach notification laws, state health information privacy laws, and federal and state consumer protection laws (e.g., the Federal Trade Commission Act). At the state level, numerous U.S. states have enacted comprehensive privacy laws that impose certain obligations on covered businesses, including providing specific</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00"/>
          </w:cols>
          <w:pgMar w:left="320" w:top="455" w:right="4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disclosures in privacy notices and affording individuals certain rights concerning their personal data. Similar laws are being considered in several other states, as well as at the federal and local levels, and we expect more states to pass similar laws in the future. Additionally, a smaller number of states have passed or are considering laws governing the privacy of consumer health data. While existing state consumer privacy laws provide exemptions for data processed in the context of clinical trials, the continued development of complex requirements at the state level may further complicate compliance efforts and may impact our business activities, including our identification of research subjects, relationships with business partners and ultimately the marketing and distribution of our products, and are examples of the increasingly stringent and evolving regulatory frameworks related to personal data processing, as more fully discussed in the section titled “Risk Factors.”.</w:t>
      </w:r>
    </w:p>
    <w:p>
      <w:pPr>
        <w:spacing w:after="0" w:line="18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Additionally, to the extent we collect personal data outside of the United States, through clinical trials or otherwise, we are, or may become, subject to foreign data and data security laws, such as the European Union’s General Data Protection Regulation 2016/679, or EU GDPR, and other national data protection legislation in force in relevant EEA Member States, and the EU GDPR as it forms part UK law by virtue of section 3 of the European Union (Withdrawal) Act 2018, or UK GDPR. Foreign privacy and data security laws impose significant and complex compliance obligations on entities that are subject to those laws and may impose significant sanctions for non-compliance (including fines of up to the greater of 20 million Euros (17.5 million GBP for the UK) or 4% of worldwide annual revenue), as more fully discussed in the section titled “Risk Factors.”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who are prescribed treatments for their conditions and providers performing the prescribed services generally rely on third-party payors to reimburse all or part of the costs associated with their prescription. Therefore, adequate coverage and reimbursement from such third-party payors are critical to new and ongoing product acceptance.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Factors payors consider in determining coverage and reimbursement are based on whether the product is:</w:t>
      </w:r>
    </w:p>
    <w:p>
      <w:pPr>
        <w:spacing w:after="0" w:line="93" w:lineRule="exact"/>
        <w:rPr>
          <w:sz w:val="20"/>
          <w:szCs w:val="20"/>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In the United States,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A third-party payor’s decision to provide coverage for a product does not imply that an adequate reimbursement rate will be approved. Therefore, even if coverage is provided, the approved reimbursement amount may not be high enough to allow us to establish or maintain pricing sufficient to realize a return on our investment.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7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Third-party payors are increasingly challenging the prices charged, examining the medical necessity, and reviewing the cost- effectiveness of medical products and services and imposing controls to manage costs.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as the process of determining coverage and reimbursement is often time consuming and costly. 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Moreover, coverage may be more limited than the purposes for which the product is approved by FDA or regulatory authorities in other countries. Additionally, companies may also need to provide discounts to purchasers, private health plans, or government healthcare programs. Third-party payors may limit coverage to specific products on an approved list, also known as a formulary, which might not include all of the approved products for a particular indication. Third-party payors could determine that our product candidates are not medically necessary or cost effective. A decision by a third-party payor not to cover a product could reduce physician utilization once the product is approved and have a material adverse effect on sales, results of operations and our financial condition.</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products have been a focus in this effort. There have been a number of federal and state proposals during the last few years regarding the pricing of pharmaceutical products, limiting coverage and the amount of reimbursement for drugs and other medical products, government control, and other changes to the healthcare system in the United States including the relaxation of laws that presently restrict imports of drugs from countries where they may be sold at lower prices than in the United States. Governments have shown significant interest in implementing cost-containment programs, including price controls, restrictions on reimbursement, and requirements for substitution of generic products.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19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Further, third-party payors are increasingly reducing reimbursements for drugs and services and implementing measures to control utilization of drugs (such as requiring prior authorization or step therapy for coverage, among other things).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Even if favorable coverage and reimbursement status is attained for one or more products for which we receive regulatory approval, less favorable coverage policies and reimbursement rates may be implemented in the future. Moreover, payment methodologies may be subject to changes in healthcare legislation and regulatory initiatives. For example, the U.S. Centers for Medicare &amp; Medicaid Services, or CMS, may develop new payment and delivery models, such as bundled payment models. In addition, recently there has been heightened governmental scrutiny over the manner in which manufacturers set prices for their commercial products, which has resulted in several U.S.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w:t>
      </w:r>
    </w:p>
    <w:p>
      <w:pPr>
        <w:spacing w:after="0" w:line="19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 Adoption of price controls and cost-containment measures, and adoption of more restrictive policies in jurisdictions with existing controls and measures, could further limit a company’s revenue generated from the sale of any approved products.</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00"/>
          </w:cols>
          <w:pgMar w:left="320" w:top="455" w:right="47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Member States have the option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healthcare expenditures, especially in light of the severe fiscal and debt crises experienced by many countries in the EU.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Healthcare Reform</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and regulatory changes to the healthcare system that could impact our ability to sell our products profitably. For example, in March 2010, the ACA was enacted, which substantially changed the way healthcare is financed by both governmental and private insurers, and significantly affected the pharmaceutical industry. The ACA contained a number of provisions, including those governing enrollment in federal healthcare programs, reimbursement adjustments, and changes to fraud and abuse laws. For example, the ACA, among other things:</w:t>
      </w:r>
    </w:p>
    <w:p>
      <w:pPr>
        <w:spacing w:after="0" w:line="89" w:lineRule="exact"/>
        <w:rPr>
          <w:sz w:val="20"/>
          <w:szCs w:val="20"/>
          <w:color w:val="auto"/>
        </w:rPr>
      </w:pPr>
    </w:p>
    <w:p>
      <w:pPr>
        <w:ind w:left="1080" w:right="36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minimum level of Medicaid rebates payable by manufacturers of brand name drugs from 15.1% to 23.1% of the average manufacturer price;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collection of rebates for drugs paid by Medicaid managed care organizations;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manufacturers to participate in a coverage gap discount program, under which they must agree to offer 50% point-of-sale discount off negotiated prices of applicable brand drugs to eligible beneficiaries during their coverage gap period, as a condition for the manufacturer’s outpatient drugs to be covered under Medicare Part D (later increased to 70%); and</w:t>
      </w:r>
    </w:p>
    <w:p>
      <w:pPr>
        <w:spacing w:after="0" w:line="81"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 non-deductible annual fee on pharmaceutical manufacturers or importers who sell “branded prescription drugs” to specified federal government programs.</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Since its enactment, there have been judicial, administrative, executive, and legislative challenges to certain aspects of the ACA as well as executive orders related to the ACA’s implementation. It is unclear how healthcare reform measures of the current presidential administration or other efforts, if any, to challenge repeal or replace the ACA, will impact our business.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These changes included aggregate reductions to Medicare payments to providers and health plans (including Part D prescription drug plans) of up to 2% per fiscal year, effective April 1, 2013, and which will stay in effect through 2032, unless Congress takes additional action. Additionally, American Taxpayer Relief Act of 2012, which, among other things, reduced Medicare payments to several providers, and increased the statute of limitations period for the government to recover overpayments to providers from three to five years. Moreover,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00"/>
          </w:cols>
          <w:pgMar w:left="320" w:top="455" w:right="47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One Big Beautiful Bill Act, which was enacted in July 2025, imposes significant reductions in the funding of the Medicaid program. Such reductions are expected to decrease the number of persons enrolled in Medicaid and reduce the services covered by Medicaid. These new laws and regulatory changes may result in additional reductions in Medicare and other healthcare funding, which could have a material adverse effect on prescribers of our drugs, if approved, and accordingly, our financial operations.</w:t>
      </w:r>
    </w:p>
    <w:p>
      <w:pPr>
        <w:spacing w:after="0" w:line="180"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as of January 1, 2024, the American Rescue Plan Act of 2021 eliminated the statutory Medicaid drug rebate cap of 100% of a drug’s average manufacturer price, for single source and innovator multiple source drugs. More recently, the Inflation Reduction Act of 2022, or IRA, among other things, directed HHS to negotiate the price of certain high-expenditure, single-source drugs and biologics covered under Medicare, and created civil monetary penalties and an excise tax for manufacturers that fail to comply with the drug price negotiation requirements. The IRA also imposed rebates for certain drugs and biologics covered under Medicare Part B or Medicare Part D to penalize price increases that outpace inflation, and, beginning in 2025, replaced the Part D coverage gap discount program with a new discounting program. The IRA permits HHS to implement many of these provisions through guidance, as opposed to regulation, for the initial years. On August 15, 2024, HHS announced the negotiated prices for the first ten drugs that will be subject to price negotiations, and on January 17, 2025, HHS announced 15 additional drugs subject to negotiations. The Medicare drug price negotiation program is currently subject to multiple legal challenges. The impact of these challenges, as well as any other future challenges, is uncertain, and it is unclear how the IRA will be implemented but is likely to have a significant impact on the pharmaceutical industry.</w:t>
      </w:r>
    </w:p>
    <w:p>
      <w:pPr>
        <w:spacing w:after="0" w:line="19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addition, the Trump administration is pursuing a two-fold strategy to reduce drug costs in the U.S. While it is unclear whether and how the Trump proposals will be implemented, the Trump policies are likely to have a negative impact on the pharmaceutical industry and on our ability to receive adequate revenues for product candidates, if approved.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although proposed regulations have not yet been published.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w:t>
      </w:r>
    </w:p>
    <w:p>
      <w:pPr>
        <w:spacing w:after="0" w:line="18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2020, FDA released its implementing regulations regarding section 804 Importation Programs under the Medicare Prescription Drug Improvement and Modernization Act of 2003, which create a pathway for states to submit proposals to import certain drugs from Canada. On January 5, 2024, the FDA authorized a Florida program to import prescription drugs from Canada for a period of two years to help reduce drug costs, provided that Florida’s Agency for Health Care Administration meets the requirements set forth by the FDA. If broadly implemented, importation of drugs under this program from Canada may materially and adversely affect the price we receive for any of our product candidates. Additionally, it is unclear what steps the current presidential administration will take with respect to increasing importation of drugs at the state or federal level.</w:t>
      </w:r>
    </w:p>
    <w:p>
      <w:pPr>
        <w:spacing w:after="0" w:line="187"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Individual states have also been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determine what pharmaceutical products and which suppliers will be included in their prescription drug and other healthcare programs. We expect that additional state and federal healthcare reform measures will be adopted in the future, particularly in light of the new presidential administration, any of which could limit the amounts that federal and state governments will pay for healthcare products and services.</w:t>
      </w:r>
    </w:p>
    <w:p>
      <w:pPr>
        <w:spacing w:after="0" w:line="176"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Although a number of these and other proposed measures may require authorization through additional legislation to become effective, and the current presidential administration may reverse or otherwise change these measures, both the current presidential administration and Congress have indicated that they will continue to seek new legislative measures to control drug costs.</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Similar political, economic, and regulatory developments are occurring in the EU and may affect the ability of pharmaceutical companies to profitably commercialize their products. In addition to continuing pressure on prices and cost containment measures, legislative developments at the EU or member state level may result in significant additional requirements or obstacles.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restrict or regulate post-approval activities and affect the ability of pharmaceutical companies to commercialize their products. In international markets, reimbursement and healthcare payment systems vary significantly by country, and many countries have instituted price ceilings on specific products and therapies.</w:t>
      </w:r>
    </w:p>
    <w:p>
      <w:pPr>
        <w:spacing w:after="0" w:line="194"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the EU, potential reductions in prices and changes in reimbursement levels could be the result of different factors, including reference pricing systems, parallel distribution, and parallel trade. It could also result from the application of external reference pricing mechanisms, which consist of arbitrage between low-priced and high-priced countries. Reductions in the pricing of our medicinal products in one EU member state could affect the price in other EU member states and, thus, have a negative impact on our financial results.</w:t>
      </w:r>
    </w:p>
    <w:p>
      <w:pPr>
        <w:spacing w:after="0" w:line="180" w:lineRule="exact"/>
        <w:rPr>
          <w:sz w:val="20"/>
          <w:szCs w:val="20"/>
          <w:color w:val="auto"/>
        </w:rPr>
      </w:pPr>
    </w:p>
    <w:p>
      <w:pPr>
        <w:ind w:left="120" w:right="320" w:firstLine="440"/>
        <w:spacing w:after="0" w:line="281" w:lineRule="auto"/>
        <w:rPr>
          <w:sz w:val="20"/>
          <w:szCs w:val="20"/>
          <w:color w:val="auto"/>
        </w:rPr>
      </w:pPr>
      <w:r>
        <w:rPr>
          <w:rFonts w:ascii="Times New Roman" w:cs="Times New Roman" w:eastAsia="Times New Roman" w:hAnsi="Times New Roman"/>
          <w:sz w:val="17"/>
          <w:szCs w:val="17"/>
          <w:color w:val="auto"/>
        </w:rPr>
        <w:t>Health Technology Assessment, or HTA, of medicinal products in the EU is an essential element of the pricing and reimbursement decision-making process in a number of EU member states. The outcome of HTA has a direct impact on the pricing and reimbursement status granted to the medicinal product. A negative HTA by a leading and recognized HTA body concerning a medicinal product could undermine the prospects to obtain reimbursement for such product not only in the EU member state in which the negative assessment was issued, but also in other EU member states.</w:t>
      </w:r>
    </w:p>
    <w:p>
      <w:pPr>
        <w:spacing w:after="0" w:line="16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2011, Directive 2011/24/EU was adopted at the EU level. This Directive establishes a voluntary network of national authorities or bodies responsible for HTA in the individual EU member states. The network facilitates and supports the exchange of scientific information concerning HTAs. Further to this, on December 13, 2021, Regulation No 2021/2282 on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corporate headquarters are located in Boston, Massachusetts, where we lease and occupy approximately 25,265 square feet of office space. Our Boston lease expires in October 2030. We also license and occupy approximately 1711 square feet of lab space in Boston, Massachusetts. This license will expire in January 2027.</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believe our existing facilities in Boston are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As of September 30, 2025, we had 55 full-time employees. Within our workforce, 36 employees are engaged in research and development and 19 are engaged in business development, finance, legal, and general management and administration. Our human capital resources objectives include identifying, recruiting, retaining, incentivizing and integrating our existing and new employees, advisors and consultants. The principal purposes of our equity incentive plans are to attract, retain and reward personnel through the granting of equity-based compensation awards in order to increase shareholder value and the success of our company by motivating such individuals to perform to the best of their abilities and achieve our objectives. None of our employees is represented by a labor union or covered by a collective bargaining agreement. We consider our relationship with our employees to be good.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20"/>
          </w:cols>
          <w:pgMar w:left="320" w:top="455" w:right="4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and directors as of the date of this prospectus: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Age</w:t>
            </w:r>
          </w:p>
        </w:tc>
        <w:tc>
          <w:tcPr>
            <w:tcW w:w="5060" w:type="dxa"/>
            <w:vAlign w:val="bottom"/>
          </w:tcPr>
          <w:p>
            <w:pPr>
              <w:ind w:left="22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9"/>
        </w:trPr>
        <w:tc>
          <w:tcPr>
            <w:tcW w:w="5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60" w:type="dxa"/>
            <w:vAlign w:val="bottom"/>
            <w:tcBorders>
              <w:top w:val="single" w:sz="8" w:color="auto"/>
            </w:tcBorders>
            <w:shd w:val="clear" w:color="auto" w:fill="CCEEFF"/>
          </w:tcPr>
          <w:p>
            <w:pPr>
              <w:spacing w:after="0"/>
              <w:rPr>
                <w:sz w:val="18"/>
                <w:szCs w:val="18"/>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Daphne Zohar</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C. Chen, Ph.D.</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Lana Gladstein, J.D.</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Green</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Antony Loebel, M.D.</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Lauren A. White</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24"/>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M. Paul, M.D.</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and Board Chair</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Elenko, Ph.D.</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I. Healy, M.D., Ph.D.</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J. Hombach</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Nelsen</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Sandra E. Peterson</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Pitts, Ph.D.</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Denice Torres, J.D.</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Wheadon, M.D.</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Lyne LLB</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hanging="424"/>
        <w:spacing w:after="0"/>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7"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Daphne Zohar. </w:t>
      </w:r>
      <w:r>
        <w:rPr>
          <w:rFonts w:ascii="Times New Roman" w:cs="Times New Roman" w:eastAsia="Times New Roman" w:hAnsi="Times New Roman"/>
          <w:sz w:val="17"/>
          <w:szCs w:val="17"/>
          <w:color w:val="auto"/>
        </w:rPr>
        <w:t>Ms. Zohar was our founder and has served as our President and Chief Executive Officer and as a member of our board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directors since April 2024. Prior to joining us, Ms. Zohar served as Founder, Chief Executive Officer and as a member of the board of directors of PureTech (Nasdaq/LSE: PRTC), since its formation in June 2015 to April 2024, and since 2005 at PureTech’s predecessor entity. A successful entrepreneur, Ms. Zohar created PureTech, assembling a leading team and scientific network to help implement her vision for the company, and was a key participant in fundraising, business development and establishing the underlying programs and platforms that have resulted in PureTech’s substantial pipeline of products and product candidates. She also co-founded PureTech’s entities, including Karuna Therapeutics, Inc. (formerly Nasdaq: KRTX), which was acquired by Bristol Myers Squibb in March 2024. Ms. Zohar was a key driver in PureTech’s productive R&amp;D engine, which led to 28 new medicines and a clinical success rate at PureTech and founded entities that was around six times better than the industry average during her tenure.</w:t>
      </w:r>
    </w:p>
    <w:p>
      <w:pPr>
        <w:spacing w:after="0" w:line="4" w:lineRule="exact"/>
        <w:rPr>
          <w:sz w:val="20"/>
          <w:szCs w:val="20"/>
          <w:color w:val="auto"/>
        </w:rPr>
      </w:pPr>
    </w:p>
    <w:p>
      <w:pPr>
        <w:ind w:left="120" w:right="560"/>
        <w:spacing w:after="0" w:line="255" w:lineRule="auto"/>
        <w:rPr>
          <w:sz w:val="20"/>
          <w:szCs w:val="20"/>
          <w:color w:val="auto"/>
        </w:rPr>
      </w:pPr>
      <w:r>
        <w:rPr>
          <w:rFonts w:ascii="Times New Roman" w:cs="Times New Roman" w:eastAsia="Times New Roman" w:hAnsi="Times New Roman"/>
          <w:sz w:val="18"/>
          <w:szCs w:val="18"/>
          <w:color w:val="auto"/>
        </w:rPr>
        <w:t>Ms. Zohar is a senior advisor to PureTech and founder &amp; co-host of the weekly podcast “Biotech Hangout.” Ms. Zohar received a B.S. from Northeastern University. Our board of directors believes that Ms. Zohar is qualified to serve as a member of our board of directors because of her extensive experience and leadership in the biopharmaceutical industry and her role as our company’s founder and chief executive officer.</w:t>
      </w:r>
    </w:p>
    <w:p>
      <w:pPr>
        <w:spacing w:after="0" w:line="182"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Michael C. Chen, Ph.D. </w:t>
      </w:r>
      <w:r>
        <w:rPr>
          <w:rFonts w:ascii="Times New Roman" w:cs="Times New Roman" w:eastAsia="Times New Roman" w:hAnsi="Times New Roman"/>
          <w:sz w:val="18"/>
          <w:szCs w:val="18"/>
          <w:color w:val="auto"/>
        </w:rPr>
        <w:t>Dr. Chen has served as our Chief Scientific Officer since May 2024. Prior to joining us, Dr. Chen served various roles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PureTech from 2016 to May 2024, most recently as Head of</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40"/>
          </w:cols>
          <w:pgMar w:left="320" w:top="455" w:right="4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20"/>
        <w:spacing w:after="0" w:line="258" w:lineRule="auto"/>
        <w:rPr>
          <w:sz w:val="20"/>
          <w:szCs w:val="20"/>
          <w:color w:val="auto"/>
        </w:rPr>
      </w:pPr>
      <w:r>
        <w:rPr>
          <w:rFonts w:ascii="Times New Roman" w:cs="Times New Roman" w:eastAsia="Times New Roman" w:hAnsi="Times New Roman"/>
          <w:sz w:val="18"/>
          <w:szCs w:val="18"/>
          <w:color w:val="auto"/>
        </w:rPr>
        <w:t>Innovation from 2016 to May 2024, where he oversaw the rapid advancement of the neuropsychiatric medicines that led to our launch. From 2016 to 2019, Dr. Chen was also co-founder and Head of Research and Strategy at Sonde Health, Inc., a company developing vocal biomarkers for depression and other neuropsychiatric disorders. He was a postdoctoral fellow at Beth Israel Deaconess Medical Center and Harvard Medical School, Department of Neurology. Dr. Chen completed his Ph.D. at Stanford University, focusing on the neurobiological mechanisms of depression and sleep disorders. He received a B.A. from Yale University.</w:t>
      </w:r>
    </w:p>
    <w:p>
      <w:pPr>
        <w:spacing w:after="0" w:line="179"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Lana Gladstein, J.D. </w:t>
      </w:r>
      <w:r>
        <w:rPr>
          <w:rFonts w:ascii="Times New Roman" w:cs="Times New Roman" w:eastAsia="Times New Roman" w:hAnsi="Times New Roman"/>
          <w:sz w:val="18"/>
          <w:szCs w:val="18"/>
          <w:color w:val="auto"/>
        </w:rPr>
        <w:t>Ms. Gladstein has served as our General Counsel since June 2024. Prior to joining us, she served as the Group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Counsel at APRINOIA Therapeutics, Inc. (Nasdaq: APRI) from May 2023 to June 2024. From June 2022 to May 2023, she also served as Chief Legal Officer of Recipharm AB North America from June 2022 to May 2023, Chief Legal Officer and General Counsel of Arranta Bio (acquired by Recipharm) from November 2019 to May 2023 and Executive Vice President and General Counsel of Brammer Bio (acquired by Thermo Fisher Scientific) from March 2017 to October 2019. Prior to that, Ms. Gladstein was a partner at the law firm of Nutter McClennen &amp; Fish LLP and Pepper Hamilton LLP. Ms. Gladstein holds a J.D. from Northeastern University School of Law and a B.A. in Biology from Brandeis University.</w:t>
      </w:r>
    </w:p>
    <w:p>
      <w:pPr>
        <w:spacing w:after="0" w:line="18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Eric Green. </w:t>
      </w:r>
      <w:r>
        <w:rPr>
          <w:rFonts w:ascii="Times New Roman" w:cs="Times New Roman" w:eastAsia="Times New Roman" w:hAnsi="Times New Roman"/>
          <w:sz w:val="18"/>
          <w:szCs w:val="18"/>
          <w:color w:val="auto"/>
        </w:rPr>
        <w:t>Mr. Green has served as our Chief Operating Officer since May 2024. Prior to joining us, Mr. Green was Senior Vice President, Head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Development Programs at Alnylam Pharmaceuticals, Inc. (Nasdaq: ALNY), or Alnylam, from February 2021 to April 2024 where he led a team responsible for global development and pre-commercialization activities for a portfolio of development stage programs. From February 2019 to January 2021 he served as Senior Vice President, Global General Manager for the TTR Franchise at Alnylam. Mr. Green held former roles at biopharmaceutical companies such as Synageva BioPharma Corp., Infinity Pharmaceuticals, Inc., Genzyme Corporation, and Pfizer Inc. (NYSE: PFE). He received an M.B.A. from MIT Sloan School of Management and an M.S. in chemical engineering from MIT School of Engineering. He earned a B.S. in chemical engineering from University of Michigan.</w:t>
      </w:r>
    </w:p>
    <w:p>
      <w:pPr>
        <w:spacing w:after="0" w:line="183"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Antony Loebel, M.D. </w:t>
      </w:r>
      <w:r>
        <w:rPr>
          <w:rFonts w:ascii="Times New Roman" w:cs="Times New Roman" w:eastAsia="Times New Roman" w:hAnsi="Times New Roman"/>
          <w:sz w:val="18"/>
          <w:szCs w:val="18"/>
          <w:color w:val="auto"/>
        </w:rPr>
        <w:t>Dr. Loebel has served as our Chief Medical Officer and President of Clinical Development since June 2024. He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the President and Chief Executive Officer of Sunovion Pharmaceuticals Inc. from April 2019 to June 2023, and served as Chief Medical Officer from 2011 to March 2019. During his tenure at Sunovion, Dr. Loebel played a key role in the company’s growth to over $3.5 billion in total revenue and was instrumental in the development and commercialization of Latuda for the treatment of bipolar depression and schizophrenia. Prior to his time at Sunovion, he held senior roles in research and development and medical affairs at Dainippon Sumitomo Pharma America and Pfizer Inc. (NYSE: PFE). Dr. Loebel earned his M.D. from the University of Washington in Seattle, completed his psychiatry residency at the Zucker Hillside Hospital in New York, and is board certified in psychiatry.</w:t>
      </w:r>
    </w:p>
    <w:p>
      <w:pPr>
        <w:spacing w:after="0" w:line="183"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Lauren A. White. </w:t>
      </w:r>
      <w:r>
        <w:rPr>
          <w:rFonts w:ascii="Times New Roman" w:cs="Times New Roman" w:eastAsia="Times New Roman" w:hAnsi="Times New Roman"/>
          <w:sz w:val="18"/>
          <w:szCs w:val="18"/>
          <w:color w:val="auto"/>
        </w:rPr>
        <w:t>Ms. White has served as our Chief Financial Officer since November 2024. Prior to joining us, Ms. White served as the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and Treasurer of ImmunoGen, Inc. (formerly Nasdaq: IMGN), or ImmunoGen, from September 2023 to June 2024 prior to its acquisition by AbbVie. Prior to that, she served as Chief Financial Officer, Treasurer, and Principal Accounting Officer at C4 Therapeutics, Inc. (Nasdaq: CCC) from June 2021 to September 2023, and held roles of increasing responsibility at Novartis AG (NYSE: NVS), most recently as Vice President, Finance, and Global Head of Business Planning and Analysis at Novartis Institutes for BioMedical Research from July 2017 to June 2021. Ms. White earned an M.B.A. from Harvard Business School and a B.S. from the Carroll School of Management at Boston College.</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117"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Steven M. Paul, M.D. </w:t>
      </w:r>
      <w:r>
        <w:rPr>
          <w:rFonts w:ascii="Times New Roman" w:cs="Times New Roman" w:eastAsia="Times New Roman" w:hAnsi="Times New Roman"/>
          <w:sz w:val="18"/>
          <w:szCs w:val="18"/>
          <w:color w:val="auto"/>
        </w:rPr>
        <w:t>Dr. Paul has been a member and chair of our board of directors since April 2024. Dr. Paul was one of our founders and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also served as our senior advisor since February 2024. From August 2018 to January 2024, Dr. Paul served in senior leadership roles at Karuna Therapeutics, Inc. (Nasdaq: KRTX, prior to its recent acquisition by Bristol Myers Squibb Company), including as Chief Scientific Officer and President of Research and Development from January 2023 to January 2024, and President, Chief Executive</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00"/>
          </w:cols>
          <w:pgMar w:left="320" w:top="455" w:right="47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Officer, and Chairman of the board of directors from August 2018 to January 2023. Dr. Paul has also served as a Venture Partner at Third Rock Ventures since 2010. Dr. Paul is also board certified by the American Board of Psychiatry and Neurology. Dr. Paul has served on the board of directors of Rapport Therapeutics, Inc. (Nasdaq: RAPP) since December 2022 and Sage Therapeutics, Inc. (Nasdaq: SAGE) from September 2011 until June 2024 and is also the chairman of the board of directors of the Foundation for the National Institutes of Health (FNIH). Previously, Dr. Paul served on the boards of directors of Alnylam Pharmaceuticals, Inc. (Nasdaq: ALNY) from September 2010 to April 2022, Voyager Therapeutics, Inc. (Nasdaq: VYGR) from September 2014 to June 2022 and Karuna Therapeutics, Inc. from March 2018 to March 2024. Dr. Paul also previously spent 17 years at Eli Lilly and Company (NYSE: LLY), during which time he held several leadership roles, including Executive Vice President for Science and Technology, and President of the Lilly Research Laboratories. Prior to Lilly, Dr. Paul spent 18 years at the National Institute of Mental Health (NIMH) where he served as Scientific Director. Dr. Paul received a Bachelor of Arts degree in biology and psychology from Tulane University and Master of Science and Doctor of Medicine degrees from the Tulane University School of Medicine. Our board of directors believes that Dr. Paul is qualified to serve on our board of directors due to his numerous leadership roles and experience in the pharmaceutical industry and his expertise in neuroscience.</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James I. Healy, M.D, Ph.D. </w:t>
      </w:r>
      <w:r>
        <w:rPr>
          <w:rFonts w:ascii="Times New Roman" w:cs="Times New Roman" w:eastAsia="Times New Roman" w:hAnsi="Times New Roman"/>
          <w:sz w:val="18"/>
          <w:szCs w:val="18"/>
          <w:color w:val="auto"/>
        </w:rPr>
        <w:t>Dr. Healy has been a member of our board of directors since April 2024. Dr. Healy has served as Managing Partner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Sofinnova Investments, Inc. since June 2000. Dr. Healy has served on the boards of directors of Rapport Therapeutics, Inc. (Nasdaq: RAPP) since August 2023, ArriVent Biopharma, Inc. (Nasdaq: AVBP) since March 2023 and BioAge Labs, Inc. (Nasdaq: BIOA) since February of 2024. , Previously, Dr. Healy served on numerous public company boards of directors including Bolt Biotherapeutics, Inc. (Nasdaq: BOLT) from January 2021 until September 2024, Natera, Inc. (Nasdaq: NTRA) from November 2014 until June 2025, Y-mAbs Therapeutics, Inc. (Nasdaq: YMAB) from November 2017 until September 2025, Ascendis Pharma A/S (Nasdaq: ASND) from November 2014 to May 2022, Amarin Corporation PLC (Nasdaq: AMRN) from May 2008 to December 2016, CinCor Pharma, Inc. (Nasdaq: CINC, prior to its recent acquisition by AstraZeneca PLC) from May 2019 to February 2023, Coherus BioSciences, Inc. (Nasdaq: CHRS) from February 2014 to February 2022, Karuna Therapeutics, Inc. (Nasdaq: KRTX, prior to its recent acquisition by Bristol Myers Squibb Company) from June 2019 to March 2024, Iterum Therapeutics plc (Nasdaq: ITRM) from November 2015 to February 2020, ObsEva SA (Nasdaq: OBSEF) from August 2013 to May 2021, and NuCana PLC (Nasdaq: NCNA) from March 2014 to April 2022. He also previously served as a director on the Board of the National Venture Capital Association (NVCA) and the Board of the Biotechnology Industry Organization (BIO). Dr. Healy holds Bachelor of Arts degrees in molecular biology and Scandinavian studies from the University of California, Berkeley, and Doctor of Medicine and Doctor of Philosophy degrees in immunology from Stanford University School of Medicine. Our board of directors believes that Dr. Healy is qualified to serve on our board of directors due to his extensive experience and leadership roles in the biopharmaceutical industry and expertise in healthcare investing.</w:t>
      </w:r>
    </w:p>
    <w:p>
      <w:pPr>
        <w:spacing w:after="0" w:line="183"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Robert J. Hombach. </w:t>
      </w:r>
      <w:r>
        <w:rPr>
          <w:rFonts w:ascii="Times New Roman" w:cs="Times New Roman" w:eastAsia="Times New Roman" w:hAnsi="Times New Roman"/>
          <w:sz w:val="18"/>
          <w:szCs w:val="18"/>
          <w:color w:val="auto"/>
        </w:rPr>
        <w:t>Mr. Hombach has been a member of our board of directors since March 2025. Mr. Hombach served as the Executive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Chief Financial Officer and Chief Operations Officer of Baxalta (NYSE: BXLT), a global biopharmaceutical company, until it was acquired by Shire plc. in 2016. Mr. Homach has served on the board of directors of Henry Schein Inc (Nasdaq: HSIC) since February, 2025, BioMarin Pharmaceutical Inc (Nasdaq: BMRN) since September 2017, Embecta Corp. (Nasdaq: EMBC) since April, 2022, Aptinyx Inc. from April, 2018 to December, 2023, CarMax Inc, (NYSE: KMX) from March, 2018 to June, 2022. He was instrumental in Baxalta’s successful spin off from its parent company, Baxter (NYSE: BAX), where he previously served as Corporate Vice President and Chief Financial Officer. In addition to his board positions at BioMarin and Henry Schein, Mr. Hombach is the Chair of the Audit Committee at Embecta, a global diabetes care company spun out of Becton Dickinson, and has held previous board positions at several other companies including Naurex, Inc., which was acquired by Allergan in 2015.</w:t>
      </w:r>
    </w:p>
    <w:p>
      <w:pPr>
        <w:spacing w:after="0" w:line="5" w:lineRule="exact"/>
        <w:rPr>
          <w:sz w:val="20"/>
          <w:szCs w:val="20"/>
          <w:color w:val="auto"/>
        </w:rPr>
      </w:pPr>
    </w:p>
    <w:p>
      <w:pPr>
        <w:ind w:left="120" w:right="240"/>
        <w:spacing w:after="0" w:line="255" w:lineRule="auto"/>
        <w:rPr>
          <w:sz w:val="20"/>
          <w:szCs w:val="20"/>
          <w:color w:val="auto"/>
        </w:rPr>
      </w:pPr>
      <w:r>
        <w:rPr>
          <w:rFonts w:ascii="Times New Roman" w:cs="Times New Roman" w:eastAsia="Times New Roman" w:hAnsi="Times New Roman"/>
          <w:sz w:val="18"/>
          <w:szCs w:val="18"/>
          <w:color w:val="auto"/>
        </w:rPr>
        <w:t>Mr. Hombach received an MBA from Northwestern University’s J.L. Kellogg Graduate School of Management, and a BS in Finance cum laude from the University of Colorado. Our board of directors believes that Mr. Hombach is qualified to serve on our board of directors due to his significant leadership experience in the biopharmaceutical industry.</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20"/>
          </w:cols>
          <w:pgMar w:left="320" w:top="455" w:right="4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Robert Nelsen. </w:t>
      </w:r>
      <w:r>
        <w:rPr>
          <w:rFonts w:ascii="Times New Roman" w:cs="Times New Roman" w:eastAsia="Times New Roman" w:hAnsi="Times New Roman"/>
          <w:sz w:val="18"/>
          <w:szCs w:val="18"/>
          <w:color w:val="auto"/>
        </w:rPr>
        <w:t>Mr. Nelsen has been a member of our board of directors since April 2024. Mr. Nelsen co-founded ARCH Venture Partners, L.P.,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venture capital firm focused on early-stage technology companies, in 1986 and has served as a Managing Director of ARCH Venture Partners or its affiliated entities since 1994. Mr. Nelsen has served on the board of directors of Prime Medicine, Inc. (Nasdaq: PRME) since September 2020, and Sana Biotechnology, Inc. (Nasdaq: SANA) since October 2018, each a U.S. publicly traded biotechnology company. Mr. Nelsen has served as the Chairman and as a member of the board of directors of Hua Medicine, Inc., a Hong Kong publicly listed drug development company, since April 2010 and currently serves on the board of directors of a number of private companies. Mr. Nelsen previously served on the board of directors of a number of public biotechnology companies, including Vir Biotechnology, Inc. from 2016 to 2025, Lyell Immunopharma, Inc. from 2018 to 2025, Brii Biosciences, Inc., from 2018 to 2024, Revolution Healthcare Acquisition Corp. from 2021 to 2022, Denali Therapeutics Inc. from 2015 to 2022, Unity Biotechnology, Inc. from 2015 to December 2020, Agios Pharmaceuticals, Inc. from 2007 to June 2017, Syros Pharmaceuticals, Inc. from 2012 to June 2018, Juno Therapeutics, Inc. (acquired by Celgene Corporation in January 2018) from 2013 to March 2018, Sienna Biopharmaceuticals, Inc. from 2015 to September 2018 and Gossamer Bio, Inc. from 2017 to December 2018 (prior to its initial public offering). Mr. Nelsen received his M.B.A. from the University of Chicago and his B.S. from the University of Puget Sound in Economics and Biology. Our board of directors believes that Mr. Nelsen is qualified to serve on the Board due to his significant venture capital experience as a director and investor in the biotechnology industry.</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Sandra E. Peterson. </w:t>
      </w:r>
      <w:r>
        <w:rPr>
          <w:rFonts w:ascii="Times New Roman" w:cs="Times New Roman" w:eastAsia="Times New Roman" w:hAnsi="Times New Roman"/>
          <w:sz w:val="18"/>
          <w:szCs w:val="18"/>
          <w:color w:val="auto"/>
        </w:rPr>
        <w:t>Ms. Peterson has been a member of our board of directors since November 2024. She has served as an Operating Partner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Clayton Dubilier &amp; Rice, or CD&amp;R, a private investment firm, since April 2019 where she invests in life sciences and consumer companies and oversees technology initiatives to enhance performance of the firm’s portfolio companies. Prior to joining CD&amp;R, Ms. Peterson was the Group Worldwide Chair for Johnson &amp; Johnson, or J&amp;J, where she led J&amp;J’s consumer and medical devices businesses and was responsible for global operating infrastructure, technology, supply chain, quality, and key strategic initiatives from 2012 to 2018. Ms. Peterson currently serves as Lead Independent Director of Microsoft Corp. (Nasdaq: MSFT) since March 2023 and a member of its board of directors since December 2015. She also serves as Executive Chairwoman of the board of directors of Volastra Therapeutics since October 2019. Ms. Peterson received her M.P.A. from Princeton University and a B.A. from Cornell University. Our board of directors believes that Ms. Peterson is qualified to serve on our board of directors due to her extensive knowledge of strategy and business development in the life sciences industry and her wide-ranging experience in leadership positions.</w:t>
      </w:r>
    </w:p>
    <w:p>
      <w:pPr>
        <w:spacing w:after="0" w:line="18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Denice Torres, J.D. </w:t>
      </w:r>
      <w:r>
        <w:rPr>
          <w:rFonts w:ascii="Times New Roman" w:cs="Times New Roman" w:eastAsia="Times New Roman" w:hAnsi="Times New Roman"/>
          <w:sz w:val="18"/>
          <w:szCs w:val="18"/>
          <w:color w:val="auto"/>
        </w:rPr>
        <w:t>Ms. Torres has been a member of our board of directors since May 2024. Ms. Torres is the founder and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The Ignited Company, a consulting firm she founded in November 2017, and is also the founder of The Mentoring Place, a nonprofit organization established in 2017. From December 2004 to December 2017, Ms. Torres served in senior leadership roles at Johnson &amp; Johnson, including President of J&amp;J Neuroscience, President of J&amp;J Consumer Health, and Chief Strategy and Transformation Officer of the J&amp;J Medical Device Sector. Prior to that, from 1990 to 2004, Ms. Torres held various leadership positions at Eli Lilly and Company, including Executive Director of Global Neuroscience and Director of U.S. Women’s Health. Ms. Torres currently serves on the board of directors of Celldex Therapeutics Inc. (Nasdaq: CLDX), Glaukos Corp. (Nasdaq: GKOS), National Resilience Inc., and ByHeart Inc. Ms. Torres previously served on the boards of Karuna Therapeutics, Inc., 2seventy bio, Inc., Thirty Madison, bluebird bio, Inc., and Surface Oncology, Inc. Ms. Torres holds an M.B.A. from the University of Michigan, a J.D. from Indiana University School of Law, a B.S. in Psychology from Ball State University, and an M.A. in the Study of Happiness from Centenary University. She is currently pursuing a Ph.D. in Happiness Studies at Centenary University. Our board of directors believes that Ms. Torres is qualified to serve on our board of directors due to her extensive leadership experience in the pharmaceutical, biotechnology, and consumer health industries and her expertise in neuroscience, strategy, and business operations.</w:t>
      </w:r>
    </w:p>
    <w:p>
      <w:pPr>
        <w:spacing w:after="0" w:line="190" w:lineRule="exact"/>
        <w:rPr>
          <w:sz w:val="20"/>
          <w:szCs w:val="20"/>
          <w:color w:val="auto"/>
        </w:rPr>
      </w:pPr>
    </w:p>
    <w:p>
      <w:pPr>
        <w:ind w:left="120" w:right="24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David Wheadon, M.D. </w:t>
      </w:r>
      <w:r>
        <w:rPr>
          <w:rFonts w:ascii="Times New Roman" w:cs="Times New Roman" w:eastAsia="Times New Roman" w:hAnsi="Times New Roman"/>
          <w:sz w:val="17"/>
          <w:szCs w:val="17"/>
          <w:color w:val="auto"/>
        </w:rPr>
        <w:t>Dr. Wheadon has been a member of our board of directors since July 2024. He served as Senior Vice President, Global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Regulatory Affairs, Patient Safety, and Quality Assurance for AstraZeneca Pharmaceuticals from 2014 to 2019 and as Executive Vice President, Research and Advocacy at the Juvenile Diabetes Research Foundation from 2013 to 2014. From 2009 to 2013, Dr. Wheadon served as Senior Vice</w:t>
      </w:r>
    </w:p>
    <w:p>
      <w:pPr>
        <w:spacing w:after="0" w:line="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President, Scientific and Regulatory Affairs and as a member of the Management Committee of the Pharmaceutical Research and Manufacturers of America, or PhRMA. Prior to his joining PhRMA, Dr. Wheadon held senior regulatory and clinical development leader roles at Abbott Laboratories and GlaxoSmithKline plc. Dr. Wheadon began his career as a clinical research physician in neuroscience at Eli Lilly &amp; Company. Dr. Wheadon has served on the board of directors of Indivior, PLC (Nasdaq: INDV) since June 2024, Vaxart, Inc. (Nasdaq: VXRT) since April 2021, and Sotera Health, Inc. (Nasdaq: SHC) since May 2021. He formerly served on the board of directors of Assertio Holdings, Inc. (formerly Assertio Therapeutics, Inc.), Karuna Therapeutics, Inc., and Chemocentryx, Inc. Dr. Wheadon holds an A.B. from Harvard College and an M.D. from Johns Hopkins University School of Medicine. He completed his fellowship training in Psychiatry at the Tufts, New England Medical Center. Our board of directors believes that</w:t>
      </w:r>
    </w:p>
    <w:p>
      <w:pPr>
        <w:spacing w:after="0" w:line="3" w:lineRule="exact"/>
        <w:rPr>
          <w:sz w:val="20"/>
          <w:szCs w:val="20"/>
          <w:color w:val="auto"/>
        </w:rPr>
      </w:pPr>
    </w:p>
    <w:p>
      <w:pPr>
        <w:ind w:left="120" w:right="400"/>
        <w:spacing w:after="0" w:line="260" w:lineRule="auto"/>
        <w:rPr>
          <w:sz w:val="20"/>
          <w:szCs w:val="20"/>
          <w:color w:val="auto"/>
        </w:rPr>
      </w:pPr>
      <w:r>
        <w:rPr>
          <w:rFonts w:ascii="Times New Roman" w:cs="Times New Roman" w:eastAsia="Times New Roman" w:hAnsi="Times New Roman"/>
          <w:sz w:val="18"/>
          <w:szCs w:val="18"/>
          <w:color w:val="auto"/>
        </w:rPr>
        <w:t>Dr. Wheadon is qualified to serve as a member of the board of directors due to his leadership roles in the pharmaceutical industry and his extensive experience in regulatory affairs.</w:t>
      </w:r>
    </w:p>
    <w:p>
      <w:pPr>
        <w:spacing w:after="0" w:line="17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Eric Elenko, Ph.D. </w:t>
      </w:r>
      <w:r>
        <w:rPr>
          <w:rFonts w:ascii="Times New Roman" w:cs="Times New Roman" w:eastAsia="Times New Roman" w:hAnsi="Times New Roman"/>
          <w:sz w:val="18"/>
          <w:szCs w:val="18"/>
          <w:color w:val="auto"/>
        </w:rPr>
        <w:t>Dr. Elenko has been a member of our board of directors since April 2024. Dr. Elenko is the co-founder of PureTech Health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PRTC) where he has served as the President since April 2024. Prior to his current role, Dr. Elenko previously served as PureTech Health’s Chief Innovation Officer from June 2015 through April 2024. Prior to serving as Chief Innovation Officer, Dr. Elenko held multiple other leadership roles within PureTech. Prior to joining PureTech Health, Dr. Elenko was a consultant with McKinsey and Company. Dr. Elenko has served on the Board of Directors of multiple PureTech portfolio companies during his tenure with PureTech. Dr. Elenko received his Ph.D. in biomedical sciences from the University of California, San Diego and his B.A. in biology from Swarthmore College. Our board of directors believes that Dr. Elenko is qualified to serve on our board of directors because of his extensive understanding of the biotechnology and pharmaceutical industries and his senior management experience.</w:t>
      </w:r>
    </w:p>
    <w:p>
      <w:pPr>
        <w:spacing w:after="0" w:line="185" w:lineRule="exact"/>
        <w:rPr>
          <w:sz w:val="20"/>
          <w:szCs w:val="20"/>
          <w:color w:val="auto"/>
        </w:rPr>
      </w:pPr>
    </w:p>
    <w:p>
      <w:pPr>
        <w:ind w:left="120" w:right="40" w:firstLine="44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Jason Pitts, Ph.D. </w:t>
      </w:r>
      <w:r>
        <w:rPr>
          <w:rFonts w:ascii="Times New Roman" w:cs="Times New Roman" w:eastAsia="Times New Roman" w:hAnsi="Times New Roman"/>
          <w:sz w:val="17"/>
          <w:szCs w:val="17"/>
          <w:color w:val="auto"/>
        </w:rPr>
        <w:t>Dr. Pitts has been a member of our board of directors since October 2024. Dr. Pitts has served as Principal at General Atlantic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since December 2024, and prior to such role served in various roles, including Vice President, since March 2021 at General Atlantic, and focuses on investments in the life sciences sector. Prior to joining General Atlantic, he was a Principal at Sofinnova Investments focused on therapeutics investments from June 2019 to January 2021. Dr. Pitts has also served as a board member of Solve Therapeutics since December 2024, CinCor Pharma, Inc. from October 2021 to February 2023 and Bolt Biotherapeutics, Inc. from July 2020 to January 2021. He received his Ph.D. in neuroscience from The Rockefeller University and a B.S. in neuroscience from Cornell University. Our board of directors believes that Dr. Pitts is qualified to serve on our board of directors due to his extensive expertise in healthcare investing and experience as a board member of other biotechnology companies.</w:t>
      </w:r>
    </w:p>
    <w:p>
      <w:pPr>
        <w:spacing w:after="0" w:line="17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Robert Lyne, LLB. </w:t>
      </w:r>
      <w:r>
        <w:rPr>
          <w:rFonts w:ascii="Times New Roman" w:cs="Times New Roman" w:eastAsia="Times New Roman" w:hAnsi="Times New Roman"/>
          <w:sz w:val="18"/>
          <w:szCs w:val="18"/>
          <w:color w:val="auto"/>
        </w:rPr>
        <w:t>Mr. Lyne is the chief executive officer and chief portfolio officer at PureTech. Mr. Lyne is a seasoned executive with deep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in life sciences, including his prior role as Chief Executive Officer at Arix Bioscience plc, a transatlantic venture capital company focused on investing in innovative biotechnology companies from April 2021 to December 2023. Mr. Lyne brings more than a decade of experience leading London-listed life science companies and portfolio management, with a strong track record in governance and executive team leadership. Mr. Lyne began his career as a lawyer at international law firm Bird &amp; Bird LLP in London before moving to Touchstone Innovations, a London listed biotech and technology investor, which was acquired in 2017. Mr. Lyne has a BA from the University of Oxford and an LLB from Oxford Brookes University. Our board of directors believes that Mr. Lyne is qualified to serve as a member of the board of directors due to his extensive experience and leadership roles in the pharmaceutical industry.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which currently consists of ten members. The primary responsibilities of our board of directors are to provide oversight, strategic guidance,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00"/>
          </w:cols>
          <w:pgMar w:left="320" w:top="455" w:right="47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counseling and direction to our management. Our board of directors meets on a regular basis and additionally as required.</w:t>
      </w:r>
    </w:p>
    <w:p>
      <w:pPr>
        <w:spacing w:after="0" w:line="225" w:lineRule="exact"/>
        <w:rPr>
          <w:sz w:val="20"/>
          <w:szCs w:val="20"/>
          <w:color w:val="auto"/>
        </w:rPr>
      </w:pPr>
    </w:p>
    <w:p>
      <w:pPr>
        <w:ind w:left="120" w:right="180" w:firstLine="440"/>
        <w:spacing w:after="0" w:line="252" w:lineRule="auto"/>
        <w:rPr>
          <w:sz w:val="20"/>
          <w:szCs w:val="20"/>
          <w:color w:val="auto"/>
        </w:rPr>
      </w:pPr>
      <w:r>
        <w:rPr>
          <w:rFonts w:ascii="Times New Roman" w:cs="Times New Roman" w:eastAsia="Times New Roman" w:hAnsi="Times New Roman"/>
          <w:sz w:val="18"/>
          <w:szCs w:val="18"/>
          <w:color w:val="auto"/>
        </w:rPr>
        <w:t>Certain members of our board of directors were elected under the provisions of our amended and restated certificate of incorporation and agreements with our stockholders. These board composition provisions will terminate upon the completion of this offering. Upon the termination of these provisions, there will be no further contractual obligations regarding the election of our directors. Our nominating and corporate governance committee and our board of directors may therefore consider a broad range of factors relating to the qualifications and background of nominees. Our nominating and corporate governance committee’s and our board of directors’ priority in selecting board members is the identification of persons who will further the interests of our stockholders through their established record of professional accomplishment, the ability to contribute positively to the collaborative culture among board members, knowledge of our business, understanding of the competitive landscape, professional and personal experiences, and expertise relevant to our growth strategy. Our directors hold office until their successors have been elected and qualified or until the earlier of their resignation or removal. Our amended and restated certificate of incorporation, which will become effective immediately prior to the completion of this offering, and our amended and restated bylaws, which will become effective upon the effectiveness of the registration statement of which this prospectus forms a part, will also provide that our directors may be removed only for cause by the affirmative vote of the holders of at least two-thirds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Staggered Board</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which will become effective immediately prior to the completion of this offering, and our amended and restated bylaws, which will be effective upon the effectiveness of the registration statement of which this prospectus forms a part, will permit our board of directors to establish the authorized number of directors from time to time by resolution. Each director serves until the expiration of the term for which such director was elected or appointed, or until such director’s earlier death, resignation or removal. In accordance with our amended and restated certificate of incorporation,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ectPr>
          <w:pgSz w:w="11900" w:h="16838" w:orient="portrait"/>
          <w:cols w:equalWidth="0" w:num="1">
            <w:col w:w="11120"/>
          </w:cols>
          <w:pgMar w:left="320" w:top="455" w:right="459" w:bottom="1440" w:gutter="0" w:footer="0" w:header="0"/>
        </w:sectPr>
      </w:pPr>
    </w:p>
    <w:p>
      <w:pPr>
        <w:spacing w:after="0" w:line="94" w:lineRule="exact"/>
        <w:rPr>
          <w:sz w:val="20"/>
          <w:szCs w:val="20"/>
          <w:color w:val="auto"/>
        </w:rPr>
      </w:pPr>
    </w:p>
    <w:p>
      <w:pPr>
        <w:jc w:val="both"/>
        <w:ind w:left="108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Class I directors will be   offering, to be held in      </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180" w:firstLine="53"/>
        <w:spacing w:after="0" w:line="261" w:lineRule="auto"/>
        <w:rPr>
          <w:sz w:val="20"/>
          <w:szCs w:val="20"/>
          <w:color w:val="auto"/>
        </w:rPr>
      </w:pPr>
      <w:r>
        <w:rPr>
          <w:rFonts w:ascii="Times New Roman" w:cs="Times New Roman" w:eastAsia="Times New Roman" w:hAnsi="Times New Roman"/>
          <w:sz w:val="18"/>
          <w:szCs w:val="18"/>
          <w:color w:val="auto"/>
        </w:rPr>
        <w:t>      and        , and their terms will expire at our first annual meeting of stockholders following this   ;</w:t>
      </w:r>
    </w:p>
    <w:p>
      <w:pPr>
        <w:spacing w:after="0" w:line="328" w:lineRule="exact"/>
        <w:rPr>
          <w:sz w:val="20"/>
          <w:szCs w:val="20"/>
          <w:color w:val="auto"/>
        </w:rPr>
      </w:pPr>
    </w:p>
    <w:p>
      <w:pPr>
        <w:sectPr>
          <w:pgSz w:w="11900" w:h="16838" w:orient="portrait"/>
          <w:cols w:equalWidth="0" w:num="2">
            <w:col w:w="3160" w:space="80"/>
            <w:col w:w="7880"/>
          </w:cols>
          <w:pgMar w:left="320" w:top="455" w:right="459" w:bottom="1440" w:gutter="0" w:footer="0" w:header="0"/>
          <w:type w:val="continuous"/>
        </w:sectPr>
      </w:pPr>
    </w:p>
    <w:p>
      <w:pPr>
        <w:ind w:left="1080" w:hanging="424"/>
        <w:spacing w:after="0"/>
        <w:tabs>
          <w:tab w:leader="none" w:pos="108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Class II directors will be  </w:t>
      </w:r>
    </w:p>
    <w:p>
      <w:pPr>
        <w:spacing w:after="0" w:line="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this offering, to be held in     </w:t>
      </w:r>
    </w:p>
    <w:p>
      <w:pPr>
        <w:spacing w:after="0" w:line="20" w:lineRule="exact"/>
        <w:rPr>
          <w:sz w:val="20"/>
          <w:szCs w:val="20"/>
          <w:color w:val="auto"/>
        </w:rPr>
      </w:pPr>
      <w:r>
        <w:rPr>
          <w:sz w:val="20"/>
          <w:szCs w:val="20"/>
          <w:color w:val="auto"/>
        </w:rPr>
        <w:br w:type="column"/>
      </w:r>
    </w:p>
    <w:p>
      <w:pPr>
        <w:ind w:right="220" w:hanging="11"/>
        <w:spacing w:after="0" w:line="282" w:lineRule="auto"/>
        <w:rPr>
          <w:sz w:val="20"/>
          <w:szCs w:val="20"/>
          <w:color w:val="auto"/>
        </w:rPr>
      </w:pPr>
      <w:r>
        <w:rPr>
          <w:rFonts w:ascii="Times New Roman" w:cs="Times New Roman" w:eastAsia="Times New Roman" w:hAnsi="Times New Roman"/>
          <w:sz w:val="18"/>
          <w:szCs w:val="18"/>
          <w:color w:val="auto"/>
        </w:rPr>
        <w:t>      and        , and their terms will expire at our second annual meeting of stockholders following     ; and</w:t>
      </w:r>
    </w:p>
    <w:p>
      <w:pPr>
        <w:spacing w:after="0" w:line="67" w:lineRule="exact"/>
        <w:rPr>
          <w:sz w:val="20"/>
          <w:szCs w:val="20"/>
          <w:color w:val="auto"/>
        </w:rPr>
      </w:pPr>
    </w:p>
    <w:p>
      <w:pPr>
        <w:sectPr>
          <w:pgSz w:w="11900" w:h="16838" w:orient="portrait"/>
          <w:cols w:equalWidth="0" w:num="2">
            <w:col w:w="3220" w:space="140"/>
            <w:col w:w="7760"/>
          </w:cols>
          <w:pgMar w:left="320" w:top="455" w:right="459" w:bottom="1440" w:gutter="0" w:footer="0" w:header="0"/>
          <w:type w:val="continuous"/>
        </w:sectPr>
      </w:pPr>
    </w:p>
    <w:p>
      <w:pPr>
        <w:ind w:left="1080" w:right="2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         and        , and their terms will expire at our third annual meeting of stockholders following this offering, to be held in         .</w:t>
      </w:r>
    </w:p>
    <w:p>
      <w:pPr>
        <w:spacing w:after="0" w:line="162"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Under the listing standards, requirements and rules of The Nasdaq Stock Market LLC, or the Nasdaq Listing Rules, independent directors must comprise a majority of our board of directors as a listed company within one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20"/>
          </w:cols>
          <w:pgMar w:left="320" w:top="455" w:right="459" w:bottom="1440" w:gutter="0" w:footer="0" w:header="0"/>
          <w:type w:val="continuous"/>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year of the listing date. In addition, the Nasdaq Listing Rules require that, subject to specified exceptions, each member of a listed company’s audit, compensation, and nominating and governance committees be independent within twelve months from the date of listing. Audit committee members must also satisfy additional independence criteria, including those set forth in Rule 10A-3 under the Exchange Act, and compensation committee members must also satisfy the independence criteria set forth in Rule 10C-1 under the Exchange Act. Under the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In order to be considered independent for purposes of Rule 10A-3 under the Exchange Act,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other than compensation for board service; or (ii) be an affiliated person of the listed company or any of its subsidiaries. In order to be considered independent for purposes of Rule 10C-1 under of the Exchange Act,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spacing w:after="0" w:line="19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Our board of directors has undertaken a review of the independence of each director. Based on information provided by each director concerning her or his background, employment, and affiliations, including family relationships, our board of directors has determined that        ,       </w:t>
      </w:r>
    </w:p>
    <w:p>
      <w:pPr>
        <w:ind w:left="120" w:right="220"/>
        <w:spacing w:after="0" w:line="250" w:lineRule="auto"/>
        <w:rPr>
          <w:sz w:val="20"/>
          <w:szCs w:val="20"/>
          <w:color w:val="auto"/>
        </w:rPr>
      </w:pPr>
      <w:r>
        <w:rPr>
          <w:rFonts w:ascii="Times New Roman" w:cs="Times New Roman" w:eastAsia="Times New Roman" w:hAnsi="Times New Roman"/>
          <w:sz w:val="18"/>
          <w:szCs w:val="18"/>
          <w:color w:val="auto"/>
        </w:rPr>
        <w:t>and        do not have relationships that would interfere with the exercise of independent judgment in carrying out the responsibilities of a director and that each of these directors is “independent” as that term is defined under the Nasdaq Listing Rules. Our board of directors has determined that</w:t>
      </w:r>
    </w:p>
    <w:p>
      <w:pPr>
        <w:spacing w:after="0" w:line="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         , and         are not independent under applicable rules and regulations of the SEC and the Nasdaq Listing Rules.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Person Transactions.”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Policies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we intend to adopt policies and procedures for director candidates for our nominating and corporate governance committee, which will provide that factors, such as a candidate’s character, judgment, skills, education, expertise, and absence of conflicts of interest should be considered in determining director candidates. Our priority in selection of board members will be identification of members who will further the interests of our stockholders through their established records of professional accomplishment, their ability to contribute positively to the collaborative culture among board members, and their knowledge of our business and understanding of the competitive landscape in which we operate and adherence to high ethical standards.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 and Board’s Role in Risk Oversight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Currently, the role of chair of our board of directors is separated from the role of chief executive officer. We believe that separating these positions allows our chief executive officer to focus on our day-to-day business, while allowing the chairman of our board to lead the board of directors in its fundamental role of providing advice to and independent oversight of management. Our board of directors recognizes the time, effort and energy that the chief executive officer is required to devote to her position in the current business environment, as well as the commitment required to serve as our chair of our board of directors, particularly as the board of directors’ oversight responsibilities continue to grow. While our amended and restated bylaws and corporate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governance guidelines will not require that our board chair and chief executive officer positions be separate, our board of directors believes that having separate positions is the appropriate leadership structure for us at this time and demonstrates our commitment to good corporate governance. Our board of directors will adopt, effective prior to the completion of this offering, corporate governance guidelines that will provide that the board of directors may appoint a lead independent director. The lead independent director will be responsible for calling and presiding over separate meetings of the independent directors. The lead independent director will preside over periodic meetings of independent directors, serve as a liaison between the chair and the independent directors and perform such additional duties as the board of directors may otherwise determine and delegate.</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Risk is inherent with every business, and how well a business manages risk can ultimately determine its success. We face a number of risks, including risks relating to our financial condition, development, and commercialization activities, operations, strategic direction, and intellectual property as more fully discussed in the section titled “Risk Factors.”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role of the board of directors in overseeing the management of our risks is conducted primarily through committees of the board of directors, as disclosed in the descriptions of each of the committees below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chairperson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Our board of directors will establish upon the completion of this offering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Each committee will operate under a written charter that satisfies the application rules and regulation of the SEC and the Nasdaq Listing Rules, which we will post to our website at </w:t>
      </w:r>
      <w:r>
        <w:rPr>
          <w:rFonts w:ascii="Times New Roman" w:cs="Times New Roman" w:eastAsia="Times New Roman" w:hAnsi="Times New Roman"/>
          <w:sz w:val="18"/>
          <w:szCs w:val="18"/>
          <w:i w:val="1"/>
          <w:iCs w:val="1"/>
          <w:color w:val="auto"/>
        </w:rPr>
        <w:t xml:space="preserve">www.seaporttx.com </w:t>
      </w:r>
      <w:r>
        <w:rPr>
          <w:rFonts w:ascii="Times New Roman" w:cs="Times New Roman" w:eastAsia="Times New Roman" w:hAnsi="Times New Roman"/>
          <w:sz w:val="18"/>
          <w:szCs w:val="18"/>
          <w:color w:val="auto"/>
        </w:rPr>
        <w:t>upon the completion of this offering. Information contained on, or accessible through, our website is not a part of this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inclusion of our website address in this prospectus is only an inactive textual reference. Our board of directors may establish other committees as it deems necessary or appropriate from time to time.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Upon the completion of this offering, our audit committee will consist of        ,        and        , and the chair of our audit committee will be        . Our board of directors has determined that each member of the audit committee is independent under Nasdaq Listing Rules and Rule 10A-3(b)(1) of the Exchange Act and can read and understand fundamental financial statements in accordance with applicable requirements. Our board of directors has also determined that        is an “audit committee financial expert” within the meaning of SEC regulations. In arriving at these determinations, our board of directors has examined each audit committee member’s scope of experience and the nature of their employment in the corporate finance sector.</w:t>
      </w:r>
    </w:p>
    <w:p>
      <w:pPr>
        <w:spacing w:after="0" w:line="187"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primary purpose of the audit committee will be to discharge the responsibilities of our board of directors with respect to our corporate accounting and financial reporting processes, systems of internal control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and financial-statement audits, and to oversee our independent registered public accounting firm. Specific responsibilities of our audit committee will include:</w:t>
      </w:r>
    </w:p>
    <w:p>
      <w:pPr>
        <w:spacing w:after="0" w:line="67" w:lineRule="exact"/>
        <w:rPr>
          <w:sz w:val="20"/>
          <w:szCs w:val="20"/>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our board of directors oversee our corporate accounting and financial reporting processes;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oversight and reviewing the adequacy of our internal control over financial reporting;</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insurance coverage for our officers and directors;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preparation of our annual proxy statement, reviewing with management our financial statements to be included in our quarterly reports to be filed with the SEC, and reviewing with management the “Risk Factors” and “Management’s Discussion and Analysis of Financial Condition and Results of Operations” disclosures in our periodic reports filed with the SEC;</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audit and permissible non-audit services to be performed by the independent registered public accounting firm;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major risk exposures, including financial, operational, cybersecurity, competition, legal, and regulatory exposures.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audit committee will operate under a written charter, which will be effective upon the completion of this offering, that satisfies the applicable Nasdaq Listing Rules.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Upon the completion of this offering, our compensation committee will consist of         ,         and        , and the chair of our compensation committee will be        . Our board of directors has determined that each member of the compensation committee is independent under the Nasdaq Listing Rules and is a “non-employee director” as defined in Rule 16b-3 promulgated under the Exchange Act.</w:t>
      </w:r>
    </w:p>
    <w:p>
      <w:pPr>
        <w:spacing w:after="0" w:line="176"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primary purpose of our compensation committee will be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will include:</w:t>
      </w:r>
    </w:p>
    <w:p>
      <w:pPr>
        <w:spacing w:after="0" w:line="81" w:lineRule="exact"/>
        <w:rPr>
          <w:sz w:val="20"/>
          <w:szCs w:val="20"/>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our chief executive officer, other executive officers, and senior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paid to our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arrangements with our executive officers and other senior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incentive plans and other benefit programs;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040"/>
          </w:cols>
          <w:pgMar w:left="320" w:top="455" w:right="5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to our board of directors succession plans for our executive officers;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including our overall compensation philosophy.</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compensation committee will operate under a written charter, which will be effective upon the completion of this offering, that satisfies the applicable Nasdaq Listing Rules.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Upon the completion of this offering, our nominating and corporate governance committee will consist of        ,        and        , and the chair of our nominating and corporate governance committee will be        . Our board of directors has determined that each member of the nominating and corporate governance committee is independent under the Nasdaq Listing Rules, a non-employee director, and free from any relationship that would interfere with the exercise of his or her independent judgment.</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primary purpose of the nominating and corporate governance committee will be to discharge the responsibilities of our board of directors with respect to our corporate governance functions and to identify, communicate with, evaluate and recommend candidates for our board of directors. Specific responsibilities of our nominating and corporate governance committee will include:</w:t>
      </w:r>
    </w:p>
    <w:p>
      <w:pPr>
        <w:spacing w:after="0" w:line="81" w:lineRule="exact"/>
        <w:rPr>
          <w:sz w:val="20"/>
          <w:szCs w:val="20"/>
          <w:color w:val="auto"/>
        </w:rPr>
      </w:pPr>
    </w:p>
    <w:p>
      <w:pPr>
        <w:ind w:left="1080" w:right="42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candidates, including the nomination of incumbent directors for reelection and nominees recommended by stockholders, to serve on our board of directors;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composition and chairmanship of the committees of our board of directors;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instituting plans or programs for the continuing education of our board of directors and orientation of new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our board of directors regarding corporate governance guidelines and matters;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evaluations of the board of directors’ performance, including committees of the board of directors and management.</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will operate under a written charter, which will be effective upon the completion of this offering, that satisfies the applicable Nasdaq Listing Rules.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this offering, we intend to adopt a written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will be posted on our website at </w:t>
      </w:r>
      <w:r>
        <w:rPr>
          <w:rFonts w:ascii="Times New Roman" w:cs="Times New Roman" w:eastAsia="Times New Roman" w:hAnsi="Times New Roman"/>
          <w:sz w:val="18"/>
          <w:szCs w:val="18"/>
          <w:i w:val="1"/>
          <w:iCs w:val="1"/>
          <w:color w:val="auto"/>
        </w:rPr>
        <w:t>www.seaporttx.com</w:t>
      </w:r>
      <w:r>
        <w:rPr>
          <w:rFonts w:ascii="Times New Roman" w:cs="Times New Roman" w:eastAsia="Times New Roman" w:hAnsi="Times New Roman"/>
          <w:sz w:val="18"/>
          <w:szCs w:val="18"/>
          <w:color w:val="auto"/>
        </w:rPr>
        <w:t>.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 Information contained on, or accessible through, our website is not a part of this prospectus, and the inclusion of our website address in this prospectus is only an inactive textual reference.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None of the members of the compensation committee is currently, or has been at any time, one of our officers or employees. None of our officers currently serves, or has served during the last calendar year, as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member of the board of directors or compensation committee of any entity that has one or more executive officers serving as a member of our board of directors or compensation committee.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Recovery</w:t>
      </w:r>
    </w:p>
    <w:p>
      <w:pPr>
        <w:spacing w:after="0" w:line="121" w:lineRule="exact"/>
        <w:rPr>
          <w:sz w:val="20"/>
          <w:szCs w:val="20"/>
          <w:color w:val="auto"/>
        </w:rPr>
      </w:pPr>
    </w:p>
    <w:p>
      <w:pPr>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In connection with this offering, we intend to adopt a compensation recovery policy that is compliant with the Nasdaq Listing Rules, as required by the Dodd-Frank Act, to be effective in connection with the effectiveness of the registration statement of which this prospectus forms a part.</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Agreements</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As permitted by Delaware law, provisions in our amended and restated certificate of incorporation and amended and restated bylaws, which will become effective immediately prior to the completion of this offering and upon the effectiveness of the registration statement of which this prospectus forms a part, respectively, limit or eliminate the personal liability of directors and officers for a breach of their fiduciary duty of care as a director or officer. The duty of care generally requires that, when acting on behalf of the corporation, a director and, or officer exercise an informed business judgment based on all material information reasonably available to him or her. Consequently, a director or officer will not be personally liable to us or our stockholders for monetary damages or breach of fiduciary duty as a director or officer, except for liability for:</w:t>
      </w:r>
    </w:p>
    <w:p>
      <w:pPr>
        <w:spacing w:after="0" w:line="93" w:lineRule="exact"/>
        <w:rPr>
          <w:sz w:val="20"/>
          <w:szCs w:val="20"/>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 or officer’s duty of loyalty to us or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directors, unlawful payments of dividends or unlawful stock repurchases, or redemptions as provided in Section 174 of the Delaware General Corporation Law, or DGCL;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officers, any derivative action by or in the right of the corporation;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or officer derived an improper personal benefit.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These limitations of liability do not limit or eliminate our rights or any stockholder’s rights to seek non-monetary relief, such as injunctive relief or rescission. These provisions will not alter a director or officer’s liability under other laws, such as the federal securities laws or other state or federal laws. Our amended and restated certificate of incorporation that will become effective upon the closing of this offering also will authorize us to indemnify our officers, directors, and other agents to the fullest extent permitted under Delaware law.</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As permitted by Delaware law, our amended and restated bylaws to be effective immediately upon effectiveness of the registration statement will provide that:</w:t>
      </w:r>
    </w:p>
    <w:p>
      <w:pPr>
        <w:spacing w:after="0" w:line="67" w:lineRule="exact"/>
        <w:rPr>
          <w:sz w:val="20"/>
          <w:szCs w:val="20"/>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officers, employees, and other agents to the fullest extent permitted by law;</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advance expenses to our directors and officers, and may advance expenses to our employees and other agents, in connection with a legal proceeding to the fullest extent permitted by law;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provided in our amended and restated bylaws are not exclusive.</w:t>
      </w:r>
    </w:p>
    <w:p>
      <w:pPr>
        <w:spacing w:after="0" w:line="225"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If Delaware law is amended to authorize corporate action further eliminating or limiting the personal liability of a director or officer, then the liability of our directors or officers will be so eliminated or limited to the fullest extent permitted by Delaware law, as so amended. Our amended and restated bylaws will also permit us to secure insurance on behalf of any officer, director, employee, or other agent for any liability arising out of his or her actions in connection with their services to us, regardless of whether our amended and restated bylaws permit such indemnification. We intend to obtain such insurance.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20"/>
          </w:cols>
          <w:pgMar w:left="320" w:top="455"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addition to the indemnification that will be provided for in our amended and restated certificate of incorporation and amended and restated bylaws, we plan to enter into separate indemnification agreements with each of our directors and executive officers, which may be broader than the specific indemnification provisions contained in the DGCL. These indemnification agreements may require us, among other things, to indemnify our directors and executive officers for some expenses, including attorneys’ fees, expenses, judgments, fines, and settlement amounts incurred by a director or executive officer in any action or proceeding arising out of his service as one of our directors or executive officers or any other company or enterprise to which the person provides services at our request. We believe that these provisions and agreements are necessary to attract and retain qualified individuals to serve as directors and executive officers.</w:t>
      </w:r>
    </w:p>
    <w:p>
      <w:pPr>
        <w:spacing w:after="0" w:line="18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This description of the indemnification provisions of our amended and restated certificate of incorporation, our amended and restated bylaws and our indemnification agreements is qualified in its entirety by reference to these documents, each of which is attached as an exhibit to the registration statement of which this prospectus forms a part.</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following discussion contains forward-looking statements that are based on our current plans, considerations, expectations, and determinations regarding future compensation programs. The actual amount and form of compensation and the compensation policies and practices that we adopt in the future may differ materially from the programs as summarized in this discussion.</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an emerging growth company and a smaller reporting company, we have opted to comply with the executive compensation disclosure rules applicable to “smaller reporting companies,” as such terms are defined in the rules promulgated under the Securities Act. The compensation provided to our named executive officers for the fiscal year ended December 31, 2025, or Fiscal Year 2025, is detailed in the 2025 Summary Compensation Table and accompanying footnotes and narrative that follow.</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named executive officers for Fiscal Year 2025 are:</w:t>
      </w:r>
    </w:p>
    <w:p>
      <w:pPr>
        <w:spacing w:after="0" w:line="131" w:lineRule="exact"/>
        <w:rPr>
          <w:sz w:val="20"/>
          <w:szCs w:val="20"/>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Daphne Zohar, our Founder, Chief Executive Officer, President and Board Member;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Chen, Ph.D., our Co-Founder and Chief Scientific Officer;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Antony Loebel, M.D., our Chief Medical Officer and President of Clinical Development.</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To date, the compensation of our named executive officers has consisted of a combination of base salary, cash incentive compensation, and long-term incentive compensation, as more fully described below. Our executive officers, like all full-time employees, are eligible to participate in our health, welfare, and retirement benefit plans. As we transition from a private company to a publicly traded company, we intend to evaluate our compensation values and philosophy and compensation plans and arrangements as circumstances require.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total compensation earned by, or paid to, our named executive officers for services rendered to us in all capacities during Fiscal Year 2025.</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3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00" w:type="dxa"/>
            <w:vAlign w:val="bottom"/>
            <w:gridSpan w:val="2"/>
            <w:vMerge w:val="continue"/>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300" w:type="dxa"/>
            <w:vAlign w:val="bottom"/>
            <w:gridSpan w:val="2"/>
            <w:vMerge w:val="continue"/>
          </w:tcPr>
          <w:p>
            <w:pPr>
              <w:spacing w:after="0"/>
              <w:rPr>
                <w:sz w:val="12"/>
                <w:szCs w:val="12"/>
                <w:color w:val="auto"/>
              </w:rPr>
            </w:pPr>
          </w:p>
        </w:tc>
        <w:tc>
          <w:tcPr>
            <w:tcW w:w="3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3780" w:type="dxa"/>
            <w:vAlign w:val="bottom"/>
            <w:vMerge w:val="restart"/>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00" w:type="dxa"/>
            <w:vAlign w:val="bottom"/>
            <w:gridSpan w:val="2"/>
            <w:vMerge w:val="continue"/>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Awards </w:t>
            </w:r>
            <w:r>
              <w:rPr>
                <w:rFonts w:ascii="Times New Roman" w:cs="Times New Roman" w:eastAsia="Times New Roman" w:hAnsi="Times New Roman"/>
                <w:sz w:val="10"/>
                <w:szCs w:val="10"/>
                <w:b w:val="1"/>
                <w:bCs w:val="1"/>
                <w:color w:val="auto"/>
              </w:rPr>
              <w:t>(1)</w:t>
            </w: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10"/>
                <w:szCs w:val="10"/>
                <w:b w:val="1"/>
                <w:bCs w:val="1"/>
                <w:color w:val="auto"/>
              </w:rPr>
              <w:t>(2)</w:t>
            </w:r>
          </w:p>
        </w:tc>
        <w:tc>
          <w:tcPr>
            <w:tcW w:w="13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10"/>
                <w:szCs w:val="10"/>
                <w:b w:val="1"/>
                <w:bCs w:val="1"/>
                <w:color w:val="auto"/>
              </w:rPr>
              <w:t>(3)</w:t>
            </w:r>
          </w:p>
        </w:tc>
        <w:tc>
          <w:tcPr>
            <w:tcW w:w="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378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40" w:type="dxa"/>
            <w:vAlign w:val="bottom"/>
          </w:tcPr>
          <w:p>
            <w:pPr>
              <w:jc w:val="right"/>
              <w:ind w:right="157"/>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5"/>
                <w:szCs w:val="15"/>
                <w:color w:val="auto"/>
              </w:rPr>
            </w:pPr>
          </w:p>
        </w:tc>
        <w:tc>
          <w:tcPr>
            <w:tcW w:w="1060" w:type="dxa"/>
            <w:vAlign w:val="bottom"/>
          </w:tcPr>
          <w:p>
            <w:pPr>
              <w:jc w:val="right"/>
              <w:ind w:right="379"/>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340" w:type="dxa"/>
            <w:vAlign w:val="bottom"/>
          </w:tcPr>
          <w:p>
            <w:pPr>
              <w:jc w:val="right"/>
              <w:ind w:right="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Daphne Zohar</w:t>
            </w:r>
          </w:p>
        </w:tc>
        <w:tc>
          <w:tcPr>
            <w:tcW w:w="4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Founder, Chief Executive Officer, President and Board Member</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768,922</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10,500</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Chen, Ph.D.</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Co-Founder and Chief Scientific Officer</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414,000</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490,462</w:t>
            </w:r>
          </w:p>
        </w:tc>
        <w:tc>
          <w:tcPr>
            <w:tcW w:w="13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10,500</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Antony Loebel, M.D.</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Medical Officer and President of Clinical Development</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465,750</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10,500</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73025</wp:posOffset>
            </wp:positionV>
            <wp:extent cx="7715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0" w:lineRule="exact"/>
        <w:rPr>
          <w:sz w:val="20"/>
          <w:szCs w:val="20"/>
          <w:color w:val="auto"/>
        </w:rPr>
      </w:pPr>
    </w:p>
    <w:p>
      <w:pPr>
        <w:ind w:left="540" w:right="20" w:hanging="424"/>
        <w:spacing w:after="0" w:line="253" w:lineRule="auto"/>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represents the aggregate grant date fair value of a stock option award granted to Dr. Chen in Fiscal Year 2025, computed in accordance with FASB ASC Topic 718. Such grant date fair values do not take into account any estimated forfeitures related to service-based vesting. The assumptions used in calculating the grant date fair values of the option awards reported in this column are set forth in Note 10 of our consolidated financial statements for Fiscal Year 2025, included elsewhere in this prospectus. The amounts reported in this column reflect the accounting cost for these option awards and do not correspond to the actual economic value that may be received by Dr. Chen upon the exercise of the option awards or any sale of the underlying securities.</w:t>
      </w:r>
    </w:p>
    <w:p>
      <w:pPr>
        <w:spacing w:after="0" w:line="5" w:lineRule="exact"/>
        <w:rPr>
          <w:rFonts w:ascii="Times New Roman" w:cs="Times New Roman" w:eastAsia="Times New Roman" w:hAnsi="Times New Roman"/>
          <w:sz w:val="18"/>
          <w:szCs w:val="18"/>
          <w:color w:val="auto"/>
        </w:rPr>
      </w:pPr>
    </w:p>
    <w:p>
      <w:pPr>
        <w:ind w:left="540" w:right="40" w:hanging="424"/>
        <w:spacing w:after="0" w:line="260" w:lineRule="auto"/>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incentive bonuses for performance during Fiscal Year 2025 are not calculable as of the latest practicable date prior to the filing of this prospectus. We expect that such amounts will be determined later</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40"/>
          </w:cols>
          <w:pgMar w:left="320" w:top="455" w:right="4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240"/>
        <w:spacing w:after="0" w:line="261" w:lineRule="auto"/>
        <w:rPr>
          <w:sz w:val="20"/>
          <w:szCs w:val="20"/>
          <w:color w:val="auto"/>
        </w:rPr>
      </w:pPr>
      <w:r>
        <w:rPr>
          <w:rFonts w:ascii="Times New Roman" w:cs="Times New Roman" w:eastAsia="Times New Roman" w:hAnsi="Times New Roman"/>
          <w:sz w:val="18"/>
          <w:szCs w:val="18"/>
          <w:color w:val="auto"/>
        </w:rPr>
        <w:t>in the first quarter of the fiscal year ending December 31, 2026 and we will disclose the amount of such bonuses when they are determined. For more information on these bonuses, see the description of the 2025 cash bonuses below.</w:t>
      </w:r>
    </w:p>
    <w:p>
      <w:pPr>
        <w:ind w:left="540" w:hanging="424"/>
        <w:spacing w:after="0"/>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401(k) employer matching contributions made by us.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Disclosure to the 2025 Summary Compensation Table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2025 Base Salaries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named executive officers each receive a base salary to compensate them for services rendered to us. Base salaries are intended to provide a fixed component of compensation reflecting the executive’s skill set, experience, role, and responsibilities. Base salaries are expected to be reviewed annually, typically in connection with our annual performance review process, approved by our board of directors or the compensation committee of the board of directors, and may be adjusted from time to time to realign salaries with market levels after taking into account individual responsibilities, performance, and experience.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Fiscal Year 2025, the base salaries for Ms. Zohar, Dr. Chen, and Dr. Loebel were $768,922, $414,000 and $465,750, respectively.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2025 Cash Bonuses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named executive officers are eligible to receive annual performance-based cash bonuses, which are designed to provide appropriate incentives to our executives to achieve corporate performance goals and to reward our executives for individual achievement towards these goals. For Fiscal Year 2025, each of the named executive officers was eligible to earn an annual performance bonus based on the achievement of certain corporate performance and individual performance goals, with any such bonus expected to be paid in February 2026. For Fiscal Year 2025, the target annual bonus for Ms. Zohar, Dr. Chen, and Dr. Loebel was 50%, 35% and 35% of base salary, respectively.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Compensation</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Although we do not yet have a formal policy with respect to the grant of equity incentive awards to our executive officers, we believe equity grants provide our executives with a strong link to our long-term performance, create an ownership culture, and help to align the interests of our executives and our stockholders. In addition, we believe equity grants promote executive retention because they incentivize our executive officers to remain in our service during the vesting period.</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During Fiscal Year 2024, we granted each of our named executive officers options to purchase common stock of the Company under our 2024 Equity Incentive Plan, as amended from time to time, or the 2024 Plan. In addition, Ms. Zohar received a grant of 3,750,000 shares of restricted stock, which vested in full in December 2024, and she paid $1.8 million to cover the tax liability associated with such grant.</w:t>
      </w:r>
    </w:p>
    <w:p>
      <w:pPr>
        <w:spacing w:after="0" w:line="176"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During Fiscal Year 2025, we granted Dr. Chen an option to purchase common stock of the Company under the 2024 Plan, but none of our other named executive officers received any equity awards in Fiscal Year 2025 . For additional information regarding outstanding equity awards held by our named executive officers as of December 31, 2025, see the “</w:t>
      </w:r>
      <w:r>
        <w:rPr>
          <w:rFonts w:ascii="Times New Roman" w:cs="Times New Roman" w:eastAsia="Times New Roman" w:hAnsi="Times New Roman"/>
          <w:sz w:val="18"/>
          <w:szCs w:val="18"/>
          <w:i w:val="1"/>
          <w:iCs w:val="1"/>
          <w:color w:val="auto"/>
        </w:rPr>
        <w:t>Outstanding Equity Awards at 2025 Fiscal Year End</w:t>
      </w:r>
      <w:r>
        <w:rPr>
          <w:rFonts w:ascii="Times New Roman" w:cs="Times New Roman" w:eastAsia="Times New Roman" w:hAnsi="Times New Roman"/>
          <w:sz w:val="18"/>
          <w:szCs w:val="18"/>
          <w:color w:val="auto"/>
        </w:rPr>
        <w:t>” table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401(k) Plan and Health and Welfare Benefits</w:t>
      </w:r>
    </w:p>
    <w:p>
      <w:pPr>
        <w:spacing w:after="0" w:line="12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currently maintain a tax-qualified 401(k) retirement savings plan, or the 401(k) Plan, for our employees, including our named executive officers, who satisfy certain eligibility requirements. Our named executive officers are eligible to participate in the 401(k) Plan on the same terms as other full-time employees. Our 401(k)</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20"/>
          </w:cols>
          <w:pgMar w:left="320" w:top="455"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Plan is intended to qualify for favorable tax treatment under Section 401(a) of the Code and contains a cash or deferred feature that is intended to meet the requirements of Section 401(k) of the Code. We provide nondiscretionary contributions under the 401(k) Plan of 3% of the employee’s annual eligible compensation, subject to the safe harbor limit. 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 Other than the 401(k) plan, we do not provide any qualified or non-qualified retirement or deferred compensation benefits to our employees, including our named executive officers.</w:t>
      </w:r>
    </w:p>
    <w:p>
      <w:pPr>
        <w:spacing w:after="0" w:line="187"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All of our full-time employees, including our named executive officers, are eligible to participate in our health and welfare plans, including medical dental, and vision benefits, short-term and long-term disability insurance, and basic life and AD&amp;D insurance.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Arrangements for Named Executive Officers</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entered into offer letters with each of our named executive officers in connection with their commencement of employment, which set forth the terms and conditions of their employment, including base salary, target annual bonus opportunity, initial equity awards and eligibility to participate in our employee benefit plans generally offered to our employees.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Daphne Zohar</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On April 8, 2024, we entered into an offer letter with Ms. Zohar for the position of Chief Executive Officer, which provides for Ms. Zohar’s at-will employment. Ms. Zohar’s offer letter was amended on September 13, 2024. We refer to the offer letter with Ms. Zohar, as amended, as the Zohar Offer Letter. Pursuant to the Zohar Offer Letter, Ms. Zohar is eligible to receive an annual base salary, subject to annual review for merit increases at the sole discretion of our board of directors, and an annual performance bonus, as determined by our board of directors based on her individual performance and the performance of the Company. Ms. Zohar is also eligible to participate in the employee benefit plans generally available to our employees, subject to the terms of those plans.</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Additionally, Ms. Zohar received an initial equity award in the form of an option to purchase a number of shares of our common stock equal to 7.5% of then fully diluted capitalization of the Company. 1/18th of the shares subject to this option vested on April 16, 2024, with the remaining shares vesting in 34 equal monthly installments thereafter. 50% of the then-unvested shares subject to this option accelerated and became fully vested upon the first closing of the Series B preferred stock financing, which occurred on October 18, 2024. The remaining 50% of the unvested shares subject to this option will further accelerate and become fully vested upon the closing of this offering, subject to Ms. Zohar’s continued service relationship as our Chief Executive Officer through such closing. In addition, for so long as Ms. Zohar remains our Chief Executive Officer up to and including our initial public offering (but excluding any shares issued pursuant to any over-allotment option), Ms. Zohar shall be entitled to receive additional equity grants (either in the form of stock options or restricted stock) so that her share ownership shall remain at 7.5% of the fully diluted capitalization of the Company.</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Pursuant to the Zohar Offer Letter, in the event that Ms. Zohar’s employment is terminated by us without “cause” or by Ms. Zohar for “good reason” (each as defined in the Zohar Offer Letter), subject to Ms. Zohar’s execution of a general release of claims in favor of us and our affiliates, Ms. Zohar is entitled to receive (i) continuation of her then-current base salary for a period of 12 months, (ii) up to 12 months of COBRA premium payments at the same rate we pay for active and similarly-situated employees, (iii) a prorated portion of her annual performance bonus based on actual performance, or the Prorated Bonus; and (iv) an extension of the exercise period for Ms. Zohar’s outstanding stock options granted pursuant to the Zohar Offer Letter to the one-year anniversary of the termination date.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40"/>
          </w:cols>
          <w:pgMar w:left="320" w:top="455" w:right="4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in the event that Ms. Zohar’s employment is terminated by us without cause or by Ms. Zohar for good reason, in each case, within 12 months following a “sale event” (as defined in the Zohar Offer Letter), Ms. Zohar shall be entitled to the same payments and benefits set forth above, except that in lieu of the Prorated Bonus, Ms. Zohar shall be entitled to receive a lump sum payment of 100% of her annual performance bonus for the year in which the termination occurs.</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addition, the Zohar Offer Letter provides that if any executive officer enters into an employment agreement that provides for any termination or severance benefits that are more favorable, the Company shall seek to amend the Zohar Offer Letter to provide the more favorable benefits.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Michael Chen</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On April 29, 2024, we entered into an offer letter with Dr. Chen for the position of Chief Scientific Officer, which provides for Dr. Chen’s at-will employment. We refer to the offer letter with Dr. Chen, as the Chen Offer Letter. Pursuant to the Chen Offer Letter, Dr. Chen is eligible to receive an annual base salary, subject to annual review for merit increases at the sole discretion of our board of directors, and an annual performance bonus, as determined by our board of directors based on his individual performance and the performance of the Company. Dr. Chen is also eligible to participate in the employee benefit plans generally available to our employees, subject to the terms of those plans.</w:t>
      </w:r>
    </w:p>
    <w:p>
      <w:pPr>
        <w:spacing w:after="0" w:line="183"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Additionally, Dr. Chen received an initial equity award in the form of an option to purchase 1,258,222 shares of our common stock. 25% of Dr. Chen’s initial equity award vested on April 9, 2025, with the remaining shares vesting in 36 equal monthly installments thereafter.</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Pursuant to the Chen Offer Letter, in the event that Dr. Chen’s employment is terminated by us without “cause” or by Dr. Chen for “good reason” (each as defined in the Chen Offer Letter), subject to Dr. Chen’s execution of a general release of claims in favor of us and our affiliates, Dr. Chen is entitled to receive (i) continuation of his then-current base salary for a period of 6 months, and (ii) up to six months of COBRA premium payments at the same rate we pay for active and similarly-situated employees.</w:t>
      </w:r>
    </w:p>
    <w:p>
      <w:pPr>
        <w:spacing w:after="0" w:line="180"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addition, in the event that Dr. Chen’s employment is terminated by us without cause or by Dr. Chen for good reason, in each case, within 12 months following a “change in control” (as defined in the Chen Offer Letter), in lieu of the above benefits, Dr. Chen is entitled to receive (i) continuation of his then-current base salary for a period of 12 months, (ii) up to 12 months of COBRA premium payments at the same rate we pay for active and similarly-situated employees, and (iii) accelerated vesting of the initial equity award.</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Antony Loebel, M.D.</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On June 11, 2024, we entered into an offer letter with Dr. Loebel, or the Loebel Offer Letter, for the position of Chief Medical Officer and President of Clinical Development, which provides for Dr. Loebel’s at-will employment. Pursuant to the Loebel Offer Letter, Dr. Loebel is eligible to receive an annual base salary, subject to annual review for merit increases at the sole discretion of our board of directors, and an annual performance bonus, as determined by our board of directors based on his individual performance and the performance of our Company. Dr. Loebel is also eligible to participate in the employee benefit plans generally available to our employees, subject to the terms of those plans.</w:t>
      </w:r>
    </w:p>
    <w:p>
      <w:pPr>
        <w:spacing w:after="0" w:line="183"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Additionally, Dr. Loebel received an initial equity award in the form of an option to purchase 1,693,760 shares of our common stock. 25% of Dr. Loebel’s initial equity award vested on July 18, 2025, with the remaining shares vesting in 36 equal monthly installments thereafter.</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Pursuant to the Loebel Offer Letter, in the event that Dr. Loebel’s employment is terminated by us without “cause” or by Dr. Loebel for “good reason” (each as defined in the Loebel Offer Letter), subject to Dr. Loebel’s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080"/>
          </w:cols>
          <w:pgMar w:left="320" w:top="455" w:right="4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execution of a general release of claims in favor of us and our affiliates, Dr. Loebel is entitled to receive (i) continuation of his then-current base salary for a period of 12 months, (ii) up to 12 months of COBRA premium payments at the same rate we pay for active and similarly-situated employees, (iii) a prorated portion of his annual performance bonus, and (iv) if the termination occurs after the first anniversary of his start date and on or prior to the second anniversary of his start date (or 12 months if such termination occurs after the first anniversary of his start date), accelerated vesting of his initial equity award such that he will vest in the portion of the award that would have vested during the six months following his termination date, or, if the termination occurs after the second anniversary of his start date, accelerated vesting of his initial equity award such that he will vest in the portion of the award that would have vested during the nine months following the termination date, in each case as if he had remained employed through such date.</w:t>
      </w:r>
    </w:p>
    <w:p>
      <w:pPr>
        <w:spacing w:after="0" w:line="18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addition, in the event that Dr. Loebel’s employment is terminated by us without cause or by Dr. Loebel for good reason occurs on or within 12 months following a “change in control” (as defined in the Loebel Offer Letter), subject to Dr. Loebel’s execution of a general release of claims in favor of us and our affiliates, in lieu of the above benefits, Dr. Loebel is entitled to receive (i) 12 months of his then-current base salary, (ii) 12 months of COBRA premium payments at the same rate we pay for active and similarly-situated employees, (iii) a lump sum payment of 100% of his annual performance bonus, and (iv) accelerated vesting of Dr. Loebel’s initial equity grant.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Year-End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outstanding equity awards held by each of our named executive officers as of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2025.</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 xml:space="preserve">Option Awards </w:t>
            </w:r>
            <w:r>
              <w:rPr>
                <w:rFonts w:ascii="Times New Roman" w:cs="Times New Roman" w:eastAsia="Times New Roman" w:hAnsi="Times New Roman"/>
                <w:sz w:val="10"/>
                <w:szCs w:val="10"/>
                <w:b w:val="1"/>
                <w:bCs w:val="1"/>
                <w:color w:val="auto"/>
                <w:w w:val="98"/>
              </w:rPr>
              <w:t>(1)</w:t>
            </w:r>
          </w:p>
        </w:tc>
        <w:tc>
          <w:tcPr>
            <w:tcW w:w="5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0" w:type="dxa"/>
            <w:vAlign w:val="bottom"/>
            <w:gridSpan w:val="2"/>
            <w:vMerge w:val="continue"/>
          </w:tcPr>
          <w:p>
            <w:pPr>
              <w:spacing w:after="0"/>
              <w:rPr>
                <w:sz w:val="12"/>
                <w:szCs w:val="12"/>
                <w:color w:val="auto"/>
              </w:rPr>
            </w:pP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260" w:type="dxa"/>
            <w:vAlign w:val="bottom"/>
            <w:vMerge w:val="restart"/>
          </w:tcPr>
          <w:p>
            <w:pPr>
              <w:spacing w:after="0"/>
              <w:rPr>
                <w:sz w:val="12"/>
                <w:szCs w:val="12"/>
                <w:color w:val="auto"/>
              </w:rPr>
            </w:pPr>
          </w:p>
        </w:tc>
        <w:tc>
          <w:tcPr>
            <w:tcW w:w="1320" w:type="dxa"/>
            <w:vAlign w:val="bottom"/>
            <w:gridSpan w:val="2"/>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0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426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0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260" w:type="dxa"/>
            <w:vAlign w:val="bottom"/>
          </w:tcPr>
          <w:p>
            <w:pPr>
              <w:spacing w:after="0"/>
              <w:rPr>
                <w:sz w:val="15"/>
                <w:szCs w:val="15"/>
                <w:color w:val="auto"/>
              </w:rPr>
            </w:pPr>
          </w:p>
        </w:tc>
        <w:tc>
          <w:tcPr>
            <w:tcW w:w="10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5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100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Daphne Zohar</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6/4/2024</w:t>
            </w:r>
          </w:p>
        </w:tc>
        <w:tc>
          <w:tcPr>
            <w:tcW w:w="440" w:type="dxa"/>
            <w:vAlign w:val="bottom"/>
            <w:tcBorders>
              <w:top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2"/>
              </w:rPr>
              <w:t>(2)</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5,847,504</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1,411,468</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0.97</w:t>
            </w: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6/3/2034</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320" w:type="dxa"/>
            <w:vAlign w:val="bottom"/>
            <w:gridSpan w:val="2"/>
          </w:tcPr>
          <w:p>
            <w:pPr>
              <w:jc w:val="right"/>
              <w:ind w:right="213"/>
              <w:spacing w:after="0"/>
              <w:rPr>
                <w:sz w:val="20"/>
                <w:szCs w:val="20"/>
                <w:color w:val="auto"/>
              </w:rPr>
            </w:pPr>
            <w:r>
              <w:rPr>
                <w:rFonts w:ascii="Times New Roman" w:cs="Times New Roman" w:eastAsia="Times New Roman" w:hAnsi="Times New Roman"/>
                <w:sz w:val="18"/>
                <w:szCs w:val="18"/>
                <w:color w:val="auto"/>
                <w:w w:val="99"/>
              </w:rPr>
              <w:t>12/29/2024</w:t>
            </w:r>
            <w:r>
              <w:rPr>
                <w:rFonts w:ascii="Times New Roman" w:cs="Times New Roman" w:eastAsia="Times New Roman" w:hAnsi="Times New Roman"/>
                <w:sz w:val="26"/>
                <w:szCs w:val="26"/>
                <w:color w:val="auto"/>
                <w:w w:val="99"/>
                <w:vertAlign w:val="superscript"/>
              </w:rPr>
              <w:t>(2)</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461,687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111,444</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2.35</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12/28/2034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Chen, Ph.D.</w:t>
            </w:r>
          </w:p>
        </w:tc>
        <w:tc>
          <w:tcPr>
            <w:tcW w:w="1320" w:type="dxa"/>
            <w:vAlign w:val="bottom"/>
            <w:gridSpan w:val="2"/>
            <w:shd w:val="clear" w:color="auto" w:fill="CCEEFF"/>
          </w:tcPr>
          <w:p>
            <w:pPr>
              <w:jc w:val="right"/>
              <w:ind w:right="213"/>
              <w:spacing w:after="0" w:line="216" w:lineRule="exact"/>
              <w:rPr>
                <w:sz w:val="20"/>
                <w:szCs w:val="20"/>
                <w:color w:val="auto"/>
              </w:rPr>
            </w:pPr>
            <w:r>
              <w:rPr>
                <w:rFonts w:ascii="Times New Roman" w:cs="Times New Roman" w:eastAsia="Times New Roman" w:hAnsi="Times New Roman"/>
                <w:sz w:val="17"/>
                <w:szCs w:val="17"/>
                <w:color w:val="auto"/>
              </w:rPr>
              <w:t>6/4/2024</w:t>
            </w:r>
            <w:r>
              <w:rPr>
                <w:rFonts w:ascii="Times New Roman" w:cs="Times New Roman" w:eastAsia="Times New Roman" w:hAnsi="Times New Roman"/>
                <w:sz w:val="25"/>
                <w:szCs w:val="25"/>
                <w:color w:val="auto"/>
                <w:vertAlign w:val="superscript"/>
              </w:rPr>
              <w:t>(3)</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524,259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733,963</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0.97</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6/3/2034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320" w:type="dxa"/>
            <w:vAlign w:val="bottom"/>
            <w:gridSpan w:val="2"/>
          </w:tcPr>
          <w:p>
            <w:pPr>
              <w:jc w:val="right"/>
              <w:ind w:right="213"/>
              <w:spacing w:after="0" w:line="216" w:lineRule="exact"/>
              <w:rPr>
                <w:sz w:val="20"/>
                <w:szCs w:val="20"/>
                <w:color w:val="auto"/>
              </w:rPr>
            </w:pPr>
            <w:r>
              <w:rPr>
                <w:rFonts w:ascii="Times New Roman" w:cs="Times New Roman" w:eastAsia="Times New Roman" w:hAnsi="Times New Roman"/>
                <w:sz w:val="17"/>
                <w:szCs w:val="17"/>
                <w:color w:val="auto"/>
              </w:rPr>
              <w:t>12/24/2024</w:t>
            </w:r>
            <w:r>
              <w:rPr>
                <w:rFonts w:ascii="Times New Roman" w:cs="Times New Roman" w:eastAsia="Times New Roman" w:hAnsi="Times New Roman"/>
                <w:sz w:val="25"/>
                <w:szCs w:val="25"/>
                <w:color w:val="auto"/>
                <w:vertAlign w:val="superscript"/>
              </w:rPr>
              <w:t>(4)</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170,000</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2.35</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12/23/2034</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3"/>
              <w:spacing w:after="0" w:line="216" w:lineRule="exact"/>
              <w:rPr>
                <w:sz w:val="20"/>
                <w:szCs w:val="20"/>
                <w:color w:val="auto"/>
              </w:rPr>
            </w:pPr>
            <w:r>
              <w:rPr>
                <w:rFonts w:ascii="Times New Roman" w:cs="Times New Roman" w:eastAsia="Times New Roman" w:hAnsi="Times New Roman"/>
                <w:sz w:val="17"/>
                <w:szCs w:val="17"/>
                <w:color w:val="auto"/>
              </w:rPr>
              <w:t>01/26/2025</w:t>
            </w:r>
            <w:r>
              <w:rPr>
                <w:rFonts w:ascii="Times New Roman" w:cs="Times New Roman" w:eastAsia="Times New Roman" w:hAnsi="Times New Roman"/>
                <w:sz w:val="25"/>
                <w:szCs w:val="25"/>
                <w:color w:val="auto"/>
                <w:vertAlign w:val="superscript"/>
              </w:rPr>
              <w:t>(5)</w:t>
            </w: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270,940</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2.35</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01/25/2035</w:t>
            </w:r>
          </w:p>
        </w:tc>
        <w:tc>
          <w:tcPr>
            <w:tcW w:w="0" w:type="dxa"/>
            <w:vAlign w:val="bottom"/>
          </w:tcPr>
          <w:p>
            <w:pPr>
              <w:spacing w:after="0"/>
              <w:rPr>
                <w:sz w:val="1"/>
                <w:szCs w:val="1"/>
                <w:color w:val="auto"/>
              </w:rPr>
            </w:pPr>
          </w:p>
        </w:tc>
      </w:tr>
      <w:tr>
        <w:trPr>
          <w:trHeight w:val="32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Antony Loebel, M.D.</w:t>
            </w:r>
          </w:p>
        </w:tc>
        <w:tc>
          <w:tcPr>
            <w:tcW w:w="1320" w:type="dxa"/>
            <w:vAlign w:val="bottom"/>
            <w:gridSpan w:val="2"/>
          </w:tcPr>
          <w:p>
            <w:pPr>
              <w:jc w:val="right"/>
              <w:ind w:right="213"/>
              <w:spacing w:after="0"/>
              <w:rPr>
                <w:sz w:val="20"/>
                <w:szCs w:val="20"/>
                <w:color w:val="auto"/>
              </w:rPr>
            </w:pPr>
            <w:r>
              <w:rPr>
                <w:rFonts w:ascii="Times New Roman" w:cs="Times New Roman" w:eastAsia="Times New Roman" w:hAnsi="Times New Roman"/>
                <w:sz w:val="18"/>
                <w:szCs w:val="18"/>
                <w:color w:val="auto"/>
              </w:rPr>
              <w:t>8/12/2024</w:t>
            </w:r>
            <w:r>
              <w:rPr>
                <w:rFonts w:ascii="Times New Roman" w:cs="Times New Roman" w:eastAsia="Times New Roman" w:hAnsi="Times New Roman"/>
                <w:sz w:val="26"/>
                <w:szCs w:val="26"/>
                <w:color w:val="auto"/>
                <w:vertAlign w:val="superscript"/>
              </w:rPr>
              <w:t>(6)</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599,873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1,093,887</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0.97</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8/11/2034</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3"/>
              <w:spacing w:after="0" w:line="216" w:lineRule="exact"/>
              <w:rPr>
                <w:sz w:val="20"/>
                <w:szCs w:val="20"/>
                <w:color w:val="auto"/>
              </w:rPr>
            </w:pPr>
            <w:r>
              <w:rPr>
                <w:rFonts w:ascii="Times New Roman" w:cs="Times New Roman" w:eastAsia="Times New Roman" w:hAnsi="Times New Roman"/>
                <w:sz w:val="17"/>
                <w:szCs w:val="17"/>
                <w:color w:val="auto"/>
              </w:rPr>
              <w:t>12/24/2024</w:t>
            </w:r>
            <w:r>
              <w:rPr>
                <w:rFonts w:ascii="Times New Roman" w:cs="Times New Roman" w:eastAsia="Times New Roman" w:hAnsi="Times New Roman"/>
                <w:sz w:val="25"/>
                <w:szCs w:val="25"/>
                <w:color w:val="auto"/>
                <w:vertAlign w:val="superscript"/>
              </w:rPr>
              <w:t>(4)</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50,000</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2.35</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12/23/2034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option awards were granted under our 2024 Plan, described below.</w:t>
      </w:r>
    </w:p>
    <w:p>
      <w:pPr>
        <w:spacing w:after="0" w:line="27"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this stock option vest as follows: 1/18th of the shares vested on April 16, 2024, and the remaining shares vest in 34 equal monthly installments thereafter. Additionally, 50% of the then-unvested shares would accelerate and become fully vested upon the first closing of the Series B preferred stock financing, which occurred on October 18, 2024. The remaining 50% of the unvested shares will further accelerate and become fully vested upon the closing of this offering, subject to Ms. Zohar’s continued service relationship as our Chief Executive Officer through such closing.</w:t>
      </w:r>
    </w:p>
    <w:p>
      <w:pPr>
        <w:spacing w:after="0" w:line="1" w:lineRule="exact"/>
        <w:rPr>
          <w:rFonts w:ascii="Times New Roman" w:cs="Times New Roman" w:eastAsia="Times New Roman" w:hAnsi="Times New Roman"/>
          <w:sz w:val="18"/>
          <w:szCs w:val="18"/>
          <w:color w:val="auto"/>
        </w:rPr>
      </w:pPr>
    </w:p>
    <w:p>
      <w:pPr>
        <w:ind w:left="540" w:right="320" w:hanging="424"/>
        <w:spacing w:after="0" w:line="250" w:lineRule="auto"/>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this stock option award vest as follows: 25% of the shares vested on April 9, 2025, and the remaining 75% of the shares vest in 36 equal monthly installments thereafter, subject to Dr. Chen’s continued service relationship through the applicable vesting date.</w:t>
      </w:r>
    </w:p>
    <w:p>
      <w:pPr>
        <w:ind w:left="540" w:right="520" w:hanging="424"/>
        <w:spacing w:after="0" w:line="260" w:lineRule="auto"/>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this stock option award vest as follows: 1/3rd of the shares will vest and become exercisable in 2026 based on annual performance metrics (starting with the 2025 annual Company goals) as</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40"/>
          </w:cols>
          <w:pgMar w:left="320" w:top="455" w:right="4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80"/>
        <w:spacing w:after="0" w:line="255" w:lineRule="auto"/>
        <w:rPr>
          <w:sz w:val="20"/>
          <w:szCs w:val="20"/>
          <w:color w:val="auto"/>
        </w:rPr>
      </w:pPr>
      <w:r>
        <w:rPr>
          <w:rFonts w:ascii="Times New Roman" w:cs="Times New Roman" w:eastAsia="Times New Roman" w:hAnsi="Times New Roman"/>
          <w:sz w:val="18"/>
          <w:szCs w:val="18"/>
          <w:color w:val="auto"/>
        </w:rPr>
        <w:t>determined by our Chief Executive Officer in consultation with the Compensation Committee and the remaining shares will vest and become exercisable in 1/3rd increments upon each of the two subsequent annual performance metrics (based on the annual Company goals) as determined by our Chief Executive Officer in consultation with the Compensation Committee. For accounting purposes, this stock option award is not considered granted under FASB ASC Topic 718 as of the date hereof.</w:t>
      </w:r>
    </w:p>
    <w:p>
      <w:pPr>
        <w:spacing w:after="0" w:line="3" w:lineRule="exact"/>
        <w:rPr>
          <w:sz w:val="20"/>
          <w:szCs w:val="20"/>
          <w:color w:val="auto"/>
        </w:rPr>
      </w:pPr>
    </w:p>
    <w:p>
      <w:pPr>
        <w:ind w:left="540" w:right="400" w:hanging="424"/>
        <w:spacing w:after="0" w:line="250"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this stock option award vest as follows: 25% of the shares vest on the first anniversary of January 26, 2025, and the remaining 75% of the shares vest in 36 equal monthly installments thereafter, subject to Dr. Chen’s continued service relationship through the applicable vesting date.</w:t>
      </w:r>
    </w:p>
    <w:p>
      <w:pPr>
        <w:spacing w:after="0" w:line="1" w:lineRule="exact"/>
        <w:rPr>
          <w:rFonts w:ascii="Times New Roman" w:cs="Times New Roman" w:eastAsia="Times New Roman" w:hAnsi="Times New Roman"/>
          <w:sz w:val="18"/>
          <w:szCs w:val="18"/>
          <w:color w:val="auto"/>
        </w:rPr>
      </w:pPr>
    </w:p>
    <w:p>
      <w:pPr>
        <w:ind w:left="540" w:right="100" w:hanging="424"/>
        <w:spacing w:after="0" w:line="255"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this stock option award vest as follows: 25% of the shares vested on the first anniversary of July 18, 2024, and the remaining 75% of the shares vest in 36 equal monthly installments thereafter, subject to the executive’s continued service relationship through the applicable vesting date.</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Benefit and Equity Compensation Plans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2024 Plan, was approved by the Company’s subsidiary’s Board and Stockholders and became effective for the Company in April 2024 and was subsequently amended in April 2024 and October 2024 to increase the number of shares reserved for issuance thereunder. Under the 2024 Plan, as amended, we have reserved for issuance an aggregate of 38,607,011 shares of our common stock. These numbers are subject to adjustment in the event of a stock dividend, stock split, spin-off, recapitalization, or other similar equity restructuring. Our board of directors has determined not to issue any further awards under the 2024 Plan following the closing of this offering, but all outstanding awards under the 2024 Plan will continue to be governed by their existing terms. In connection with this offering, we intend to adopt a new incentive equity plan under which we will grant equity-based awards following this offering, as described below under “</w:t>
      </w:r>
      <w:r>
        <w:rPr>
          <w:rFonts w:ascii="Times New Roman" w:cs="Times New Roman" w:eastAsia="Times New Roman" w:hAnsi="Times New Roman"/>
          <w:sz w:val="18"/>
          <w:szCs w:val="18"/>
          <w:i w:val="1"/>
          <w:iCs w:val="1"/>
          <w:color w:val="auto"/>
        </w:rPr>
        <w:t>2026 Equity Incentive Plan</w:t>
      </w:r>
      <w:r>
        <w:rPr>
          <w:rFonts w:ascii="Times New Roman" w:cs="Times New Roman" w:eastAsia="Times New Roman" w:hAnsi="Times New Roman"/>
          <w:sz w:val="18"/>
          <w:szCs w:val="18"/>
          <w:color w:val="auto"/>
        </w:rPr>
        <w:t>.” The following summary describes the material terms of the 2024 Plan. This summary is not a complete description of all provisions of the 2024 Plan and is qualified in its entirety by reference to the 2024 Plan, which is filed as an exhibit to the registration statement of which this prospectus is a part.</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shares of common stock underlying any awards that are expired, lapsed, terminated, surrendered, cancelled without having been fully exercised, or is forfeited in whole or in part (including repurchased by us at or below the original issuance price), and shares that are withheld upon exercise of an option or settlement of an award to cover the exercise price or tax withholding under our 2024 Plan are currently added back to the shares of common stock available for issuance under our 2024 Plan (and, following the completion of this offering, will be added back to the shares of common stock available for issuance under the 2026 Equity Incentive Plan, or the 2026 Plan).</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has acted as administrator of the 2024 Plan. The administrator has full power to, among other things, select, from among the individuals eligible for awards, determine the specific terms and conditions of each award, and accelerate at any time the exercisability or vesting of any award, subject to the provisions of the 2024 Plan. Persons eligible to participate in our 2024 Plan are our employees, consultants and directors.</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2024 Plan permits the granting of (1) options to purchase common stock intended to qualify as incentive stock options under Section 422 of the Code and (2) options that do not so qualify. The option exercise price of each option is determined by the administrator but may not be less than 100% of the fair market value of the common stock on the date of grant or, in the case of an incentive stock option granted to a 10% owner, the exercise price shall not be less than 110% of the fair market value of our common stock on the date of grant. The term of each option is fixed by the administrator and may not exceed ten years from the date of grant (or five years in the case of certain incentive stock option grants). The administrator determines at what time or times each option may be exercised.</w:t>
      </w:r>
    </w:p>
    <w:p>
      <w:pPr>
        <w:spacing w:after="0" w:line="187"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The administrator of the 2024 Plan may award restricted shares of common stock and restricted stock units subject to such conditions and restrictions as it determines.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40"/>
          </w:cols>
          <w:pgMar w:left="320" w:top="455" w:right="4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administrator of the 2024 Plan may also grant other stock-based awards to be delivered in the future. The awards may be paid in shares of common stock, cash, or other forms of property, as determined by the administrator.</w:t>
      </w:r>
    </w:p>
    <w:p>
      <w:pPr>
        <w:spacing w:after="0" w:line="162"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In the event of certain equity restructuring, including stock dividend, stock split, spin-off, recapitalization or other similar change to the Company’s capital structure, the administrator of the 2024 Plan shall make appropriate adjustments to the maximum number of shares reserved for issuance under the 2024 Plan, the number and type of securities subject to outstanding awards under the 2024 Plan, and the exercise price of any outstanding awards under the 2024 Plan.</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2024 Plan provides that in the event of a “change in control” (as defined in the 2024 Plan), the administrator is authorized to take various actions, including, but not limited to: (i) canceling any award in exchange for cash or property, (ii) accelerating the vesting of any award, (iii) providing for the assumption or substitution of awards by the successor entity, (iv) adjusting the number and type of shares subject to outstanding awards, (v) replacing the award with other rights or property selected by the administrator, and (vi) terminating the award.</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may amend, suspend or terminate the 2024 Plan at any time, subject to stockholder approval where required by applicable law. The administrator of the 2024 Plan may also amend, modify or terminate any outstanding award. The participant’s consent to such action will be required unless (i) the administrator determines that the action would not materially and adversely affect the participant, or (ii) the change is permitted under the 2024 Plan.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awards may be granted under our 2024 Plan after the date that is ten years from the date our 2024 Plan was adopted by our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As described above, our board of directors has determined not to issue any further awards under our 2024 Plan following the completion of this offering.</w:t>
      </w:r>
    </w:p>
    <w:p>
      <w:pPr>
        <w:spacing w:after="0" w:line="218"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2025, options to purchase up to 27,633,144 shares of common stock at a weighted average exercise price of $1.52 per share and 6,250,000 shares of restricted stock were outstanding under the 2024 Plan.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2026 Equity Incentive Plan</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2026 Plan was adopted by our board of directors on        2026, approved by our stockholders on        , 2026 and will become effective on the date immediately preceding the date on which the registration statement of which this prospectus is a part is declared effective by the SEC. The 2026 Plan will allow us to make equity-based and cash-based incentive awards to our officers, employees, directors, and consultants. The following summary describes the material terms of the 2026 Plan. This summary is not a complete description of all provisions of the 2026 Plan and is qualified in its entirety by reference to the 2026 Plan, which will be filed as an exhibit to the registration statement of which this prospectus is a part.</w:t>
      </w:r>
    </w:p>
    <w:p>
      <w:pPr>
        <w:spacing w:after="0" w:line="181"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We have initially reserved        shares of our common stock for the issuance of awards under the 2026 Plan, or the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 The 2026 Plan provides that the number of shares reserved and available for issuance under the 2026 Plan will automatically increase on January 1, 2027 and each January thereafter during the term of the 2026 Plan, by  % of the outstanding number of shares of our common stock on the immediately preceding December 31 or such lesser number of shares as determined by our compensation committee, or the Annual Increase. The number of shares reserved for issuance under the 2026 Plan will be subject to adjustment in the event of a stock split, stock dividend, or other change in our capitalization.</w:t>
      </w:r>
    </w:p>
    <w:p>
      <w:pPr>
        <w:spacing w:after="0" w:line="18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shares we issue under the 2026 Plan will be authorized but unissued shares or shares that we reacquire. The shares of common stock underlying any awards under the 2026 Plan and the 2024 Plan that are forfeited, cancelled, held back upon exercise or settlement of an award to satisfy the exercise price or tax withholding, reacquired by us prior to vesting, satisfied without the issuance of stock, expire, or are otherwise terminated (other than by exercise) will be added back to the shares of common stock available for issuance under the 2026</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Plan. The maximum number of shares of common stock that may be issued pursuant to incentive stock options shall not exceed the Initial Limit, cumulatively increased on January 1, 2027 and on each January 1 thereafter by the lesser of the Annual Increase for such year or        shares of common stock.</w:t>
      </w:r>
    </w:p>
    <w:p>
      <w:pPr>
        <w:spacing w:after="0" w:line="174"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Non-Employee Director Limit</w:t>
      </w:r>
      <w:r>
        <w:rPr>
          <w:rFonts w:ascii="Times New Roman" w:cs="Times New Roman" w:eastAsia="Times New Roman" w:hAnsi="Times New Roman"/>
          <w:sz w:val="18"/>
          <w:szCs w:val="18"/>
          <w:color w:val="auto"/>
        </w:rPr>
        <w:t>. The grant date fair value of all awards under the 2026 Plan and all other cash compensation paid by us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non-employee director during any one calendar year for services as a non-employee director may not exceed $  ; provided, however, that such amount shall be $        for the calendar year in which the applicable non-employee director is initially elected or appointed to our board of directors.</w:t>
      </w:r>
    </w:p>
    <w:p>
      <w:pPr>
        <w:spacing w:after="0" w:line="173"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The 2026 Plan will be administered by our compensation committee. Our compensation committee will have full power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 from among the individuals eligible for awards, the individuals to whom awards will be granted and the number of shares subject to such awards, to make any combination of awards to participants, to accelerate at any time the exercisability or vesting of any award, and to determine the specific terms and conditions of each award, subject to the provisions of the 2026 Plan. The compensation committee is specifically authorized to exercise its discretion to reduce the exercise price of outstanding stock options and stock appreciation rights or effect the repricing of such awards through cancellation and re-grants without stockholder consent.</w:t>
      </w:r>
    </w:p>
    <w:p>
      <w:pPr>
        <w:spacing w:after="0" w:line="182" w:lineRule="exact"/>
        <w:rPr>
          <w:sz w:val="20"/>
          <w:szCs w:val="20"/>
          <w:color w:val="auto"/>
        </w:rPr>
      </w:pPr>
    </w:p>
    <w:p>
      <w:pPr>
        <w:ind w:left="120" w:right="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Persons eligible to participate in the 2026 Plan will be those employees, non-employee directors, and consultants selected from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by our compensation committee in its discretion.</w:t>
      </w:r>
    </w:p>
    <w:p>
      <w:pPr>
        <w:spacing w:after="0" w:line="15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The 2026 Plan permits the granting of both options to purchase common stock intended to qualify as incentive stock options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422 of the Code and options that do not so qualify. The option exercise price of each option will be determined by our compensation committee but may not be less than 100% of the fair market value of our common stock on the date of grant unless the option (i) is granted pursuant to a transaction described in and in a manner consistent with, Section 424(a) of the Code, (ii) is granted to an individual who is not subject to United States income tax, or (iii) complies with or is exempt from Section 409A of the Code. The term of each option will be fixed by our compensation committee and may not exceed ten years from the date of grant (or five years in the case of certain incentive stock options). Our compensation committee will determine at what time or times each option may be exercised.</w:t>
      </w:r>
    </w:p>
    <w:p>
      <w:pPr>
        <w:spacing w:after="0" w:line="18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Our compensation committee may award stock appreciation rights under the 2026 Plan subject to such conditions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as it determines. Stock appreciation rights entitle the recipient to shares of common stock, or cash, equal to the value of the appreciation in our stock price over the exercise price. The exercise price of each stock appreciation right may not be less than 100% of the fair market value of our common stock on the date of grant unless the stock appreciation right (i) is granted pursuant to a transaction described in, and in a manner consistent with, Section 424(a) of the Code, (ii) is granted to an individual who is not subject to United States income tax, or (iii) complies with or is exempt from Section 409A of the Code. The term of each stock appreciation right will be fixed by our compensation committee and may not exceed ten years from the date of grant. Our compensation committee will determine at what time or times each stock appreciation right may be exercised.</w:t>
      </w:r>
    </w:p>
    <w:p>
      <w:pPr>
        <w:spacing w:after="0" w:line="183"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Restricted Stock and Restricted Stock Units</w:t>
      </w:r>
      <w:r>
        <w:rPr>
          <w:rFonts w:ascii="Times New Roman" w:cs="Times New Roman" w:eastAsia="Times New Roman" w:hAnsi="Times New Roman"/>
          <w:sz w:val="18"/>
          <w:szCs w:val="18"/>
          <w:color w:val="auto"/>
        </w:rPr>
        <w:t>. Our compensation committee may award restricted shares of common stock and restricted stock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participants subject to such conditions and restrictions as it determines. These conditions and restrictions may include the achievement of certain performance goals and/or continued employment or other service relationship with us through a specified vesting period.</w:t>
      </w:r>
    </w:p>
    <w:p>
      <w:pPr>
        <w:spacing w:after="0" w:line="173" w:lineRule="exact"/>
        <w:rPr>
          <w:sz w:val="20"/>
          <w:szCs w:val="20"/>
          <w:color w:val="auto"/>
        </w:rPr>
      </w:pPr>
    </w:p>
    <w:p>
      <w:pPr>
        <w:ind w:left="120"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Unrestricted Stock Awards</w:t>
      </w:r>
      <w:r>
        <w:rPr>
          <w:rFonts w:ascii="Times New Roman" w:cs="Times New Roman" w:eastAsia="Times New Roman" w:hAnsi="Times New Roman"/>
          <w:sz w:val="18"/>
          <w:szCs w:val="18"/>
          <w:color w:val="auto"/>
        </w:rPr>
        <w:t>. Our compensation committee may grant shares of common stock that are free from any restrictions under the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Unrestricted stock may be granted to participants in recognition of past services or for other valid consideration and may be issued in lieu of cash compensation due to such participant.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Dividend Equivalent Rights</w:t>
      </w:r>
      <w:r>
        <w:rPr>
          <w:rFonts w:ascii="Times New Roman" w:cs="Times New Roman" w:eastAsia="Times New Roman" w:hAnsi="Times New Roman"/>
          <w:sz w:val="18"/>
          <w:szCs w:val="18"/>
          <w:color w:val="auto"/>
        </w:rPr>
        <w:t>. Our compensation committee may grant dividend equivalent rights to participants that entitle the recipient to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credits for dividends that would be paid if the recipient had held a specified number of shares of common stock.</w:t>
      </w:r>
    </w:p>
    <w:p>
      <w:pPr>
        <w:spacing w:after="0" w:line="158" w:lineRule="exact"/>
        <w:rPr>
          <w:sz w:val="20"/>
          <w:szCs w:val="20"/>
          <w:color w:val="auto"/>
        </w:rPr>
      </w:pPr>
    </w:p>
    <w:p>
      <w:pPr>
        <w:ind w:left="120" w:right="3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Cash-Based Awards</w:t>
      </w:r>
      <w:r>
        <w:rPr>
          <w:rFonts w:ascii="Times New Roman" w:cs="Times New Roman" w:eastAsia="Times New Roman" w:hAnsi="Times New Roman"/>
          <w:sz w:val="18"/>
          <w:szCs w:val="18"/>
          <w:color w:val="auto"/>
        </w:rPr>
        <w:t>. Our compensation committee may grant cash bonuses under the 2026 Plan to participants, subject to the achievement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performance goals.</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Sale Event</w:t>
      </w:r>
      <w:r>
        <w:rPr>
          <w:rFonts w:ascii="Times New Roman" w:cs="Times New Roman" w:eastAsia="Times New Roman" w:hAnsi="Times New Roman"/>
          <w:sz w:val="18"/>
          <w:szCs w:val="18"/>
          <w:color w:val="auto"/>
        </w:rPr>
        <w:t>. The 2026 Plan provides that, upon the effectiveness of a “sale event” (as defined in the 2026 Plan), an acquirer or successor entity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 continue, or substitute outstanding awards under the 2026 Plan. To the extent that awards granted under the 2026 Plan are not assumed, continued, or substituted by the successor entity, the 2026 Plan and all awards granted under the 2026 Plan will terminate. In such case, except as may be otherwise provided in the relevant award agreement, all awards with time-based vesting, conditions, or restrictions will become fully vested and exercisable or nonforfeitable as of the effective time of the sale event and all awards with conditions and restrictions relating to the attainment of performance goals may become vested and exercisable or nonforfeitable in connection with the sale event in the plan administrator’s discretion or to the extent specified in the relevant award agreement. In the event of such termination, (i) individuals holding options and stock appreciation rights will be permitted to exercise any options and stock appreciation rights (to the extent exercisable) within a specified time period, as determined by the compensation committee, prior to the sale event or (ii) we may make or provide for a payment, in cash or in kind, to participants holding vested and exercisable options and stock appreciation rights equal to the difference between the per share consideration payable to stockholders in the sale event and the exercise price of the options or stock appreciation rights; provided, that any options or stock appreciation rights with exercise prices equal to or greater than such per share consideration will be cancelled for no consideration. In addition, we may make or provide for a payment, in cash or in kind, to the participants holding other awards in an amount equal to the per share consideration payable to stockholders in the sale event multiplied by the number of vested shares of common stock under such awards.</w:t>
      </w:r>
    </w:p>
    <w:p>
      <w:pPr>
        <w:spacing w:after="0" w:line="18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Our board of directors may amend or discontinue the 2026 Plan and our compensation committee may amend or cancel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for purposes of satisfying changes in law or any other lawful purpose, but no such action may materially and adversely affect rights under an award without the holder’s consent. Certain amendments to the 2026 Plan require the approval of our stockholders. The compensation committee is specifically authorized to exercise its discretion to reduce the exercise price of outstanding stock options and stock appreciation rights or effect the repricing of such awards through cancellation and re-grants without stockholder consent.</w:t>
      </w:r>
    </w:p>
    <w:p>
      <w:pPr>
        <w:spacing w:after="0" w:line="18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No awards may be granted under the 2026 Plan after the date that is ten years from the effective date of the 2026 Plan. No awards have been made under the 2026 Plan prior to the date hereof.</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2026 Employee Stock Purchase Plan</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ESPP was adopted by our board of directors on        , 2026, approved by our stockholders on        , 2026, and will become effective on the date immediately preceding the date on which the registration statement of which this prospectus is part is declared effective by the SEC. The ESPP has two components: a component intended to qualify as an “employee stock purchase plan” within the meaning of Section 423 of the Code, or the 423 Component, and a component that is not intended to so qualify, or the Non-423 Component. Except as otherwise provided, the Non-423 Component will be operated and administered in the same manner as the 423 Component, except where prohibited by law. The following summary describes the material terms of the ESPP. This summary is not a complete description of all provisions of the ESPP and is qualified in its entirety by reference to the ESPP, which will be filed as an exhibit to the registration statement of which this prospectus is a part.</w:t>
      </w:r>
    </w:p>
    <w:p>
      <w:pPr>
        <w:spacing w:after="0" w:line="187"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The ESPP initially reserves and authorizes the issuance of up to a total of       shares of our common stock to participating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The ESPP provides that the number of shares reserved and available for issuance will automatically increase on January 1, 2027 and each January 1 thereafter through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20"/>
          </w:cols>
          <w:pgMar w:left="320" w:top="455" w:right="4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January 1, 2036, by the least of (i)        % of the outstanding number of shares of our common stock on the immediately preceding December 31, (ii)        shares of common stock, or (iii) such number of shares of common stock as determined by the administrator of the ESPP. The number of shares reserved under the ESPP is subject to adjustment in the event of a stock split, stock dividend, or other change in our capitalization.</w:t>
      </w:r>
    </w:p>
    <w:p>
      <w:pPr>
        <w:spacing w:after="0" w:line="17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All individuals classified as employees on the payroll records of the Company or a “designated company” (as defined in the ESPP)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first day of the applicable offering period are eligible to participate in the ESPP, provided that the ESPP administrator may determine in advance of an offering that employees are eligible only if, as of the first day of the offering, they (a) are customarily employed by us or a designated company for more than 20 hours a week (or such lesser amount determined by the ESPP administrator), (b) are customarily employed by us or a designated company for more than five months per calendar year, (c) have completed a minimum period of employment as determined by the ESPP administrator, provided such service requirement does not exceed two years of employment, and/or (d) they are not highly compensated employees. However, any employee who owns, or as a result of participation in the ESPP would own or hold, 5% or more of the total combined voting power or value of all classes of our stock will not be eligible to purchase shares of common stock under the ESPP.</w:t>
      </w:r>
    </w:p>
    <w:p>
      <w:pPr>
        <w:spacing w:after="0" w:line="185"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Offerings</w:t>
      </w:r>
      <w:r>
        <w:rPr>
          <w:rFonts w:ascii="Times New Roman" w:cs="Times New Roman" w:eastAsia="Times New Roman" w:hAnsi="Times New Roman"/>
          <w:sz w:val="18"/>
          <w:szCs w:val="18"/>
          <w:color w:val="auto"/>
        </w:rPr>
        <w:t>. We may make one or more offerings each year to our employees to purchase shares of our common stock under the ESPP, 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consist of one or more purchase periods. Offerings will begin and end on the dates determined by the ESPP administrator, except that no offering will exceed 27 months in duration. Each eligible employee may elect to participate in any offering by submitting an enrollment form by the deadline established by the ESPP administrator.</w:t>
      </w:r>
    </w:p>
    <w:p>
      <w:pPr>
        <w:spacing w:after="0" w:line="18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Each employee who is a participant in the ESPP may purchase shares by authorizing payroll deductions at a minimum of    % and up to a maximum of    % of such participant’s eligible compensation during an offering period (or such other minimum and maximum as determined by the administrator in advance of an offering). Unless the participating employee has previously withdrawn from the offering, such participant’s accumulated payroll deductions will be used to purchase shares of our common stock on the last day of each purchase period at a price equal to 85% of the fair market value of the shares on the first day or the last day of the purchase period, whichever is lower, provided that no more than the number of shares of common stock determined by dividing $25,000 by the fair market value of our common stock on the first day of such offering period (or such other maximum number of shares as may be established by the administrator) may be purchased by any one employee during any purchase period. Under applicable tax rules, an employee may purchase no more than $25,000 worth of shares of our common stock, valued at the start of the offering period, under the ESPP for each calendar year during which any option granted to the employee is outstanding at any time.</w:t>
      </w:r>
    </w:p>
    <w:p>
      <w:pPr>
        <w:spacing w:after="0" w:line="188"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The accumulated payroll deductions of any employee who is not a participant on the last day of an offering period will be refunded. An employee’s rights under the ESPP terminate upon voluntary withdrawal from the plan or when the employee ceases employment with us for any reason.</w:t>
      </w:r>
    </w:p>
    <w:p>
      <w:pPr>
        <w:spacing w:after="0" w:line="138"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Sale Event. </w:t>
      </w:r>
      <w:r>
        <w:rPr>
          <w:rFonts w:ascii="Times New Roman" w:cs="Times New Roman" w:eastAsia="Times New Roman" w:hAnsi="Times New Roman"/>
          <w:sz w:val="18"/>
          <w:szCs w:val="18"/>
          <w:color w:val="auto"/>
        </w:rPr>
        <w:t>In the case of and subject to the consummation of a “sale event” (as defined in the ESPP), the administrator of the ESPP, in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discretion, and on such terms and conditions as it deems appropriate, is authorized to take any one or more of the following actions under the ESPP or with respect to any right under the ESPP to facilitate such transactions or events: (i) provide for either (A) termination of any outstanding option in exchange for an amount of cash, if any, equal to the amount that would have been obtained upon the exercise of such option had such option been currently exercisable or (B) the replacement of such outstanding option with other options or property selected by the administrator of the ESPP in its sole discretion; (ii) provide that the outstanding options under the ESPP shall be assumed by the successor or survivor corporation, or a parent or subsidiary thereof, or shall be substituted for similar options covering the stock of the successor or survivor corporation, or a parent or subsidiary thereof, with appropriate adjustments as to the number and kind of shares and prices; (iii) make adjustments in the number and type of shares of common stock (or other securities or property) subject to outstanding options under the ESPP and/or in terms and conditions of outstanding options and options that may be granted in the future; (iv) provide that the offering with respect to which an option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00"/>
          </w:cols>
          <w:pgMar w:left="320" w:top="455" w:right="47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relates will be shortened by setting a new exercise date on which such offering period will end; and (v) provide that all outstanding options shall terminate without being exercised and all amounts in the accounts of participants shall be promptly refunded.</w:t>
      </w:r>
    </w:p>
    <w:p>
      <w:pPr>
        <w:spacing w:after="0" w:line="160"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The ESPP may be terminated or amended by our board of directors at any time. An amendment that increases the number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common stock authorized under the ESPP and certain other amendments require the approval of our stockholders.</w:t>
      </w:r>
    </w:p>
    <w:p>
      <w:pPr>
        <w:spacing w:after="0" w:line="9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0940"/>
          </w:cols>
          <w:pgMar w:left="320" w:top="455" w:right="6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 Director Compensation Table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compensation awarded to, earned by, or paid to each person who served as a non-employee member of our board of directors for their services to us during Fiscal Year 2025. During Fiscal Year 2025, Ms. Zohar served as a member of our board of directors and received no additional compensation for her service as a member of our board of directors. The compensation for Fiscal Year 2025 received by Ms. Zohar as our Founder, Chief Executive Officer, President &amp; Board Member is presented in the “</w:t>
      </w:r>
      <w:r>
        <w:rPr>
          <w:rFonts w:ascii="Times New Roman" w:cs="Times New Roman" w:eastAsia="Times New Roman" w:hAnsi="Times New Roman"/>
          <w:sz w:val="18"/>
          <w:szCs w:val="18"/>
          <w:i w:val="1"/>
          <w:iCs w:val="1"/>
          <w:color w:val="auto"/>
        </w:rPr>
        <w:t>2025 Summary Compensation Table</w:t>
      </w:r>
      <w:r>
        <w:rPr>
          <w:rFonts w:ascii="Times New Roman" w:cs="Times New Roman" w:eastAsia="Times New Roman" w:hAnsi="Times New Roman"/>
          <w:sz w:val="18"/>
          <w:szCs w:val="18"/>
          <w:color w:val="auto"/>
        </w:rPr>
        <w:t>” above.</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 xml:space="preserve">Name </w:t>
            </w:r>
            <w:r>
              <w:rPr>
                <w:rFonts w:ascii="Times New Roman" w:cs="Times New Roman" w:eastAsia="Times New Roman" w:hAnsi="Times New Roman"/>
                <w:sz w:val="10"/>
                <w:szCs w:val="10"/>
                <w:b w:val="1"/>
                <w:bCs w:val="1"/>
                <w:color w:val="auto"/>
                <w:w w:val="99"/>
              </w:rPr>
              <w:t>(1)</w:t>
            </w:r>
          </w:p>
        </w:tc>
        <w:tc>
          <w:tcPr>
            <w:tcW w:w="5720" w:type="dxa"/>
            <w:vAlign w:val="bottom"/>
            <w:vMerge w:val="restart"/>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3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520" w:type="dxa"/>
            <w:vAlign w:val="bottom"/>
            <w:tcBorders>
              <w:bottom w:val="single" w:sz="8" w:color="auto"/>
            </w:tcBorders>
            <w:vMerge w:val="continue"/>
          </w:tcPr>
          <w:p>
            <w:pPr>
              <w:spacing w:after="0"/>
              <w:rPr>
                <w:sz w:val="15"/>
                <w:szCs w:val="15"/>
                <w:color w:val="auto"/>
              </w:rPr>
            </w:pPr>
          </w:p>
        </w:tc>
        <w:tc>
          <w:tcPr>
            <w:tcW w:w="5720" w:type="dxa"/>
            <w:vAlign w:val="bottom"/>
            <w:vMerge w:val="continue"/>
          </w:tcPr>
          <w:p>
            <w:pPr>
              <w:spacing w:after="0"/>
              <w:rPr>
                <w:sz w:val="15"/>
                <w:szCs w:val="15"/>
                <w:color w:val="auto"/>
              </w:rPr>
            </w:pPr>
          </w:p>
        </w:tc>
        <w:tc>
          <w:tcPr>
            <w:tcW w:w="1620" w:type="dxa"/>
            <w:vAlign w:val="bottom"/>
            <w:gridSpan w:val="2"/>
          </w:tcPr>
          <w:p>
            <w:pPr>
              <w:jc w:val="right"/>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Paid in Cash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0"/>
                <w:szCs w:val="10"/>
                <w:b w:val="1"/>
                <w:bCs w:val="1"/>
                <w:color w:val="auto"/>
              </w:rPr>
              <w:t>(2)</w:t>
            </w:r>
          </w:p>
        </w:tc>
        <w:tc>
          <w:tcPr>
            <w:tcW w:w="640" w:type="dxa"/>
            <w:vAlign w:val="bottom"/>
          </w:tcPr>
          <w:p>
            <w:pPr>
              <w:ind w:left="100"/>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 xml:space="preserve"> (3)(4)</w:t>
            </w:r>
          </w:p>
        </w:tc>
        <w:tc>
          <w:tcPr>
            <w:tcW w:w="460" w:type="dxa"/>
            <w:vAlign w:val="bottom"/>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 xml:space="preserve"> (5)</w:t>
            </w:r>
          </w:p>
        </w:tc>
        <w:tc>
          <w:tcPr>
            <w:tcW w:w="4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Eric Elenko, Ph.D.</w:t>
            </w:r>
          </w:p>
        </w:tc>
        <w:tc>
          <w:tcPr>
            <w:tcW w:w="1160" w:type="dxa"/>
            <w:vAlign w:val="bottom"/>
            <w:tcBorders>
              <w:top w:val="single" w:sz="8" w:color="auto"/>
            </w:tcBorders>
            <w:shd w:val="clear" w:color="auto" w:fill="CCEEFF"/>
          </w:tcPr>
          <w:p>
            <w:pPr>
              <w:ind w:left="88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4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I. Healy, M.D., Ph.D.</w:t>
            </w:r>
          </w:p>
        </w:tc>
        <w:tc>
          <w:tcPr>
            <w:tcW w:w="16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Nelsen</w:t>
            </w:r>
          </w:p>
        </w:tc>
        <w:tc>
          <w:tcPr>
            <w:tcW w:w="16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Sandra E. Peterson</w:t>
            </w:r>
          </w:p>
        </w:tc>
        <w:tc>
          <w:tcPr>
            <w:tcW w:w="16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35,000</w:t>
            </w:r>
          </w:p>
        </w:tc>
        <w:tc>
          <w:tcPr>
            <w:tcW w:w="11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Pitts, Ph.D.</w:t>
            </w:r>
          </w:p>
        </w:tc>
        <w:tc>
          <w:tcPr>
            <w:tcW w:w="16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Denice Torres, J.D.</w:t>
            </w:r>
          </w:p>
        </w:tc>
        <w:tc>
          <w:tcPr>
            <w:tcW w:w="16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35,000</w:t>
            </w:r>
          </w:p>
        </w:tc>
        <w:tc>
          <w:tcPr>
            <w:tcW w:w="11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Wheadon, M.D.</w:t>
            </w:r>
          </w:p>
        </w:tc>
        <w:tc>
          <w:tcPr>
            <w:tcW w:w="1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35,000</w:t>
            </w:r>
          </w:p>
        </w:tc>
        <w:tc>
          <w:tcPr>
            <w:tcW w:w="11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Steven M. Paul, M.D. </w:t>
            </w:r>
            <w:r>
              <w:rPr>
                <w:rFonts w:ascii="Times New Roman" w:cs="Times New Roman" w:eastAsia="Times New Roman" w:hAnsi="Times New Roman"/>
                <w:sz w:val="25"/>
                <w:szCs w:val="25"/>
                <w:color w:val="auto"/>
                <w:vertAlign w:val="superscript"/>
              </w:rPr>
              <w:t>(5)</w:t>
            </w:r>
          </w:p>
        </w:tc>
        <w:tc>
          <w:tcPr>
            <w:tcW w:w="16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500,000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Robert J. Hombach </w:t>
            </w:r>
            <w:r>
              <w:rPr>
                <w:rFonts w:ascii="Times New Roman" w:cs="Times New Roman" w:eastAsia="Times New Roman" w:hAnsi="Times New Roman"/>
                <w:sz w:val="25"/>
                <w:szCs w:val="25"/>
                <w:color w:val="auto"/>
                <w:vertAlign w:val="superscript"/>
              </w:rPr>
              <w:t>(6)</w:t>
            </w:r>
          </w:p>
        </w:tc>
        <w:tc>
          <w:tcPr>
            <w:tcW w:w="1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29,069</w:t>
            </w:r>
          </w:p>
        </w:tc>
        <w:tc>
          <w:tcPr>
            <w:tcW w:w="1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433,175</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462,245</w:t>
            </w: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Lyne, LLB</w:t>
            </w:r>
          </w:p>
        </w:tc>
        <w:tc>
          <w:tcPr>
            <w:tcW w:w="16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Bharatt Chowrira, Ph.D., J.D. </w:t>
            </w:r>
            <w:r>
              <w:rPr>
                <w:rFonts w:ascii="Times New Roman" w:cs="Times New Roman" w:eastAsia="Times New Roman" w:hAnsi="Times New Roman"/>
                <w:sz w:val="25"/>
                <w:szCs w:val="25"/>
                <w:color w:val="auto"/>
                <w:vertAlign w:val="superscript"/>
              </w:rPr>
              <w:t>(7)</w:t>
            </w:r>
          </w:p>
        </w:tc>
        <w:tc>
          <w:tcPr>
            <w:tcW w:w="16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100" w:hanging="424"/>
        <w:spacing w:after="0" w:line="261"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Ms. Peterson, Ms. Torres, Dr. Wheadon, and Mr. Hombach has entered into a letter agreement with our board pursuant to which he or she is entitled to receive an initial option grant and an annual cash retainer of $35,000.</w:t>
      </w:r>
    </w:p>
    <w:p>
      <w:pPr>
        <w:ind w:left="540" w:hanging="424"/>
        <w:spacing w:after="0"/>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cash fees each director earned for their services to our board of directors during Fiscal Year 2025.</w:t>
      </w:r>
    </w:p>
    <w:p>
      <w:pPr>
        <w:spacing w:after="0" w:line="9"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value of stock option awards granted to our directors in Fiscal Year 2025, computed in accordance with FASB ASC Topic 718. Such grant date fair values do not take into account any estimated forfeitures related to service-based vesting. The assumptions used in calculating the grant date fair values of the option awards reported in this column are set forth in Note 10 of our consolidated financial statements for Fiscal Year 2025, included elsewhere in this prospectus. The amounts reported in this column reflect the accounting cost for these option awards and do not correspond to the actual economic value that may be received by our directors upon the exercise of the option awards or any sale of the underlying securities.</w:t>
      </w:r>
    </w:p>
    <w:p>
      <w:pPr>
        <w:spacing w:after="0" w:line="2" w:lineRule="exact"/>
        <w:rPr>
          <w:rFonts w:ascii="Times New Roman" w:cs="Times New Roman" w:eastAsia="Times New Roman" w:hAnsi="Times New Roman"/>
          <w:sz w:val="18"/>
          <w:szCs w:val="18"/>
          <w:color w:val="auto"/>
        </w:rPr>
      </w:pPr>
    </w:p>
    <w:p>
      <w:pPr>
        <w:ind w:left="540" w:right="360" w:hanging="424"/>
        <w:spacing w:after="0" w:line="260"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unvested restricted stock and the aggregate number of stock option awards for each non-employee director that were outstanding as of December 31, 2025 are, as follows: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0" w:type="dxa"/>
            <w:vAlign w:val="bottom"/>
          </w:tcPr>
          <w:p>
            <w:pPr>
              <w:spacing w:after="0"/>
              <w:rPr>
                <w:sz w:val="1"/>
                <w:szCs w:val="1"/>
                <w:color w:val="auto"/>
              </w:rPr>
            </w:pPr>
          </w:p>
        </w:tc>
      </w:tr>
      <w:tr>
        <w:trPr>
          <w:trHeight w:val="148"/>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12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9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60"/>
        </w:trPr>
        <w:tc>
          <w:tcPr>
            <w:tcW w:w="3540" w:type="dxa"/>
            <w:vAlign w:val="bottom"/>
            <w:gridSpan w:val="2"/>
            <w:vMerge w:val="continue"/>
          </w:tcPr>
          <w:p>
            <w:pPr>
              <w:spacing w:after="0"/>
              <w:rPr>
                <w:sz w:val="13"/>
                <w:szCs w:val="13"/>
                <w:color w:val="auto"/>
              </w:rPr>
            </w:pPr>
          </w:p>
        </w:tc>
        <w:tc>
          <w:tcPr>
            <w:tcW w:w="5120" w:type="dxa"/>
            <w:vAlign w:val="bottom"/>
          </w:tcPr>
          <w:p>
            <w:pPr>
              <w:spacing w:after="0"/>
              <w:rPr>
                <w:sz w:val="13"/>
                <w:szCs w:val="13"/>
                <w:color w:val="auto"/>
              </w:rPr>
            </w:pPr>
          </w:p>
        </w:tc>
        <w:tc>
          <w:tcPr>
            <w:tcW w:w="9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Eric Elenko, Ph.D.</w:t>
            </w:r>
          </w:p>
        </w:tc>
        <w:tc>
          <w:tcPr>
            <w:tcW w:w="5120" w:type="dxa"/>
            <w:vAlign w:val="bottom"/>
            <w:shd w:val="clear" w:color="auto" w:fill="CCEEFF"/>
          </w:tcPr>
          <w:p>
            <w:pPr>
              <w:spacing w:after="0"/>
              <w:rPr>
                <w:sz w:val="17"/>
                <w:szCs w:val="17"/>
                <w:color w:val="auto"/>
              </w:rPr>
            </w:pPr>
          </w:p>
        </w:tc>
        <w:tc>
          <w:tcPr>
            <w:tcW w:w="700" w:type="dxa"/>
            <w:vAlign w:val="bottom"/>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I. Healy, M.D., Ph.D.</w:t>
            </w:r>
          </w:p>
        </w:tc>
        <w:tc>
          <w:tcPr>
            <w:tcW w:w="5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Nelsen</w:t>
            </w:r>
          </w:p>
        </w:tc>
        <w:tc>
          <w:tcPr>
            <w:tcW w:w="5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Sandra E. Peterson</w:t>
            </w:r>
          </w:p>
        </w:tc>
        <w:tc>
          <w:tcPr>
            <w:tcW w:w="5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241,966</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Pitts, Ph.D.</w:t>
            </w:r>
          </w:p>
        </w:tc>
        <w:tc>
          <w:tcPr>
            <w:tcW w:w="5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Denice Torres, J.D.</w:t>
            </w:r>
          </w:p>
        </w:tc>
        <w:tc>
          <w:tcPr>
            <w:tcW w:w="5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241,966</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Wheadon, M.D.</w:t>
            </w:r>
          </w:p>
        </w:tc>
        <w:tc>
          <w:tcPr>
            <w:tcW w:w="5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241,966</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M. Paul, M.D.</w:t>
            </w:r>
          </w:p>
        </w:tc>
        <w:tc>
          <w:tcPr>
            <w:tcW w:w="6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486,114</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5,221,402</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J. Hombach</w:t>
            </w:r>
          </w:p>
        </w:tc>
        <w:tc>
          <w:tcPr>
            <w:tcW w:w="5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241,966</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Lyne, LLB</w:t>
            </w:r>
          </w:p>
        </w:tc>
        <w:tc>
          <w:tcPr>
            <w:tcW w:w="5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Bharatt Chowrira, Ph.D., J.D.</w:t>
            </w:r>
          </w:p>
        </w:tc>
        <w:tc>
          <w:tcPr>
            <w:tcW w:w="5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120" w:type="dxa"/>
            <w:vAlign w:val="bottom"/>
          </w:tcPr>
          <w:p>
            <w:pPr>
              <w:jc w:val="right"/>
              <w:ind w:right="3370"/>
              <w:spacing w:after="0"/>
              <w:rPr>
                <w:sz w:val="20"/>
                <w:szCs w:val="20"/>
                <w:color w:val="auto"/>
              </w:rPr>
            </w:pPr>
            <w:r>
              <w:rPr>
                <w:rFonts w:ascii="Times New Roman" w:cs="Times New Roman" w:eastAsia="Times New Roman" w:hAnsi="Times New Roman"/>
                <w:sz w:val="18"/>
                <w:szCs w:val="18"/>
                <w:color w:val="auto"/>
              </w:rPr>
              <w:t>200</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20" w:hanging="424"/>
        <w:spacing w:after="0" w:line="253" w:lineRule="auto"/>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Paul has entered into a Senior Advisor Agreement with us, pursuant to which Dr. Paul spends approximately 2.5 days per week at the company and shall be entitled to an annual fee of $500,000 and received an initial equity grant intended to represent 5.0% of the Company’s fully-diluted capitalization as of the effective date. In addition, Dr. Paul shall receive additional equity grants to maintain Dr. Paul’s ownership at 5.0% of the fully diluted capitalization of the Company through our initial public offering (but excluding any shares issued pursuant to any over-allotment option). 100% of the unvested restricted stock will accelerate and become fully vested upon the closing of this offering, subject to Dr. Paul’s continued service relationship through such closing.</w:t>
      </w:r>
    </w:p>
    <w:p>
      <w:pPr>
        <w:spacing w:after="0" w:line="5"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Hombach was appointed as a director on March 3, 2025.</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Chowrira resigned from the Board on July 16, 2025 in connection with his departure from PureTech.</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this offering, we intend to adopt a new non-employee director compensation policy that will become effective upon the completion of this offering and is designed to enable us to attract and retain, on a long-term basis, highly qualified non-employee directors. Under the policy, each director who is not an employee will be paid cash compensation from and after the completion of this offering, as set forth below, which amounts will be payable quarterly in arrears and prorated for partial years of service:</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Board of Directors:</w:t>
            </w:r>
          </w:p>
        </w:tc>
        <w:tc>
          <w:tcPr>
            <w:tcW w:w="8820" w:type="dxa"/>
            <w:vAlign w:val="bottom"/>
            <w:vMerge w:val="restart"/>
          </w:tcPr>
          <w:p>
            <w:pPr>
              <w:spacing w:after="0"/>
              <w:rPr>
                <w:sz w:val="13"/>
                <w:szCs w:val="13"/>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0" w:type="dxa"/>
            <w:vAlign w:val="bottom"/>
          </w:tcPr>
          <w:p>
            <w:pPr>
              <w:spacing w:after="0"/>
              <w:rPr>
                <w:sz w:val="1"/>
                <w:szCs w:val="1"/>
                <w:color w:val="auto"/>
              </w:rPr>
            </w:pPr>
          </w:p>
        </w:tc>
      </w:tr>
      <w:tr>
        <w:trPr>
          <w:trHeight w:val="180"/>
        </w:trPr>
        <w:tc>
          <w:tcPr>
            <w:tcW w:w="1200" w:type="dxa"/>
            <w:vAlign w:val="bottom"/>
            <w:tcBorders>
              <w:bottom w:val="single" w:sz="8" w:color="auto"/>
            </w:tcBorders>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100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Retainer</w:t>
            </w:r>
          </w:p>
        </w:tc>
        <w:tc>
          <w:tcPr>
            <w:tcW w:w="0" w:type="dxa"/>
            <w:vAlign w:val="bottom"/>
          </w:tcPr>
          <w:p>
            <w:pPr>
              <w:spacing w:after="0"/>
              <w:rPr>
                <w:sz w:val="1"/>
                <w:szCs w:val="1"/>
                <w:color w:val="auto"/>
              </w:rPr>
            </w:pPr>
          </w:p>
        </w:tc>
      </w:tr>
      <w:tr>
        <w:trPr>
          <w:trHeight w:val="203"/>
        </w:trPr>
        <w:tc>
          <w:tcPr>
            <w:tcW w:w="100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Members</w:t>
            </w:r>
          </w:p>
        </w:tc>
        <w:tc>
          <w:tcPr>
            <w:tcW w:w="9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retainer for non-executive chair</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retainer for lead independent director</w:t>
            </w: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(other than chair)</w:t>
            </w: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Retainer for chair</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Members (other than chair)</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Retainer for chair</w:t>
            </w: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(other than chair)</w:t>
            </w: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Retainer for chair</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In addition, the non-employee director compensation policy will provide that, upon initial election to our board of directors, each non-employee director will be granted an equity award with a fair market value of $      or an option to purchase shares of our common stock, or the Initial Grant. The Initial Grant will vest on, subject to continued service as a director through the applicable vesting date.</w:t>
      </w:r>
    </w:p>
    <w:p>
      <w:pPr>
        <w:spacing w:after="0" w:line="17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Furthermore, on the date of each annual meeting of stockholders following the completion of this offering, each non-employee director who continues as a non-employee director following such meeting will be granted an annual equity award with fair market value of $      or option to purchase shares of our common stock, or the Annual Grant. The Annual Grant will vest. These awards are subject to full accelerated vesting upon the sale of the company.</w:t>
      </w:r>
    </w:p>
    <w:p>
      <w:pPr>
        <w:spacing w:after="0" w:line="180"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The aggregate amount of compensation, including both equity compensation and cash compensation, paid to any non-employee director for service as a non-employee director in a calendar year period will not exceed $      (or $    for the calendar year in which the applicable non-employee director is initially elected or appointed to our board of directors).</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will reimburse all reasonable out-of-pocket expenses incurred by non-employee directors in attending meetings of the board of directors and committees thereof.</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40"/>
          </w:cols>
          <w:pgMar w:left="320" w:top="455" w:right="439"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207"/>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260" w:type="dxa"/>
            <w:vAlign w:val="bottom"/>
          </w:tcPr>
          <w:p>
            <w:pPr>
              <w:spacing w:after="0"/>
              <w:rPr>
                <w:sz w:val="17"/>
                <w:szCs w:val="17"/>
                <w:color w:val="auto"/>
              </w:rPr>
            </w:pPr>
          </w:p>
        </w:tc>
      </w:tr>
      <w:tr>
        <w:trPr>
          <w:trHeight w:val="547"/>
        </w:trPr>
        <w:tc>
          <w:tcPr>
            <w:tcW w:w="1360" w:type="dxa"/>
            <w:vAlign w:val="bottom"/>
            <w:tcBorders>
              <w:top w:val="single" w:sz="8" w:color="0000EE"/>
            </w:tcBorders>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IPO Grants</w:t>
            </w:r>
          </w:p>
        </w:tc>
        <w:tc>
          <w:tcPr>
            <w:tcW w:w="74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06"/>
        </w:trPr>
        <w:tc>
          <w:tcPr>
            <w:tcW w:w="87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xml:space="preserve">On the effective date of the registration statement of which this prospectus forms a part, assuming we issue        </w:t>
            </w:r>
          </w:p>
        </w:tc>
        <w:tc>
          <w:tcPr>
            <w:tcW w:w="22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shares in connection with this</w:t>
            </w:r>
          </w:p>
        </w:tc>
      </w:tr>
      <w:tr>
        <w:trPr>
          <w:trHeight w:val="23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offering at an assumed price of $      per share, we will grant certain executive officers and directors an aggregate of  </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under the 2026 Plan,</w:t>
            </w:r>
          </w:p>
        </w:tc>
      </w:tr>
    </w:tbl>
    <w:p>
      <w:pPr>
        <w:ind w:left="120" w:right="1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continued service through such grant date. Based on an assumed fair value of $    per share, which is the midpoint of the estimated price range set forth on the cover page of this prospectus, we estimate that the aggregate grant-date fair value of the to be granted in connection with this offering is $    million, which is expected to be recognized as stock-based compensation expense over a period of       years.</w:t>
      </w:r>
    </w:p>
    <w:p>
      <w:pPr>
        <w:spacing w:after="0" w:line="11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020"/>
          </w:cols>
          <w:pgMar w:left="320" w:top="446" w:right="5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compensation arrangements, including employment, termination of employment and change in control arrangements, and indemnification arrangements discussed, when required, in the sections titled “Management,” “Executive Compensation” and “Director Compensation” and the registration rights described in the section titled “Description of Capital Stock—Registration Rights,” the following is a description of all transactions since our date of incorporation in April 2024 and each currently proposed transaction in which:</w:t>
      </w:r>
    </w:p>
    <w:p>
      <w:pPr>
        <w:spacing w:after="0" w:line="85" w:lineRule="exact"/>
        <w:rPr>
          <w:sz w:val="20"/>
          <w:szCs w:val="20"/>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the lesser of $120,000 or 1% of the average of our total assets at year-end for the last two completed fiscal years; and</w:t>
      </w:r>
    </w:p>
    <w:p>
      <w:pPr>
        <w:spacing w:after="0" w:line="67" w:lineRule="exact"/>
        <w:rPr>
          <w:rFonts w:ascii="Times New Roman" w:cs="Times New Roman" w:eastAsia="Times New Roman" w:hAnsi="Times New Roman"/>
          <w:sz w:val="18"/>
          <w:szCs w:val="18"/>
          <w:color w:val="auto"/>
        </w:rPr>
      </w:pPr>
    </w:p>
    <w:p>
      <w:pPr>
        <w:jc w:val="both"/>
        <w:ind w:left="1080" w:right="440" w:hanging="424"/>
        <w:spacing w:after="0" w:line="266"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or more of our outstanding capital stock, or any immediate family member of, or person sharing the household with, any of these individuals or entities or affiliated entities, had or will have a direct or indirect material interest.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Asset Transfer Agreement with PureTech and Convertible Preferred Stock Financing</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April 2024, we entered into an Asset Transfer Agreement, as amended in December 2025, or the Asset Transfer Agreement, with PureTech Health LLC, or PureTech Health, and PureTech LYT, Inc., or PureTech LYT, pursuant to which PureTech Health and PureTech LYT agreed to contribute, convey, assign, transfer, and deliver to us all of PureTech Health and PureTech LYT’s right, title and interest in, to, and under the assets related to its Glyph technology or products, including the Monash License Agreement, subject to the terms set forth in the Asset Transfer Agreement. In exchange, we issued 40,000,000 shares of our Series A-1 convertible preferred stock and 949,000 shares of our common stock to PureTech LYT.</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Asset Transfer Agreement, we have agreed to make milestone payments of up to an aggregate of $10.0 million for the first product covered by assets transferred through the Asset Transfer Agreement, or the Seaport Glyph Product, and up to an aggregate of $5.0 million for each subsequent Seaport Glyph Product that achieves certain developmental and commercial milestones. In addition, we are obligated to pay royalties between 3% and 5% on the annual net sales of each Seaport Glyph Product as follows: less than $500 million: 3%; $500 million to $1 billion: 3.5%; $1 billion to $2.5 billion: 4%; $2.5 billion to $3.5 billion: 4.5%; $3.5 billion or greater: 5%. The royalty term will expire on a country-by-country basis as to each Seaport Glyph Product on the later of the ten year anniversary of the first commercial sale of such Seaport Glyph Product in such country or the date on which the last valid claim of patent rights of such Seaport Glyph Product expires in such country. For additional information, see “</w:t>
      </w:r>
      <w:r>
        <w:rPr>
          <w:rFonts w:ascii="Times New Roman" w:cs="Times New Roman" w:eastAsia="Times New Roman" w:hAnsi="Times New Roman"/>
          <w:sz w:val="18"/>
          <w:szCs w:val="18"/>
          <w:i w:val="1"/>
          <w:iCs w:val="1"/>
          <w:color w:val="auto"/>
        </w:rPr>
        <w:t>Business-Agreements—Asset Transfer Agreement with PureTech.</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Concurrently, upon entry into the Asset Transfer Agreement, we entered into a stock purchase agreement with PureTech LYT and other third-party investors, in which we issued 26,342,102 shares of our Series A-2 convertible preferred stock, or the Series A Financing, of which 8,421,052 shares were issued and sold to PureTech LYT. PureTech LYT remained a majority investor of Seaport, until the completion of our Series B convertible preferred stock financing, or the Series B Financing, in October 2024, upon which we issued and sold an aggregate amount of 47,578,934 shares of its Series B convertible preferred stock, of which 3,031,578 shares were issued to PureTech LYT, and an aggregate of 494,734 shares issued to certain of our management and board of directors.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Transition Services Agreement with PureTech</w:t>
      </w:r>
    </w:p>
    <w:p>
      <w:pPr>
        <w:spacing w:after="0" w:line="121"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entry into the Asset Transfer Agreement, we also entered into a Transition Services Agreement with PureTech pursuant to which PureTech agreed to provide us certain services relating to the orderly transition and continued operation on a transitional basis for one year following the entry into the Transition Services Agreement (unless extended by mutual agreement of the parties or the earlier termination 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20"/>
          </w:cols>
          <w:pgMar w:left="320" w:top="455" w:right="4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all services provided under the Transition Services Agreement) in consideration of our payment of all fees associated with the transitioned services. Pursuant to the Transition Services Agreement, we made an upfront payment of $0.5 million to reimburse PureTech for work performed by certain third-parties prior to the closing and have paid an aggregate of $14.2 million of expenses since entering into the Asset Transfer Agreement to advance our programs and activities. In 2025, the TSA was amended to extend through July 2026 to provide ad hoc support as needed; however, the services to be provided under the amended TSA are expected to be de minimis.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Series A-2 Convertible Preferred Stock Financing</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April 2024, we issued and sold to certain investors an aggregate of 26,342,102 of Series A-2 convertible preferred stock at a price per share of $3.80, for an aggregate purchase price of approximately $100.1 million. Each outstanding share of Series A-2 convertible preferred stock will convert into one share of common stock immediately prior to the completion of this offering. The following table summarizes the shares of our Series A-2 convertible preferred stock issued to our related parties: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Purchasers </w:t>
            </w:r>
            <w:r>
              <w:rPr>
                <w:rFonts w:ascii="Times New Roman" w:cs="Times New Roman" w:eastAsia="Times New Roman" w:hAnsi="Times New Roman"/>
                <w:sz w:val="10"/>
                <w:szCs w:val="10"/>
                <w:b w:val="1"/>
                <w:bCs w:val="1"/>
                <w:color w:val="auto"/>
              </w:rPr>
              <w:t>(1)</w:t>
            </w:r>
          </w:p>
        </w:tc>
        <w:tc>
          <w:tcPr>
            <w:tcW w:w="16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Series A Convertible</w:t>
            </w:r>
          </w:p>
        </w:tc>
        <w:tc>
          <w:tcPr>
            <w:tcW w:w="400" w:type="dxa"/>
            <w:vAlign w:val="bottom"/>
          </w:tcPr>
          <w:p>
            <w:pPr>
              <w:spacing w:after="0"/>
              <w:rPr>
                <w:sz w:val="13"/>
                <w:szCs w:val="13"/>
                <w:color w:val="auto"/>
              </w:rPr>
            </w:pPr>
          </w:p>
        </w:tc>
        <w:tc>
          <w:tcPr>
            <w:tcW w:w="1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Purchase Price</w:t>
            </w:r>
          </w:p>
        </w:tc>
        <w:tc>
          <w:tcPr>
            <w:tcW w:w="0" w:type="dxa"/>
            <w:vAlign w:val="bottom"/>
          </w:tcPr>
          <w:p>
            <w:pPr>
              <w:spacing w:after="0"/>
              <w:rPr>
                <w:sz w:val="1"/>
                <w:szCs w:val="1"/>
                <w:color w:val="auto"/>
              </w:rPr>
            </w:pPr>
          </w:p>
        </w:tc>
      </w:tr>
      <w:tr>
        <w:trPr>
          <w:trHeight w:val="160"/>
        </w:trPr>
        <w:tc>
          <w:tcPr>
            <w:tcW w:w="7640" w:type="dxa"/>
            <w:vAlign w:val="bottom"/>
            <w:gridSpan w:val="2"/>
            <w:vMerge w:val="continue"/>
          </w:tcPr>
          <w:p>
            <w:pPr>
              <w:spacing w:after="0"/>
              <w:rPr>
                <w:sz w:val="13"/>
                <w:szCs w:val="13"/>
                <w:color w:val="auto"/>
              </w:rPr>
            </w:pPr>
          </w:p>
        </w:tc>
        <w:tc>
          <w:tcPr>
            <w:tcW w:w="1640" w:type="dxa"/>
            <w:vAlign w:val="bottom"/>
            <w:gridSpan w:val="2"/>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400" w:type="dxa"/>
            <w:vAlign w:val="bottom"/>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68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 xml:space="preserve">PureTech LYT, Inc. </w:t>
            </w:r>
            <w:r>
              <w:rPr>
                <w:rFonts w:ascii="Times New Roman" w:cs="Times New Roman" w:eastAsia="Times New Roman" w:hAnsi="Times New Roman"/>
                <w:sz w:val="23"/>
                <w:szCs w:val="23"/>
                <w:color w:val="auto"/>
                <w:vertAlign w:val="superscript"/>
              </w:rPr>
              <w:t>(2)</w:t>
            </w:r>
          </w:p>
        </w:tc>
        <w:tc>
          <w:tcPr>
            <w:tcW w:w="12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8,421,052</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31,999,998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ARCH Venture Fund XII, L.P. </w:t>
            </w:r>
            <w:r>
              <w:rPr>
                <w:rFonts w:ascii="Times New Roman" w:cs="Times New Roman" w:eastAsia="Times New Roman" w:hAnsi="Times New Roman"/>
                <w:sz w:val="25"/>
                <w:szCs w:val="25"/>
                <w:color w:val="auto"/>
                <w:vertAlign w:val="superscript"/>
              </w:rPr>
              <w:t>(3)</w:t>
            </w:r>
          </w:p>
        </w:tc>
        <w:tc>
          <w:tcPr>
            <w:tcW w:w="1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7,894,736</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29,999,997</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Sofinnova Venture Partners XI, L.P. </w:t>
            </w:r>
            <w:r>
              <w:rPr>
                <w:rFonts w:ascii="Times New Roman" w:cs="Times New Roman" w:eastAsia="Times New Roman" w:hAnsi="Times New Roman"/>
                <w:sz w:val="25"/>
                <w:szCs w:val="25"/>
                <w:color w:val="auto"/>
                <w:vertAlign w:val="superscript"/>
              </w:rPr>
              <w:t>(4)</w:t>
            </w:r>
          </w:p>
        </w:tc>
        <w:tc>
          <w:tcPr>
            <w:tcW w:w="16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6,052,631</w:t>
            </w: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22,999,998</w:t>
            </w:r>
          </w:p>
        </w:tc>
        <w:tc>
          <w:tcPr>
            <w:tcW w:w="0" w:type="dxa"/>
            <w:vAlign w:val="bottom"/>
          </w:tcPr>
          <w:p>
            <w:pPr>
              <w:spacing w:after="0"/>
              <w:rPr>
                <w:sz w:val="1"/>
                <w:szCs w:val="1"/>
                <w:color w:val="auto"/>
              </w:rPr>
            </w:pPr>
          </w:p>
        </w:tc>
      </w:tr>
      <w:tr>
        <w:trPr>
          <w:trHeight w:val="355"/>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Third Rock Ventures VI, L.P. </w:t>
            </w:r>
            <w:r>
              <w:rPr>
                <w:rFonts w:ascii="Times New Roman" w:cs="Times New Roman" w:eastAsia="Times New Roman" w:hAnsi="Times New Roman"/>
                <w:sz w:val="26"/>
                <w:szCs w:val="26"/>
                <w:color w:val="auto"/>
                <w:vertAlign w:val="superscript"/>
              </w:rPr>
              <w:t>(5)</w:t>
            </w:r>
          </w:p>
        </w:tc>
        <w:tc>
          <w:tcPr>
            <w:tcW w:w="1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3,947,368</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14,999,998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 w:lineRule="exact"/>
        <w:rPr>
          <w:sz w:val="20"/>
          <w:szCs w:val="20"/>
          <w:color w:val="auto"/>
        </w:rPr>
      </w:pPr>
    </w:p>
    <w:p>
      <w:pPr>
        <w:ind w:left="540" w:hanging="424"/>
        <w:spacing w:after="0"/>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details regarding these stockholders and their equity holdings are included in the section titled “Principal Stockholders.”</w:t>
      </w:r>
    </w:p>
    <w:p>
      <w:pPr>
        <w:spacing w:after="0" w:line="27" w:lineRule="exact"/>
        <w:rPr>
          <w:rFonts w:ascii="Times New Roman" w:cs="Times New Roman" w:eastAsia="Times New Roman" w:hAnsi="Times New Roman"/>
          <w:sz w:val="18"/>
          <w:szCs w:val="18"/>
          <w:color w:val="auto"/>
        </w:rPr>
      </w:pPr>
    </w:p>
    <w:p>
      <w:pPr>
        <w:ind w:left="540" w:right="380" w:hanging="424"/>
        <w:spacing w:after="0" w:line="250" w:lineRule="auto"/>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PureTech LYT beneficially owns more than 5% of our outstanding capital stock. Dr. Elenko and Mr. Lyne, members of our board of directors, were designated to our board of directors by PureTech LYT and are executive officers at PureTech.</w:t>
      </w:r>
    </w:p>
    <w:p>
      <w:pPr>
        <w:ind w:left="540" w:right="180" w:hanging="424"/>
        <w:spacing w:after="0" w:line="250" w:lineRule="auto"/>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ARCH Venture Fund XII, L.P. beneficially owns more than 5% of our outstanding capital stock. Mr. Nelsen, a member of our board of directors, was designated to our board of directors by ARCH Venture Fund XII, L.P. and is a Managing Director of ARCH Venture Partners.</w:t>
      </w:r>
    </w:p>
    <w:p>
      <w:pPr>
        <w:ind w:left="540" w:right="120" w:hanging="424"/>
        <w:spacing w:after="0" w:line="250" w:lineRule="auto"/>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Sofinnova beneficially owns more than 5% of our outstanding capital stock. Dr. Healy, a member of our board of directors, was designated to our board of directors by Sofinnova and is a Managing Director of Sofinnova.</w:t>
      </w:r>
    </w:p>
    <w:p>
      <w:pPr>
        <w:ind w:left="540" w:hanging="424"/>
        <w:spacing w:after="0"/>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Rock Ventures beneficially own more than 5% of our outstanding capital stock.</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Series B Convertible Preferred Stock Financing</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October 2024 and November 2024, we issued and sold to certain investors an aggregate of 47,578,934 shares of Series B convertible preferred stock at a price per share of $4.75, for an aggregate purchase price of approximately $226.0 million. Each outstanding share of Series B convertible preferred stock will convert into one share of common stock immediately prior to the completion of this offering. The following table summarizes the shares of our Series B convertible preferred stock issued to our related parties: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Purchasers </w:t>
            </w:r>
            <w:r>
              <w:rPr>
                <w:rFonts w:ascii="Times New Roman" w:cs="Times New Roman" w:eastAsia="Times New Roman" w:hAnsi="Times New Roman"/>
                <w:sz w:val="10"/>
                <w:szCs w:val="10"/>
                <w:b w:val="1"/>
                <w:bCs w:val="1"/>
                <w:color w:val="auto"/>
              </w:rPr>
              <w:t>(1)</w:t>
            </w:r>
          </w:p>
        </w:tc>
        <w:tc>
          <w:tcPr>
            <w:tcW w:w="17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Series B Convertible</w:t>
            </w: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Purchase</w:t>
            </w:r>
          </w:p>
        </w:tc>
        <w:tc>
          <w:tcPr>
            <w:tcW w:w="0" w:type="dxa"/>
            <w:vAlign w:val="bottom"/>
          </w:tcPr>
          <w:p>
            <w:pPr>
              <w:spacing w:after="0"/>
              <w:rPr>
                <w:sz w:val="1"/>
                <w:szCs w:val="1"/>
                <w:color w:val="auto"/>
              </w:rPr>
            </w:pPr>
          </w:p>
        </w:tc>
      </w:tr>
      <w:tr>
        <w:trPr>
          <w:trHeight w:val="160"/>
        </w:trPr>
        <w:tc>
          <w:tcPr>
            <w:tcW w:w="8280" w:type="dxa"/>
            <w:vAlign w:val="bottom"/>
            <w:gridSpan w:val="2"/>
            <w:vMerge w:val="continue"/>
          </w:tcPr>
          <w:p>
            <w:pPr>
              <w:spacing w:after="0"/>
              <w:rPr>
                <w:sz w:val="13"/>
                <w:szCs w:val="13"/>
                <w:color w:val="auto"/>
              </w:rPr>
            </w:pPr>
          </w:p>
        </w:tc>
        <w:tc>
          <w:tcPr>
            <w:tcW w:w="176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Pr>
          <w:p>
            <w:pPr>
              <w:spacing w:after="0"/>
              <w:rPr>
                <w:sz w:val="13"/>
                <w:szCs w:val="13"/>
                <w:color w:val="auto"/>
              </w:rPr>
            </w:pPr>
          </w:p>
        </w:tc>
        <w:tc>
          <w:tcPr>
            <w:tcW w:w="88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 xml:space="preserve">General Atlantic (SP), L.P. </w:t>
            </w:r>
            <w:r>
              <w:rPr>
                <w:rFonts w:ascii="Times New Roman" w:cs="Times New Roman" w:eastAsia="Times New Roman" w:hAnsi="Times New Roman"/>
                <w:sz w:val="23"/>
                <w:szCs w:val="23"/>
                <w:color w:val="auto"/>
                <w:vertAlign w:val="superscript"/>
              </w:rPr>
              <w:t>(2)</w:t>
            </w:r>
          </w:p>
        </w:tc>
        <w:tc>
          <w:tcPr>
            <w:tcW w:w="12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10,526,315</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49,999,996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ARCH Venture Fund XII, L.P. </w:t>
            </w:r>
            <w:r>
              <w:rPr>
                <w:rFonts w:ascii="Times New Roman" w:cs="Times New Roman" w:eastAsia="Times New Roman" w:hAnsi="Times New Roman"/>
                <w:sz w:val="25"/>
                <w:szCs w:val="25"/>
                <w:color w:val="auto"/>
                <w:vertAlign w:val="superscript"/>
              </w:rPr>
              <w:t>(3)</w:t>
            </w: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8,421,052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39,999,997</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PureTech LYT, Inc. </w:t>
            </w:r>
            <w:r>
              <w:rPr>
                <w:rFonts w:ascii="Times New Roman" w:cs="Times New Roman" w:eastAsia="Times New Roman" w:hAnsi="Times New Roman"/>
                <w:sz w:val="25"/>
                <w:szCs w:val="25"/>
                <w:color w:val="auto"/>
                <w:vertAlign w:val="superscript"/>
              </w:rPr>
              <w:t>(4)</w:t>
            </w:r>
          </w:p>
        </w:tc>
        <w:tc>
          <w:tcPr>
            <w:tcW w:w="1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3,031,578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14,399,996</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Sofinnova Venture Partners XI, L.P. </w:t>
            </w:r>
            <w:r>
              <w:rPr>
                <w:rFonts w:ascii="Times New Roman" w:cs="Times New Roman" w:eastAsia="Times New Roman" w:hAnsi="Times New Roman"/>
                <w:sz w:val="25"/>
                <w:szCs w:val="25"/>
                <w:color w:val="auto"/>
                <w:vertAlign w:val="superscript"/>
              </w:rPr>
              <w:t>(5)</w:t>
            </w: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2,526,315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11,999,996</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Third Rock Ventures VI, L.P. </w:t>
            </w:r>
            <w:r>
              <w:rPr>
                <w:rFonts w:ascii="Times New Roman" w:cs="Times New Roman" w:eastAsia="Times New Roman" w:hAnsi="Times New Roman"/>
                <w:sz w:val="25"/>
                <w:szCs w:val="25"/>
                <w:color w:val="auto"/>
                <w:vertAlign w:val="superscript"/>
              </w:rPr>
              <w:t>(6)</w:t>
            </w:r>
          </w:p>
        </w:tc>
        <w:tc>
          <w:tcPr>
            <w:tcW w:w="1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2,526,315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11,999,996</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Steven M. Paul </w:t>
            </w:r>
            <w:r>
              <w:rPr>
                <w:rFonts w:ascii="Times New Roman" w:cs="Times New Roman" w:eastAsia="Times New Roman" w:hAnsi="Times New Roman"/>
                <w:sz w:val="25"/>
                <w:szCs w:val="25"/>
                <w:color w:val="auto"/>
                <w:vertAlign w:val="superscript"/>
              </w:rPr>
              <w:t>(7)</w:t>
            </w: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210,526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999,999</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Lana Gladstein </w:t>
            </w:r>
            <w:r>
              <w:rPr>
                <w:rFonts w:ascii="Times New Roman" w:cs="Times New Roman" w:eastAsia="Times New Roman" w:hAnsi="Times New Roman"/>
                <w:sz w:val="25"/>
                <w:szCs w:val="25"/>
                <w:color w:val="auto"/>
                <w:vertAlign w:val="superscript"/>
              </w:rPr>
              <w:t>(8)</w:t>
            </w:r>
          </w:p>
        </w:tc>
        <w:tc>
          <w:tcPr>
            <w:tcW w:w="1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105,263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499,999</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Antony Loebel </w:t>
            </w:r>
            <w:r>
              <w:rPr>
                <w:rFonts w:ascii="Times New Roman" w:cs="Times New Roman" w:eastAsia="Times New Roman" w:hAnsi="Times New Roman"/>
                <w:sz w:val="25"/>
                <w:szCs w:val="25"/>
                <w:color w:val="auto"/>
                <w:vertAlign w:val="superscript"/>
              </w:rPr>
              <w:t>(9)</w:t>
            </w: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63,157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299,998</w:t>
            </w:r>
          </w:p>
        </w:tc>
        <w:tc>
          <w:tcPr>
            <w:tcW w:w="0" w:type="dxa"/>
            <w:vAlign w:val="bottom"/>
          </w:tcPr>
          <w:p>
            <w:pPr>
              <w:spacing w:after="0"/>
              <w:rPr>
                <w:sz w:val="1"/>
                <w:szCs w:val="1"/>
                <w:color w:val="auto"/>
              </w:rPr>
            </w:pPr>
          </w:p>
        </w:tc>
      </w:tr>
      <w:tr>
        <w:trPr>
          <w:trHeight w:val="198"/>
        </w:trPr>
        <w:tc>
          <w:tcPr>
            <w:tcW w:w="8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Eric D. Green and Jessica Santiago-Green, Trustees, or their Successors in interest, of the Eric D. Green</w:t>
            </w:r>
          </w:p>
        </w:tc>
        <w:tc>
          <w:tcPr>
            <w:tcW w:w="1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80" w:type="dxa"/>
            <w:vAlign w:val="bottom"/>
            <w:gridSpan w:val="2"/>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 xml:space="preserve">Living Trust dated November 12, 2010 </w:t>
            </w:r>
            <w:r>
              <w:rPr>
                <w:rFonts w:ascii="Times New Roman" w:cs="Times New Roman" w:eastAsia="Times New Roman" w:hAnsi="Times New Roman"/>
                <w:sz w:val="26"/>
                <w:szCs w:val="26"/>
                <w:color w:val="auto"/>
                <w:vertAlign w:val="superscript"/>
              </w:rPr>
              <w:t>(10)</w:t>
            </w:r>
          </w:p>
        </w:tc>
        <w:tc>
          <w:tcPr>
            <w:tcW w:w="1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42,105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199,999</w:t>
            </w:r>
          </w:p>
        </w:tc>
        <w:tc>
          <w:tcPr>
            <w:tcW w:w="0" w:type="dxa"/>
            <w:vAlign w:val="bottom"/>
          </w:tcPr>
          <w:p>
            <w:pPr>
              <w:spacing w:after="0"/>
              <w:rPr>
                <w:sz w:val="1"/>
                <w:szCs w:val="1"/>
                <w:color w:val="auto"/>
              </w:rPr>
            </w:pPr>
          </w:p>
        </w:tc>
      </w:tr>
      <w:tr>
        <w:trPr>
          <w:trHeight w:val="34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Denice M. Torres Revocable Trust </w:t>
            </w:r>
            <w:r>
              <w:rPr>
                <w:rFonts w:ascii="Times New Roman" w:cs="Times New Roman" w:eastAsia="Times New Roman" w:hAnsi="Times New Roman"/>
                <w:sz w:val="26"/>
                <w:szCs w:val="26"/>
                <w:color w:val="auto"/>
                <w:vertAlign w:val="superscript"/>
              </w:rPr>
              <w:t>(11)</w:t>
            </w: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42,105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199,999</w:t>
            </w:r>
          </w:p>
        </w:tc>
        <w:tc>
          <w:tcPr>
            <w:tcW w:w="0" w:type="dxa"/>
            <w:vAlign w:val="bottom"/>
          </w:tcPr>
          <w:p>
            <w:pPr>
              <w:spacing w:after="0"/>
              <w:rPr>
                <w:sz w:val="1"/>
                <w:szCs w:val="1"/>
                <w:color w:val="auto"/>
              </w:rPr>
            </w:pPr>
          </w:p>
        </w:tc>
      </w:tr>
      <w:tr>
        <w:trPr>
          <w:trHeight w:val="234"/>
        </w:trPr>
        <w:tc>
          <w:tcPr>
            <w:tcW w:w="8280" w:type="dxa"/>
            <w:vAlign w:val="bottom"/>
            <w:gridSpan w:val="2"/>
          </w:tcPr>
          <w:p>
            <w:pPr>
              <w:ind w:left="5360"/>
              <w:spacing w:after="0"/>
              <w:rPr>
                <w:sz w:val="20"/>
                <w:szCs w:val="20"/>
                <w:color w:val="auto"/>
              </w:rPr>
            </w:pPr>
            <w:r>
              <w:rPr>
                <w:rFonts w:ascii="Times New Roman" w:cs="Times New Roman" w:eastAsia="Times New Roman" w:hAnsi="Times New Roman"/>
                <w:sz w:val="18"/>
                <w:szCs w:val="18"/>
                <w:color w:val="auto"/>
              </w:rPr>
              <w:t>204</w:t>
            </w:r>
          </w:p>
        </w:tc>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302895</wp:posOffset>
            </wp:positionV>
            <wp:extent cx="7715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40" w:hanging="424"/>
        <w:spacing w:after="0"/>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details regarding these stockholders and their equity holdings are included in the section titled “Principal Stockholders.”</w:t>
      </w:r>
    </w:p>
    <w:p>
      <w:pPr>
        <w:spacing w:after="0" w:line="27"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Atlantic beneficially owns more than 5% of our outstanding capital stock. Dr. Pitts, a member of our board of directors, was designated to our board of directors by General Atlantic and is a Vice President of General Atlantic.</w:t>
      </w:r>
    </w:p>
    <w:p>
      <w:pPr>
        <w:ind w:left="540" w:right="120" w:hanging="424"/>
        <w:spacing w:after="0" w:line="250" w:lineRule="auto"/>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ARCH Venture Fund XII, L.P. beneficially owns more than 5% of our outstanding capital stock. Mr. Nelsen, a member of our board of directors, was designated to our board of directors by ARCH Venture Fund XII, L.P. and is a Managing Director of ARCH Venture Partners.</w:t>
      </w:r>
    </w:p>
    <w:p>
      <w:pPr>
        <w:ind w:left="540" w:right="320" w:hanging="424"/>
        <w:spacing w:after="0" w:line="250" w:lineRule="auto"/>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PureTech LYT beneficially owns more than 5% of our outstanding capital stock. Dr. Elenko and Mr. Lyne, members of our board of directors, were designated to our board of directors by PureTech LYT and are executive officers at PureTech.</w:t>
      </w:r>
    </w:p>
    <w:p>
      <w:pPr>
        <w:ind w:left="540" w:right="60" w:hanging="424"/>
        <w:spacing w:after="0" w:line="250" w:lineRule="auto"/>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Sofinnova beneficially owns more than 5% of our outstanding capital stock. Dr. Healy, a member of our board of directors, was designated to our board of directors by Sofinnova and is a Managing Director of Sofinnova.</w:t>
      </w:r>
    </w:p>
    <w:p>
      <w:pPr>
        <w:ind w:left="540" w:hanging="424"/>
        <w:spacing w:after="0"/>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Rock Ventures beneficially own more than 5% of our outstanding capital stock.</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 M. Paul is Chairman and a member of our board of directors and a senior advisor to the Company.</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Lana Gladstein is our General Counsel.</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Antony Loebel is our Chief Medical Officer.</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Green is our Chief Operating Officer.</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Denice Torres is a member of our board of directors.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Agreements with Stockholders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our Series A-2 and Series B convertible preferred stock financings, we entered into investors’ rights, voting, and right of first refusal and co-sale agreements containing registration rights and information rights, among other things, with certain holders of our preferred stock and certain holders of our common stock, including holders of more than 5% of our capital stock and entities with which certain of our directors or officers are affiliated. These agreements will terminate upon the closing of this offering, except for the registration rights granted under our amended and restated investors’ rights agreement, as more fully described in “Description of Capital Stock—Registration Rights.”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year-ended December 31, 2024, we made payments of $0.2 million to Third Rock Ventures for professional fees.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Rights and Side Letters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initial issuance and sale of our convertible preferred stock, we entered into management rights and side letters with certain purchasers of our convertible preferred stock, including holders of more than 5% of our capital stock and entities with which certain of our directors or officers are affiliated, pursuant to which such entities were granted certain management rights, among other things, including the right to consult with and advise our management on significant business issues, review our operating plans, examine our books, and records and inspect our facilities. These management rights letters will terminate upon completion of this offering.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Steven M. Paul Advisor Agreement</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February 2024, we entered into a senior advisor agreement with Steven M. Paul, the chair of our board of directors, whereby we pay Dr. Paul an annual fee of $500,000 and agreed that if at any time while Dr. Paul is providing services to us up to and including the closing of an initial public offering, Dr. Paul’s ownership reduces to below 5% of our total outstanding capital on a fully diluted basis including all outstanding options and restricted common stock, we will grant him an additional equity award to maintain his ownership at the 5% threshold.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080"/>
          </w:cols>
          <w:pgMar w:left="320" w:top="455" w:right="4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and Benefit Arrangements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offer letter or employment agreements with certain of our executive officers, and granted restricted stock and stock options to our executive officers, including an agreement with our Chief Executive Officer pursuant to which we have agreed to maintain our Chief Executive Officer’s ownership at a certain percentage of our shares on a fully diluted basis and an agreement pursuant to which we’ve extended additional benefits to our Chief Executive Officer, as more fully described in the section titled “Executive Compensation.”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Grants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have granted restricted stock and options to purchase shares of our common stock to certain of our executive officers and directors. For more information regarding the options granted to our executive officers and directors, see the sections titled “Executive Compensation” and “Director Compensation.”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contain provisions limiting the liability of directors and officers, and our amended and restated bylaws will provide that we will indemnify each of our directors and officers to the fullest extent permitted under Delaware law. Our amended and restated certificate of incorporation and amended and restated bylaws will also provide our board of directors with discretion to indemnify our employees and other agents when determined appropriate by our board of directors. In addition, we have entered into or intend to enter into an indemnification agreement with each of our directors and executive officers, which will require us to indemnify them. For more information regarding these agreements, see the section titled “Management—Limitations on Liability and Indemnification Agreements.”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Directed Share Program</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At our request, the underwriters have reserved for sale, at the initial public offering price, up to approximately         shares of our common stock being offered hereby (approximately         %) for directors, executive officers, employees and business associates. The directed share program will not limit the ability of our directors, officers, and their family members, or holders of more than 5% of our capital stock, to purchase more than $120,000 in value of our common stock. We do not currently know the extent to which these related persons will participate in our directed share program, if at all, or the extent to which they will purchase more than $120,000 in value of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Procedures for Transactions with Related Persons</w:t>
      </w:r>
    </w:p>
    <w:p>
      <w:pPr>
        <w:spacing w:after="0" w:line="121" w:lineRule="exact"/>
        <w:rPr>
          <w:sz w:val="20"/>
          <w:szCs w:val="20"/>
          <w:color w:val="auto"/>
        </w:rPr>
      </w:pPr>
    </w:p>
    <w:p>
      <w:pPr>
        <w:ind w:left="120" w:right="80" w:firstLine="440"/>
        <w:spacing w:after="0" w:line="271" w:lineRule="auto"/>
        <w:rPr>
          <w:sz w:val="20"/>
          <w:szCs w:val="20"/>
          <w:color w:val="auto"/>
        </w:rPr>
      </w:pPr>
      <w:r>
        <w:rPr>
          <w:rFonts w:ascii="Times New Roman" w:cs="Times New Roman" w:eastAsia="Times New Roman" w:hAnsi="Times New Roman"/>
          <w:sz w:val="17"/>
          <w:szCs w:val="17"/>
          <w:color w:val="auto"/>
        </w:rPr>
        <w:t>Prior to completion of this offering, we intend to adopt a written policy that our executive officers, directors, nominees for election as a director, beneficial owners of more than 5% of any series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series of our common stock, or any member of the immediate family of any of the foregoing persons, in which the amount involved exceeds $120,000 (or, if less, 1% of the average of our total assets in a fiscal year)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20"/>
          </w:cols>
          <w:pgMar w:left="320" w:top="455"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regarding beneficial ownership of our capital stock as of            , 2026 by:</w:t>
      </w:r>
    </w:p>
    <w:p>
      <w:pPr>
        <w:spacing w:after="0" w:line="131" w:lineRule="exact"/>
        <w:rPr>
          <w:sz w:val="20"/>
          <w:szCs w:val="20"/>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Under these rules, beneficial ownership includes any shares of common stock as to which the individual or entity has sole or shared voting power or investment power. Unless otherwise indicated below, to our knowledge the persons and entities named in the table have sole voting and sole investment power with respect to all shares that they beneficially owned, subject to community property laws where applicable. We have deemed shares of common stock subject to options that are currently exercisable or exercisable within 60 days of        to be outstanding and to be beneficially owned by the person holding the option for the purpose of computing the percentage ownership of that person but have not treated them as outstanding for the purpose of computing the percentage ownership of any other person.</w:t>
      </w:r>
    </w:p>
    <w:p>
      <w:pPr>
        <w:spacing w:after="0" w:line="18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Applicable percentage ownership before the offering is based on an aggregate of        shares of common stock (which includes        shares of restricted common stock) deemed to be outstanding as of        , after giving effect to the Preferred Stock Conversion.</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Applicable percentage ownership after the offering is based on      shares of common stock assumed to be outstanding immediately after the completion of this offering (assuming the sale of   shares of common stock in this offering based on an initial public offering price of $ per share, which is the midpoint of the price range set forth on the cover page of this prospectus, and no exercise of the underwriters’ option to purchase additional shares).</w:t>
      </w:r>
    </w:p>
    <w:p>
      <w:pPr>
        <w:spacing w:after="0" w:line="180"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does not reflect any shares of common stock that may be purchased pursuant to our directed share program described under “Underwriting—Directed Share Program.” If any shares are purchased by our existing principal stockholders, directors or their affiliated entities, the number and percentage of shares of our common stock beneficially owned by them after this offering will differ from those set forth in the following table.</w:t>
      </w:r>
    </w:p>
    <w:p>
      <w:pPr>
        <w:spacing w:after="0" w:line="18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for each beneficial owner listed in the table below is c/o Seaport Therapeutics, Inc., 101 Seaport Blvd., Floor 12, Boston, Massachusetts 02210.</w:t>
      </w:r>
    </w:p>
    <w:p>
      <w:pPr>
        <w:spacing w:after="0" w:line="182"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4"/>
          <w:szCs w:val="14"/>
          <w:b w:val="1"/>
          <w:bCs w:val="1"/>
          <w:color w:val="auto"/>
        </w:rPr>
        <w:t>Percentage of Shares</w:t>
      </w:r>
    </w:p>
    <w:p>
      <w:pPr>
        <w:ind w:left="9520"/>
        <w:spacing w:after="0"/>
        <w:rPr>
          <w:sz w:val="20"/>
          <w:szCs w:val="20"/>
          <w:color w:val="auto"/>
        </w:rPr>
      </w:pPr>
      <w:r>
        <w:rPr>
          <w:rFonts w:ascii="Times New Roman" w:cs="Times New Roman" w:eastAsia="Times New Roman" w:hAnsi="Times New Roman"/>
          <w:sz w:val="14"/>
          <w:szCs w:val="14"/>
          <w:b w:val="1"/>
          <w:bCs w:val="1"/>
          <w:color w:val="auto"/>
        </w:rPr>
        <w:t>Beneficially Owned</w:t>
      </w:r>
    </w:p>
    <w:tbl>
      <w:tblPr>
        <w:tblLayout w:type="fixed"/>
        <w:tblInd w:w="120" w:type="dxa"/>
        <w:tblCellMar>
          <w:top w:w="0" w:type="dxa"/>
          <w:left w:w="0" w:type="dxa"/>
          <w:bottom w:w="0" w:type="dxa"/>
          <w:right w:w="0" w:type="dxa"/>
        </w:tblCellMar>
      </w:tblPr>
      <w:tr>
        <w:trPr>
          <w:trHeight w:val="117"/>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7400" w:type="dxa"/>
            <w:vAlign w:val="bottom"/>
          </w:tcPr>
          <w:p>
            <w:pPr>
              <w:jc w:val="center"/>
              <w:ind w:left="4371"/>
              <w:spacing w:after="0" w:line="117"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980" w:type="dxa"/>
            <w:vAlign w:val="bottom"/>
            <w:tcBorders>
              <w:top w:val="single" w:sz="8" w:color="auto"/>
            </w:tcBorders>
          </w:tcPr>
          <w:p>
            <w:pPr>
              <w:jc w:val="center"/>
              <w:ind w:right="391"/>
              <w:spacing w:after="0" w:line="117" w:lineRule="exact"/>
              <w:rPr>
                <w:sz w:val="20"/>
                <w:szCs w:val="20"/>
                <w:color w:val="auto"/>
              </w:rPr>
            </w:pPr>
            <w:r>
              <w:rPr>
                <w:rFonts w:ascii="Times New Roman" w:cs="Times New Roman" w:eastAsia="Times New Roman" w:hAnsi="Times New Roman"/>
                <w:sz w:val="13"/>
                <w:szCs w:val="13"/>
                <w:b w:val="1"/>
                <w:bCs w:val="1"/>
                <w:color w:val="auto"/>
              </w:rPr>
              <w:t>Before</w:t>
            </w:r>
          </w:p>
        </w:tc>
        <w:tc>
          <w:tcPr>
            <w:tcW w:w="980" w:type="dxa"/>
            <w:vAlign w:val="bottom"/>
            <w:tcBorders>
              <w:top w:val="single" w:sz="8" w:color="auto"/>
            </w:tcBorders>
          </w:tcPr>
          <w:p>
            <w:pPr>
              <w:jc w:val="center"/>
              <w:ind w:left="351"/>
              <w:spacing w:after="0" w:line="117" w:lineRule="exact"/>
              <w:rPr>
                <w:sz w:val="20"/>
                <w:szCs w:val="20"/>
                <w:color w:val="auto"/>
              </w:rPr>
            </w:pPr>
            <w:r>
              <w:rPr>
                <w:rFonts w:ascii="Times New Roman" w:cs="Times New Roman" w:eastAsia="Times New Roman" w:hAnsi="Times New Roman"/>
                <w:sz w:val="13"/>
                <w:szCs w:val="13"/>
                <w:b w:val="1"/>
                <w:bCs w:val="1"/>
                <w:color w:val="auto"/>
              </w:rPr>
              <w:t>After</w:t>
            </w:r>
          </w:p>
        </w:tc>
        <w:tc>
          <w:tcPr>
            <w:tcW w:w="0" w:type="dxa"/>
            <w:vAlign w:val="bottom"/>
          </w:tcPr>
          <w:p>
            <w:pPr>
              <w:spacing w:after="0"/>
              <w:rPr>
                <w:sz w:val="1"/>
                <w:szCs w:val="1"/>
                <w:color w:val="auto"/>
              </w:rPr>
            </w:pPr>
          </w:p>
        </w:tc>
      </w:tr>
      <w:tr>
        <w:trPr>
          <w:trHeight w:val="165"/>
        </w:trPr>
        <w:tc>
          <w:tcPr>
            <w:tcW w:w="1620" w:type="dxa"/>
            <w:vAlign w:val="bottom"/>
            <w:tcBorders>
              <w:bottom w:val="single" w:sz="8" w:color="auto"/>
            </w:tcBorders>
            <w:vMerge w:val="continue"/>
          </w:tcPr>
          <w:p>
            <w:pPr>
              <w:spacing w:after="0"/>
              <w:rPr>
                <w:sz w:val="13"/>
                <w:szCs w:val="13"/>
                <w:color w:val="auto"/>
              </w:rPr>
            </w:pPr>
          </w:p>
        </w:tc>
        <w:tc>
          <w:tcPr>
            <w:tcW w:w="7400" w:type="dxa"/>
            <w:vAlign w:val="bottom"/>
          </w:tcPr>
          <w:p>
            <w:pPr>
              <w:jc w:val="center"/>
              <w:ind w:left="4371"/>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Beneficially Owned</w:t>
            </w:r>
          </w:p>
        </w:tc>
        <w:tc>
          <w:tcPr>
            <w:tcW w:w="980" w:type="dxa"/>
            <w:vAlign w:val="bottom"/>
          </w:tcPr>
          <w:p>
            <w:pPr>
              <w:jc w:val="center"/>
              <w:ind w:right="391"/>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Offering</w:t>
            </w:r>
          </w:p>
        </w:tc>
        <w:tc>
          <w:tcPr>
            <w:tcW w:w="980" w:type="dxa"/>
            <w:vAlign w:val="bottom"/>
          </w:tcPr>
          <w:p>
            <w:pPr>
              <w:jc w:val="center"/>
              <w:ind w:left="351"/>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Offering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371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b w:val="1"/>
          <w:bCs w:val="1"/>
          <w:color w:val="auto"/>
        </w:rPr>
        <w:t>5% or Greater Shareholders:</w:t>
      </w:r>
    </w:p>
    <w:p>
      <w:pPr>
        <w:ind w:left="120"/>
        <w:spacing w:after="0" w:line="181" w:lineRule="auto"/>
        <w:rPr>
          <w:sz w:val="20"/>
          <w:szCs w:val="20"/>
          <w:color w:val="auto"/>
        </w:rPr>
      </w:pPr>
      <w:r>
        <w:rPr>
          <w:rFonts w:ascii="Times New Roman" w:cs="Times New Roman" w:eastAsia="Times New Roman" w:hAnsi="Times New Roman"/>
          <w:sz w:val="18"/>
          <w:szCs w:val="18"/>
          <w:color w:val="auto"/>
        </w:rPr>
        <w:t xml:space="preserve">PureTech LYT, Inc. </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line="180" w:lineRule="auto"/>
        <w:rPr>
          <w:sz w:val="20"/>
          <w:szCs w:val="20"/>
          <w:color w:val="auto"/>
        </w:rPr>
      </w:pPr>
      <w:r>
        <w:rPr>
          <w:rFonts w:ascii="Times New Roman" w:cs="Times New Roman" w:eastAsia="Times New Roman" w:hAnsi="Times New Roman"/>
          <w:sz w:val="17"/>
          <w:szCs w:val="17"/>
          <w:color w:val="auto"/>
        </w:rPr>
        <w:t xml:space="preserve">ARCH Venture Fund XII, L.P. </w:t>
      </w:r>
      <w:r>
        <w:rPr>
          <w:rFonts w:ascii="Times New Roman" w:cs="Times New Roman" w:eastAsia="Times New Roman" w:hAnsi="Times New Roman"/>
          <w:sz w:val="25"/>
          <w:szCs w:val="25"/>
          <w:color w:val="auto"/>
          <w:vertAlign w:val="superscript"/>
        </w:rPr>
        <w:t>(2)</w:t>
      </w:r>
    </w:p>
    <w:p>
      <w:pPr>
        <w:ind w:left="120"/>
        <w:spacing w:after="0" w:line="181" w:lineRule="auto"/>
        <w:rPr>
          <w:sz w:val="20"/>
          <w:szCs w:val="20"/>
          <w:color w:val="auto"/>
        </w:rPr>
      </w:pPr>
      <w:r>
        <w:rPr>
          <w:rFonts w:ascii="Times New Roman" w:cs="Times New Roman" w:eastAsia="Times New Roman" w:hAnsi="Times New Roman"/>
          <w:sz w:val="17"/>
          <w:szCs w:val="17"/>
          <w:color w:val="auto"/>
        </w:rPr>
        <w:t xml:space="preserve">General Atlantic (SP), L.P. </w:t>
      </w:r>
      <w:r>
        <w:rPr>
          <w:rFonts w:ascii="Times New Roman" w:cs="Times New Roman" w:eastAsia="Times New Roman" w:hAnsi="Times New Roman"/>
          <w:sz w:val="25"/>
          <w:szCs w:val="2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371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line="180" w:lineRule="auto"/>
        <w:rPr>
          <w:sz w:val="20"/>
          <w:szCs w:val="20"/>
          <w:color w:val="auto"/>
        </w:rPr>
      </w:pPr>
      <w:r>
        <w:rPr>
          <w:rFonts w:ascii="Times New Roman" w:cs="Times New Roman" w:eastAsia="Times New Roman" w:hAnsi="Times New Roman"/>
          <w:sz w:val="17"/>
          <w:szCs w:val="17"/>
          <w:color w:val="auto"/>
        </w:rPr>
        <w:t xml:space="preserve">Sofinnova Venture Partners XI, L.P. </w:t>
      </w:r>
      <w:r>
        <w:rPr>
          <w:rFonts w:ascii="Times New Roman" w:cs="Times New Roman" w:eastAsia="Times New Roman" w:hAnsi="Times New Roman"/>
          <w:sz w:val="25"/>
          <w:szCs w:val="25"/>
          <w:color w:val="auto"/>
          <w:vertAlign w:val="superscript"/>
        </w:rPr>
        <w:t>(4)</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Third Rock Ventures VI, L.P. </w:t>
      </w:r>
      <w:r>
        <w:rPr>
          <w:rFonts w:ascii="Times New Roman" w:cs="Times New Roman" w:eastAsia="Times New Roman" w:hAnsi="Times New Roman"/>
          <w:sz w:val="26"/>
          <w:szCs w:val="26"/>
          <w:color w:val="auto"/>
          <w:vertAlign w:val="superscript"/>
        </w:rPr>
        <w:t>(5)</w:t>
      </w:r>
    </w:p>
    <w:p>
      <w:pPr>
        <w:spacing w:after="0" w:line="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00"/>
          </w:cols>
          <w:pgMar w:left="320" w:top="455" w:right="47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00"/>
          </w:cols>
          <w:pgMar w:left="320" w:top="45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Daphne Zohar, </w:t>
      </w:r>
      <w:r>
        <w:rPr>
          <w:rFonts w:ascii="Times New Roman" w:cs="Times New Roman" w:eastAsia="Times New Roman" w:hAnsi="Times New Roman"/>
          <w:sz w:val="18"/>
          <w:szCs w:val="18"/>
          <w:i w:val="1"/>
          <w:i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Michael C. Chen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Antony Loebel,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Steven M. Paul, M.D.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Eric Elenko,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James I. Healy, M.D., Ph.D.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Robert J. Hombach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Robert Nelsen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Sandra E.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Jason Pitts, Ph.D.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Denice Torres,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David Wheadon, M.D.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Robert Lyne, LLB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7"/>
          <w:szCs w:val="17"/>
          <w:color w:val="auto"/>
        </w:rPr>
        <w:t>All executive officers and directors as a group (16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7715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b w:val="1"/>
          <w:bCs w:val="1"/>
          <w:color w:val="auto"/>
        </w:rPr>
        <w:t>Percentage of Shares</w:t>
      </w:r>
    </w:p>
    <w:p>
      <w:pPr>
        <w:ind w:left="2460"/>
        <w:spacing w:after="0"/>
        <w:rPr>
          <w:sz w:val="20"/>
          <w:szCs w:val="20"/>
          <w:color w:val="auto"/>
        </w:rPr>
      </w:pPr>
      <w:r>
        <w:rPr>
          <w:rFonts w:ascii="Times New Roman" w:cs="Times New Roman" w:eastAsia="Times New Roman" w:hAnsi="Times New Roman"/>
          <w:sz w:val="14"/>
          <w:szCs w:val="14"/>
          <w:b w:val="1"/>
          <w:bCs w:val="1"/>
          <w:color w:val="auto"/>
        </w:rPr>
        <w:t>Beneficially Owned</w:t>
      </w:r>
    </w:p>
    <w:tbl>
      <w:tblPr>
        <w:tblLayout w:type="fixed"/>
        <w:tblInd w:w="0" w:type="dxa"/>
        <w:tblCellMar>
          <w:top w:w="0" w:type="dxa"/>
          <w:left w:w="0" w:type="dxa"/>
          <w:bottom w:w="0" w:type="dxa"/>
          <w:right w:w="0" w:type="dxa"/>
        </w:tblCellMar>
      </w:tblPr>
      <w:tr>
        <w:trPr>
          <w:trHeight w:val="117"/>
        </w:trPr>
        <w:tc>
          <w:tcPr>
            <w:tcW w:w="2080" w:type="dxa"/>
            <w:vAlign w:val="bottom"/>
            <w:gridSpan w:val="2"/>
          </w:tcPr>
          <w:p>
            <w:pPr>
              <w:jc w:val="center"/>
              <w:ind w:right="880"/>
              <w:spacing w:after="0" w:line="117"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420" w:type="dxa"/>
            <w:vAlign w:val="bottom"/>
            <w:tcBorders>
              <w:top w:val="single" w:sz="8" w:color="auto"/>
            </w:tcBorders>
            <w:gridSpan w:val="2"/>
          </w:tcPr>
          <w:p>
            <w:pPr>
              <w:jc w:val="center"/>
              <w:ind w:right="900"/>
              <w:spacing w:after="0" w:line="117" w:lineRule="exact"/>
              <w:rPr>
                <w:sz w:val="20"/>
                <w:szCs w:val="20"/>
                <w:color w:val="auto"/>
              </w:rPr>
            </w:pPr>
            <w:r>
              <w:rPr>
                <w:rFonts w:ascii="Times New Roman" w:cs="Times New Roman" w:eastAsia="Times New Roman" w:hAnsi="Times New Roman"/>
                <w:sz w:val="13"/>
                <w:szCs w:val="13"/>
                <w:b w:val="1"/>
                <w:bCs w:val="1"/>
                <w:color w:val="auto"/>
              </w:rPr>
              <w:t>Before</w:t>
            </w:r>
          </w:p>
        </w:tc>
        <w:tc>
          <w:tcPr>
            <w:tcW w:w="540" w:type="dxa"/>
            <w:vAlign w:val="bottom"/>
            <w:tcBorders>
              <w:top w:val="single" w:sz="8" w:color="auto"/>
            </w:tcBorders>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rPr>
              <w:t>After</w:t>
            </w:r>
          </w:p>
        </w:tc>
      </w:tr>
      <w:tr>
        <w:trPr>
          <w:trHeight w:val="173"/>
        </w:trPr>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880" w:type="dxa"/>
            <w:vAlign w:val="bottom"/>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880" w:type="dxa"/>
            <w:vAlign w:val="bottom"/>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r>
    </w:tbl>
    <w:p>
      <w:pPr>
        <w:spacing w:after="0" w:line="3396" w:lineRule="exact"/>
        <w:rPr>
          <w:sz w:val="20"/>
          <w:szCs w:val="20"/>
          <w:color w:val="auto"/>
        </w:rPr>
      </w:pPr>
    </w:p>
    <w:p>
      <w:pPr>
        <w:sectPr>
          <w:pgSz w:w="11900" w:h="16838" w:orient="portrait"/>
          <w:cols w:equalWidth="0" w:num="2">
            <w:col w:w="6340" w:space="720"/>
            <w:col w:w="4040"/>
          </w:cols>
          <w:pgMar w:left="320" w:top="455" w:right="479" w:bottom="1440" w:gutter="0" w:footer="0" w:header="0"/>
          <w:type w:val="continuous"/>
        </w:sectPr>
      </w:pPr>
    </w:p>
    <w:p>
      <w:pPr>
        <w:ind w:left="540" w:hanging="424"/>
        <w:spacing w:after="0"/>
        <w:tabs>
          <w:tab w:leader="none" w:pos="5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ind w:left="540" w:right="40" w:hanging="424"/>
        <w:spacing w:after="0" w:line="250" w:lineRule="auto"/>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950,000 shares of common stock, (ii) 40,000,000 shares of common stock issuable upon conversion of Series A-1 preferred stock, (iii) 8,421,052 shares of common stock issuable upon conversion of Series A-2 preferred stock and (iv) 3,031,578 of common stock issuable upon conversion of Series B preferred stock held by PureTech LYT, Inc. Voting and investment power over the shares held by PureTech LYT, Inc. is exercised by its parent entity, PureTech Health plc. The board of directors of PureTech Health plc consists of Ms. Sharon Barber-Lui, Dr. Michele Holcomb, Dr. John LaMattina, Dr. Robert Langer and Ms. Kiran Mazumdar-Shaw. None of the members of the board of directors of PureTech Health plc or PureTech Health LLC has individual voting or investment power with respect to such shares. The address for PureTech Health LLC and the individuals listed above is c/o PureTech Health LLC, 6 Tide Street, Boston, MA 02210.</w:t>
      </w:r>
    </w:p>
    <w:p>
      <w:pPr>
        <w:spacing w:after="0" w:line="2"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7,894,736 shares of common stock issuable upon conversion of Series A-2 preferred stock and (ii) 8,421,052 shares of common stock issuable upon conversion of Series B preferred stock held by ARCH Venture Fund XII, L.P (“ARCH XII”). ARCH Venture Partners XII, L.P. (AVP XII LP) is the general partner of ARCH XII. ARCH Venture Partners XII, LLC (AVP XII LLC) is the general partner of AVP XII LP. Keith Crandell, Kristina Burow, Steven Gillis and Robert Nelsen comprise the investment committee of AVP XII LLC (the AVP XII LLC Committee Members). Each of AVP XII LP and AVP XII LLC may be deemed to beneficially own the shares held by ARCH XII, and each of the AVP XII LLC Committee Members may be deemed to share the power to direct the disposition and vote of the shares held by ARCH XII. Each of AVP XII LP, AVP XII LLC and the AVP XII LLC Committee Members disclaims beneficial ownership except to the extent of their pecuniary interest therein, if any. The address for Arch Ventures Partners, L.P. and the individuals listed above is c/o Arch Ventures Partners L.P., 8755 W. Higgins Rd., Suite 1025, Chicago, IL 60631.</w:t>
      </w:r>
    </w:p>
    <w:p>
      <w:pPr>
        <w:spacing w:after="0" w:line="3" w:lineRule="exact"/>
        <w:rPr>
          <w:rFonts w:ascii="Times New Roman" w:cs="Times New Roman" w:eastAsia="Times New Roman" w:hAnsi="Times New Roman"/>
          <w:sz w:val="18"/>
          <w:szCs w:val="18"/>
          <w:color w:val="auto"/>
        </w:rPr>
      </w:pPr>
    </w:p>
    <w:p>
      <w:pPr>
        <w:ind w:left="540" w:right="20" w:hanging="424"/>
        <w:spacing w:after="0" w:line="251" w:lineRule="auto"/>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10,526,315 shares of common stock issuable upon conversion of Series B preferred stock held by General Atlantic (SP), L.P., or General Atlantic SP. The limited partners that share beneficial ownership of the shares held by General Atlantic SP, or the GA Funds, are General Atlantic Partners 100, L.P., or GAP 100, General Atlantic Partners (Bermuda) EU, L.P., or GAP Bermuda EU, GAP Coinvestments III, LLC, or GAPCO III, GAP Coinvestments IV, LLC, or GAPCO IV, GAP Coinvestments V, LLC, or GAPCO V, and GAP Coinvestments CDA, L.P., or GAPCO CDA. The address of GA LP, GAP 100, GAPCO III, GAPCO IV, GAPCO V, GAPCO CDA, GA GenPar, GA SPV and GA GK is c/o General Atlantic Service Company, L.P., 55 East 52nd Street, 33rd Floor, New York, NY 10055. The address of GAP Bermuda EU, GenPar Bermuda and GAP Bermuda is Clarendon House, 2 Church Street, Hamilton HM 11, Bermuda. The general partner of GA GK is General Atlantic (SPV) GP, LLC, or GA SPV. The general partner of GAP 100 is</w:t>
      </w:r>
    </w:p>
    <w:p>
      <w:pPr>
        <w:spacing w:after="0" w:line="1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00"/>
          </w:cols>
          <w:pgMar w:left="320" w:top="455" w:right="479" w:bottom="1440" w:gutter="0" w:footer="0" w:header="0"/>
          <w:type w:val="continuous"/>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51" w:lineRule="auto"/>
        <w:rPr>
          <w:sz w:val="20"/>
          <w:szCs w:val="20"/>
          <w:color w:val="auto"/>
        </w:rPr>
      </w:pPr>
      <w:r>
        <w:rPr>
          <w:rFonts w:ascii="Times New Roman" w:cs="Times New Roman" w:eastAsia="Times New Roman" w:hAnsi="Times New Roman"/>
          <w:sz w:val="18"/>
          <w:szCs w:val="18"/>
          <w:color w:val="auto"/>
        </w:rPr>
        <w:t>ultimately controlled by General Atlantic, L.P., or GA LP, which is controlled by the Management Committee of GASC MGP, LLC, or the Management Committee. The general partner of GAP Bermuda EU is ultimately controlled by GAP (Bermuda) L.P., or GAP Bermuda, which is also controlled by the Management Committee. GA LP is the managing member of GAPCO III, GAPCO IV and GAPCO V, the general partner of GAPCO CDA and is the sole member of GA SPV. There are nine members of the Management Committee. GA GK, GA LP, GASC MGP, LLC, GAP Bermuda, GA SPV and the GA Funds. The GA Funds share beneficial ownership of the shares of common stock held by GA GK. The general partner of GA GK is GA SPV. The general partner of GAP 100 is GA GenPar. The general partner of GAP Bermuda EU is GenPar Bermuda. GA LP, which is controlled by the Management Committee of GASC MGP, LLC (the “GA Management Committee”), is the managing member of GAPCO III, GAPCO IV and GAPCO V, the general partner of GAPCO CDA and GA GenPar, and the sole member of GA SPV. The general partner of GenPar Bermuda is GAP Bermuda, which is also controlled by the GA Management Committee. There are nine members of the GA Management Committee. By virtue of the foregoing, the Reporting Persons may be deemed to share voting power and the power to direct the disposition of the shares that each owns of record. Each of the members of the GA Management Committee disclaims ownership of the shares of common stock reported herein except to the extent he or she has a pecuniary interest therein. GA LP, GAP Bermuda LP, GA Lux, GA GenPar Lux, GA TH, GA SPV, and the GA Funds are a “group” within the meaning of Rule 13d-5 of the Securities Exchange Act of 1934, as amended. Each of the members of the GA Management Committee disclaims ownership of the shares except to the extent that he has a pecuniary interest therein. The mailing address of each of the foregoing entities (other than GAP Bermuda EU, GAP Lux, GA Lux, and GAP Bermuda LP) is c/o General Atlantic Service Company, L.P., 55 East 52nd Street, 33rd Floor, New York, NY 10055. The mailing address of GAP Bermuda EU and GAP Bermuda LP is Clarendon House, 2 Church Street, Hamilton HM 11, Bermuda. The mailing address of GAP Lux, GA GenPar Lux, and GA Lux is 412F, Route d’Esch, L-1471 Luxembourg.</w:t>
      </w:r>
    </w:p>
    <w:p>
      <w:pPr>
        <w:spacing w:after="0" w:line="10" w:lineRule="exact"/>
        <w:rPr>
          <w:sz w:val="20"/>
          <w:szCs w:val="20"/>
          <w:color w:val="auto"/>
        </w:rPr>
      </w:pPr>
    </w:p>
    <w:p>
      <w:pPr>
        <w:ind w:left="540" w:right="20" w:hanging="424"/>
        <w:spacing w:after="0" w:line="250" w:lineRule="auto"/>
        <w:tabs>
          <w:tab w:leader="none" w:pos="5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6,052,631 shares of common stock issuable upon conversion of Series A-2 preferred stock and (ii) 2,526,315 shares of common stock issuable upon conversion of Series B preferred stock held by Sofinnova Venture Partners XI, L.P. (“SVP XI”), except that Sofinnova Management XI, L.P. (“SM XI LP”), the general partner of SVP XI, may be deemed to have sole voting power, Sofinnova Management XI, L.L.C. (“SM XI LLC”), the general partner of SM XI LP, may be deemed to have sole voting power, and James I. Healy, M.D., Ph.D. and Maha Katabi, Ph.D., the managing members of SM XI LLC, may be deemed to have shared power to vote these shares. Each of SM XI LP, SM XI LLC, Dr. Healy and Dr. Katabi disclaim beneficial ownership of the shares held by SVP XI, except to the extent of their respective pecuniary interest therein. The principal address for the entities and individuals named in this paragraph is 3000 Sand Hill Road, Building 3-Suite 150, Menlo Park, CA 94025.</w:t>
      </w:r>
    </w:p>
    <w:p>
      <w:pPr>
        <w:spacing w:after="0" w:line="3" w:lineRule="exact"/>
        <w:rPr>
          <w:rFonts w:ascii="Times New Roman" w:cs="Times New Roman" w:eastAsia="Times New Roman" w:hAnsi="Times New Roman"/>
          <w:sz w:val="18"/>
          <w:szCs w:val="18"/>
          <w:color w:val="auto"/>
        </w:rPr>
      </w:pPr>
    </w:p>
    <w:p>
      <w:pPr>
        <w:ind w:left="540" w:hanging="424"/>
        <w:spacing w:after="0" w:line="252" w:lineRule="auto"/>
        <w:tabs>
          <w:tab w:leader="none" w:pos="5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3,947,368 shares of common stock issuable upon conversion of Series A-2 preferred stock and (ii) 2,526,315 shares of common stock issuable upon conversion of Series B preferred stock held by Third Rock Ventures VI, L.P., or TRV VI. The sole general partner of TRV VI is Third Rock Ventures GP VI, L.P., or TRV GP VI. The sole general partner of TRV GP VI is TRV GP VI, LLC, or TRV GP VI LLC. Abbie Celniker, Ph.D.; Robert Tepper, M.D.; Reid Huber, Ph.D.; Jeffrey Tong, Ph.D.; Kevin Gillis; and David Kaufman, M.D., Ph.D. are the managing members of TRV GP VI LLC and collectively make voting and investment decisions with respect to shares held by TRV VI. The principal address for the entities and individuals named in this paragraph is 201 Brookline Avenue, Suite 1401, Boston, MA 02215.</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which will become effective immediately prior to the completion of this offering, and the amended and restated bylaws, which will become effective upon the effectiveness of the registration statement of which this prospectus forms a part. Copies of these documents have been filed with the SEC as exhibits to our registration statement of which this prospectus forms a part. The descriptions of the common stock and preferred stock reflect changes to our capital structure that will be in effect on the completion of this offering.</w:t>
      </w:r>
    </w:p>
    <w:p>
      <w:pPr>
        <w:spacing w:after="0" w:line="18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Upon filing of our amended and restated certificate of incorporation and the completion of this offering, our authorized capital stock will consist of         shares of common stock, par value $0.0001 per share, and shares of preferred stock, par value $0.0001 per share, all of which shares of preferred stock will be undesignated.</w:t>
      </w:r>
    </w:p>
    <w:p>
      <w:pPr>
        <w:spacing w:after="0" w:line="176"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2025, there were         shares of common stock outstanding (which includes         shares of unvested restricted common stock), held of record by        stockholders, 40,000,000 shares of Series A-1 preferred stock, 26,342,102 shares of Series A-2 preferred stock and 47,578,934 shares of Series B preferred stock outstanding and held of record by 34 stockholders.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80"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The shares to be issued by us in this offering will be, when issued and paid for, validly issued, fully paid, and non-assessable.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Immediately prior to the completion of this offering, all outstanding shares of our convertible preferred stock will be converted into shares of our common stock. Upon the consummation of this offering, our board of directors will have the authority, without further action by our stockholders, to issue up to 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consummation of this offering, no shares of preferred stock will be outstanding, and we have no present plan to issue any shares of preferred stock.</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080"/>
          </w:cols>
          <w:pgMar w:left="320" w:top="455" w:right="49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207"/>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8080" w:type="dxa"/>
            <w:vAlign w:val="bottom"/>
          </w:tcPr>
          <w:p>
            <w:pPr>
              <w:spacing w:after="0"/>
              <w:rPr>
                <w:sz w:val="17"/>
                <w:szCs w:val="17"/>
                <w:color w:val="auto"/>
              </w:rPr>
            </w:pPr>
          </w:p>
        </w:tc>
      </w:tr>
      <w:tr>
        <w:trPr>
          <w:trHeight w:val="547"/>
        </w:trPr>
        <w:tc>
          <w:tcPr>
            <w:tcW w:w="1360" w:type="dxa"/>
            <w:vAlign w:val="bottom"/>
            <w:tcBorders>
              <w:top w:val="single" w:sz="8" w:color="0000EE"/>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600" w:type="dxa"/>
            <w:vAlign w:val="bottom"/>
          </w:tcPr>
          <w:p>
            <w:pPr>
              <w:spacing w:after="0"/>
              <w:rPr>
                <w:sz w:val="24"/>
                <w:szCs w:val="24"/>
                <w:color w:val="auto"/>
              </w:rPr>
            </w:pPr>
          </w:p>
        </w:tc>
        <w:tc>
          <w:tcPr>
            <w:tcW w:w="8080" w:type="dxa"/>
            <w:vAlign w:val="bottom"/>
          </w:tcPr>
          <w:p>
            <w:pPr>
              <w:spacing w:after="0"/>
              <w:rPr>
                <w:sz w:val="24"/>
                <w:szCs w:val="24"/>
                <w:color w:val="auto"/>
              </w:rPr>
            </w:pPr>
          </w:p>
        </w:tc>
      </w:tr>
      <w:tr>
        <w:trPr>
          <w:trHeight w:val="306"/>
        </w:trPr>
        <w:tc>
          <w:tcPr>
            <w:tcW w:w="29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xml:space="preserve">As of December 31, 2025,       </w:t>
            </w:r>
          </w:p>
        </w:tc>
        <w:tc>
          <w:tcPr>
            <w:tcW w:w="80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shares of common stock were issuable upon the exercise of outstanding stock options under the 2024 Plan, at</w:t>
            </w:r>
          </w:p>
        </w:tc>
      </w:tr>
      <w:tr>
        <w:trPr>
          <w:trHeight w:val="234"/>
        </w:trPr>
        <w:tc>
          <w:tcPr>
            <w:tcW w:w="2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 weighted-average exercise price of $ </w:t>
            </w:r>
          </w:p>
        </w:tc>
        <w:tc>
          <w:tcPr>
            <w:tcW w:w="8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per share; no shares of common stock were issuable upon exercise of outstanding stock options outside</w:t>
            </w:r>
          </w:p>
        </w:tc>
      </w:tr>
    </w:tbl>
    <w:p>
      <w:pPr>
        <w:ind w:left="120"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our 2024 Plan; and        shares of our common stock that will become available for future issuance under our 2026 Plan, including shares reserved for the IPO Grants, which will become effective on the date immediately prior to the effectiveness of the registration statement of which this prospectus forms a part, as well as any automatic increases in the number of shares of common stock reserved for future issuance under the 2026 Plan and any shares underlying outstanding stock awards granted under the 2024 Plan that expire or are repurchased, forfeited, cancelled, or withheld; and For additional information regarding terms of our equity incentive plans, see the section titled “Executive Compensation—Employee Benefit and Equity Compensation Plans.”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Upon the completion of this offering and subject to the lock-up agreements entered into in connection with this offering and federal securities laws, certain holders of shares of our common stock, including those shares of our common stock that will be issued upon the Preferred Stock Conversion in connection with this offering, will initially be entitled to certain rights with respect to registration of such shares under the Securities Act. These shares are referred to as registrable securities. The holders of these registrable securities will possess these registration rights pursuant to the terms of our second amended and restated investors’ rights agreement and are described in additional detail below. The registration of shares of our common stock pursuant to the exercise of the registration rights described below would enable the holders to trade these shares without restriction under the Securities Act when the applicable registration statement is declared effective. We will pay all registration expenses, other than underwriting discounts, selling commissions, and stock transfer taxes, of the shares registered pursuant to the demand, piggyback and Form S-3 registrations described below.</w:t>
      </w:r>
    </w:p>
    <w:p>
      <w:pPr>
        <w:spacing w:after="0" w:line="17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Generally, in an underwritten offering, the managing underwriter, if any, has the right, subject to specified conditions and limitations, to limit the number of shares the holders may include. The demand, piggyback and Form S-3 registration rights described below will expire no later than four years after the completion of this offering.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21" w:lineRule="exact"/>
        <w:rPr>
          <w:sz w:val="20"/>
          <w:szCs w:val="20"/>
          <w:color w:val="auto"/>
        </w:rPr>
      </w:pPr>
    </w:p>
    <w:p>
      <w:pPr>
        <w:ind w:left="120" w:right="260" w:firstLine="440"/>
        <w:spacing w:after="0" w:line="254" w:lineRule="auto"/>
        <w:rPr>
          <w:sz w:val="20"/>
          <w:szCs w:val="20"/>
          <w:color w:val="auto"/>
        </w:rPr>
      </w:pPr>
      <w:r>
        <w:rPr>
          <w:rFonts w:ascii="Times New Roman" w:cs="Times New Roman" w:eastAsia="Times New Roman" w:hAnsi="Times New Roman"/>
          <w:sz w:val="18"/>
          <w:szCs w:val="18"/>
          <w:color w:val="auto"/>
        </w:rPr>
        <w:t>Upon the completion of this offering, holders of         shares of our common stock, including those issuable upon the Preferred Stock Conversion, will be entitled to certain demand registration rights pursuant to that certain Investors’ Rights Agreement, by and between us and the investors party thereto, dated as of October 18, 2024, or the investors’ rights agreement. At any time beginning 180 days after the completion of this offering, the holders of at least 9% of these registrable securities may request that we register all or a portion of their shares. We are not required to effect more than two registration statements which are declared or ordered effective pursuant to these demand registration rights. Such request for registration must cover shares with an anticipated aggregate offering price of at least $15 million, net of any underwriting discounts, selling commissions, and other related expenses. With certain exceptions, we are not required to effect the filing of a registration statement during the period starting with the date of the filing of, and ending on a date 60 days following the effective date of the registration statement for this offering.</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this offering, holders of         shares of our common stock, including those issuable upon the Preferred Stock Conversion, were entitled to, and the necessary percentage of holders waived, their rights to notice of this offering and to include their shares of registrable securities in this offering pursuant to the investors’ rights agreement. After this offering, in the event that we propose to register any of our securities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120"/>
          </w:cols>
          <w:pgMar w:left="320" w:top="446"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under the Securities Act, either for our own account or for the account of other security holders, the holders of these registrable securities will be entitled to certain piggyback registration rights allowing such holders to include their shares in such registration, subject to certain marketing and other limitations.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 Rights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Upon the completion of this offering, holders of         shares of our common stock, including those issuable upon the Preferred Stock Conversion, will be entitled to certain Form S-3 registration rights pursuant to the investors’ rights agreement. Holders of at least 9% of these registrable securities can make a request that we register their shares on Form S-3 if we are qualified to file a registration statement on Form S-3 (which qualification may occur no sooner than twelve calendar months after the date of this offering) and if the reasonably anticipated aggregate net proceeds of the shares offered would equal or exceed $5 million, net of any underwriting discounts, selling commissions and other related expenses. We will not be required to effect more than two registrations on Form S-3 within any twelve-month period. The right to have such shares registered on Form S-3 is further subject to other specified conditions and limitations.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Expiration of Registration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demand registration rights and Form S-3 registration rights granted under our Investor Rights Agreement will terminate upon the earliest of</w:t>
      </w:r>
    </w:p>
    <w:p>
      <w:pPr>
        <w:spacing w:after="0" w:line="27" w:lineRule="exact"/>
        <w:rPr>
          <w:sz w:val="20"/>
          <w:szCs w:val="20"/>
          <w:color w:val="auto"/>
        </w:rPr>
      </w:pPr>
    </w:p>
    <w:p>
      <w:pPr>
        <w:ind w:left="340" w:hanging="224"/>
        <w:spacing w:after="0"/>
        <w:tabs>
          <w:tab w:leader="none" w:pos="3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 “Deemed Liquidation Event,” as such term is defined in our amended and restated certificate of incorporation (as currently in effect),</w:t>
      </w:r>
    </w:p>
    <w:p>
      <w:pPr>
        <w:spacing w:after="0" w:line="9" w:lineRule="exact"/>
        <w:rPr>
          <w:rFonts w:ascii="Times New Roman" w:cs="Times New Roman" w:eastAsia="Times New Roman" w:hAnsi="Times New Roman"/>
          <w:sz w:val="18"/>
          <w:szCs w:val="18"/>
          <w:color w:val="auto"/>
        </w:rPr>
      </w:pPr>
    </w:p>
    <w:p>
      <w:pPr>
        <w:ind w:left="120" w:right="120" w:hanging="4"/>
        <w:spacing w:after="0" w:line="253" w:lineRule="auto"/>
        <w:tabs>
          <w:tab w:leader="none" w:pos="38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date after the completion of this offering when each holder (A) together with its affiliates (as determined under Rule 144 of the Securities Act) holds less than 1% of our outstanding capital stock and (B) may immediately sell all registrable securities held by such holder pursuant to Rule 144 of the Securities Act without any volume limitations, or another similar exemption, during any three month period without registration, and (iii) the third anniversary of the completion of this offering.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Our Certificate of Incorporation and Bylaws and Delaware Law</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will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 and Filling Vacancies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for the division of our board of directors into three classes serving staggered three-year terms, with one class being elected each year. Our amended and restated certificate of incorporation also will provide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Written Consent of Stockholders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amended and restated bylaws or removal of directors by our stockholders without holding a meeting of stockholders.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Meetings of Stockholders</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will provide that only a majority of the members of our board of directors then in office may call special meetings of stockholders and only those matters set forth in the notice of the special meeting may be considered or acted upon at a special meeting of stockholders. Our amended and restated bylaws will limit the business that may be conducted at an annual meeting of stockholders to those matters properly brought before the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bylaws will establish advance notice procedures with regard to stockholder proposals relating to the nomination of candidates for election as directors or new business to be brought before meetings of our stockholders. These procedures will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amended and restated bylaws will specify the requirements as to form and content of all stockholders’ notices. These requirements may preclude stockholders from bringing matters before the stockholders at an annual or special meeting.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to Certificate of Incorporation and Bylaws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Any amendment to our amended and restated certificate of incorporation must first be approved by a majority of our board of directors and, if required by law or our amended and restated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and limitation of liability must be approved by not less than two-thirds of the outstanding shares entitled to vote on the amendment, and not less than two-thirds of the outstanding shares of each class entitled to vote thereon as a class. Our amended and restated bylaws may be amended by the affirmative vote of a majority of the directors then in office, subject to any limitations set forth in the amended and restated bylaws; and may also be amended by the affirmative vote of a majority of the outstanding shares entitled to vote on the amendment, voting together as a single class, except that the amendment of the provisions relating to notice of stockholder business and nominations and special meetings must be approved by not less than two-thirds of the outstanding shares entitled to vote on the amendment, and not less than two-thirds of the outstanding shares of each class entitled to vote thereon as a class, or, if our board of directors recommends that the stockholders approve the amendment, by the affirmative vote of the majority of the outstanding shares entitled to vote on the amendment, in each case voting together as a single class.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for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amended and restated certificate of incorporation will grant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Section 203 of the Delaware General Corporation Law</w:t>
      </w:r>
    </w:p>
    <w:p>
      <w:pPr>
        <w:spacing w:after="0" w:line="121"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Upon completion of this offering, we will be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85" w:lineRule="exact"/>
        <w:rPr>
          <w:sz w:val="20"/>
          <w:szCs w:val="20"/>
          <w:color w:val="auto"/>
        </w:rPr>
      </w:pPr>
    </w:p>
    <w:p>
      <w:pPr>
        <w:ind w:left="1080" w:hanging="424"/>
        <w:spacing w:after="0" w:line="282"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our board of directors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85"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131" w:lineRule="exact"/>
        <w:rPr>
          <w:sz w:val="20"/>
          <w:szCs w:val="20"/>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or other disposition involving the interested stockholder of 10% or more of the assets of the corporation;</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21"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Our amended and restated bylaws will provide that the Court of Chancery of the State of Delaware is the sole and exclusive forum for the following claims or causes of action under the Delaware statutory or common law: (i) any derivative action or proceeding brought on our behalf, (ii) any action asserting a claim of, or a claim based on, a breach of a fiduciary duty owed by any of our current or former directors, officers, or other employees or stockholders to us or our stockholders, (iii) any action asserting a claim arising pursuant to any provision of the DGCL or our amended and restated certificate of incorporation or amended and restated bylaws (including the interpretation, validity, or enforceability thereof) or as to which the DGCL confers jurisdiction on the Court of Chancery of the State of Delaware, or (iv) any action asserting a claim governed by the internal affairs doctrine.</w:t>
      </w:r>
    </w:p>
    <w:p>
      <w:pPr>
        <w:spacing w:after="0" w:line="17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However, Section 27 of the Exchange Act creates exclusive federal jurisdiction over all claims brought to enforce any duty or liability created by the Exchange Act or the rules and regulations thereunder. Consequently,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120"/>
          </w:cols>
          <w:pgMar w:left="320" w:top="455" w:right="4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this choice of forum provision would not apply to claims or causes of action brought to enforce a duty or liability created by the Exchange Act or any other claim for which the federal courts have exclusive jurisdiction or the Securities Act. Moreover, Section 22 of the Securities Act creates concurrent jurisdiction for federal and state courts over all claims brought to enforce any duty or liability created by the Securities Act or the rules and regulations thereunder.</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our amended and restated bylaws will provide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Additionally, our amended and restated bylaws will provide that any person or entity holding, owning or otherwise acquiring any interest in any of our securities shall be deemed to have notice of and consented to these provisions.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the section titled “Management—Limitations on Liability and Indemnification Agreements.”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currently not listed on any securities exchange. We have applied to have our common stock approved for listing on the Nasdaq Global Market under the symbol “SPTX.”</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On the completion of this offering, the transfer agent and registrar for our common stock will be        . The transfer agent’s address is        .</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120"/>
          </w:cols>
          <w:pgMar w:left="320" w:top="455" w:right="4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Future sales of substantial amounts of our common stock, including shares issued on the exercise of outstanding options, in the public market after this offering, or the possibility of these sales or issuances occurring, could adversely affect the prevailing market price for our common stock or impair our ability to raise equity capital. Although we have applied to list our common stock on the Nasdaq Global Market, we cannot assure you that there will be an active public market for our common stock.</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Following the completion of this offering, based on our shares outstanding as of December 31, 2025, a total of         shares of common stock will be outstanding, assuming no exercise of the underwriters’ option to purchase additional shares and no exercise of outstanding options. Of the outstanding shares, all of the shares sold in this offering will be freely tradable, except that any shares held by our affiliates, as that term is defined in Rule 144 under the Securities Act, may only be sold in compliance with the limitations described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public company reporting requirements of Section 13 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15(d) of the Exchange Act for at least 90 days, an eligible stockholder is entitled to sell such shares without complying with the manner of sale,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volume limitation, or notice provisions of Rule 144, subject to compliance with the public information requirements of Rule 144. To be an eligible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stockholder under Rule 144, such stockholder must not be deemed to have been one of our affiliates for purposes of the Securities Act at any time during</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90 days preceding a sale and must have beneficially owned the shares proposed to be sold for at least six months, including the holding period of 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prior owner other than our affiliates. If such a person has beneficially owned the shares proposed to be sold for at least one year, including the holding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period of any prior owner other than our affiliates, then such person is entitled to sell such shares without complying with any of the requirements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Rule 144, subject to the expiration of the lock-up agreements described below.</w:t>
      </w:r>
    </w:p>
    <w:p>
      <w:pPr>
        <w:spacing w:after="0" w:line="207"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on behalf of our affiliates are entitled to sell shares on expiration of the lock-up agreements described below. Beginning 90 days after the date of this prospectus, within any three-month period, such stockholders may sell a number of shares that does not exceed the greater of:</w:t>
      </w:r>
    </w:p>
    <w:p>
      <w:pPr>
        <w:spacing w:after="0" w:line="81" w:lineRule="exact"/>
        <w:rPr>
          <w:sz w:val="20"/>
          <w:szCs w:val="20"/>
          <w:color w:val="auto"/>
        </w:rPr>
      </w:pPr>
    </w:p>
    <w:p>
      <w:pPr>
        <w:ind w:left="1080" w:right="320" w:hanging="424"/>
        <w:spacing w:after="0" w:line="282"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common stock then outstanding, which will equal approximately         shares immediately after this offering, assuming no exercise of the underwriters’ option to purchase additional shares of common stock from us; or</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common stock on the Nasdaq Global Market during the four calendar weeks preceding the filing of a notice on Form 144 with respect to such sale.</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Rule 701 under the Securities Act, or 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140"/>
          </w:cols>
          <w:pgMar w:left="320" w:top="455" w:right="4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to wait until 90 days after the date of this prospectus before selling those shares under Rule 701, subject to the expiration of the lock-up agreements described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S-8 Registration Statements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with the SEC to register the offer and sale of shares of our common stock that are issuable under the 2024 Plan, the 2026 Plan, and the ESPP. These registration statements will become effective immediately upon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Arrangements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all of our directors and executive officers, and the holders of substantially all of our capital stock and securities convertible into or exchangeable for our capital stock have entered into lock-up agreements with the underwriters and/or are subject to market standoff agreements or other agreements with us, which prevents them from selling any of our common stock or any securities convertible into or exercisable or exchangeable for common stock for a period of not less than 180 days from the date of this prospectus without the prior written consent of        , subject to certain exceptions. For more information, see the section titled “Underwriting.”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Upon completion of this offering, certain holders of our securities will be entitled to various rights with respect to registration of their shares under the Securities Act. Registration of these shares under the Securities Act would result in these shares becoming fully tradable without restriction under the Securities Act immediately upon the effectiveness of the registration. For more information, see the section titled “Description of Capital Stock— Registration Rights.”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120"/>
          </w:cols>
          <w:pgMar w:left="320" w:top="455" w:right="45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FOR NON-U.S. HOLDERS</w:t>
      </w:r>
    </w:p>
    <w:p>
      <w:pPr>
        <w:spacing w:after="0" w:line="22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consequences to non-U.S. holders (as defined below) of the purchase, ownership, and disposition of our common stock issued pursuant to this offering. This discussion is based on the Internal Revenue Code of 1986, as amended, or the Code, Treasury Regulations promulgated thereunder, published rulings, and administrative pronouncements of the U.S. Internal Revenue Service, or IRS, and judicial decisions, all as in effect on the date hereof. These authorities are subject to differing interpretations and may change, possibly with retroactive effect,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89"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This discussion is limited to non-U.S. holders who purchase our common stock pursuant to this offering and who hold our common stock as a “capital asset” within the meaning of Section 1221 of the Code (generally, property held for investment). This discussion is not a complete analysis of all potential U.S. federal income tax consequences relating thereto, does not address the potential application of the Medicare contribution tax on net investment income, the alternative minimum tax, or the special tax accounting rules under Section 451(b) of the Code, and also does not address any U.S. federal non-income tax consequences, such as estate or gift tax consequences, or any tax consequences arising under any state, local, or non-U.S. tax laws. This discussion does not address all of the U.S. federal income tax consequences that may be relevant to a non-U.S. holder in light of such non-U.S. holder’s particular circumstances. This discussion also does not consider any specific facts or circumstances that may be relevant to non-U.S. holders subject to special rules under the U.S. federal income tax laws, including:</w:t>
      </w:r>
    </w:p>
    <w:p>
      <w:pPr>
        <w:spacing w:after="0" w:line="97" w:lineRule="exact"/>
        <w:rPr>
          <w:sz w:val="20"/>
          <w:szCs w:val="20"/>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pass-through or disregarded entities for U.S. federal income tax purposes (and investors therein);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mutual funds, financial institutions, investment funds, insurance companies, brokers, dealers, or traders in stock, securities, commodities or currencies;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and governmental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 our common stock through the exercise of an option or otherwise as compensation;</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have owned, actually or constructively, more than 5%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have elected to mark securities to market;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hedging or conversion transaction or straddle, or synthetic security or a constructive sale, or other risk reduction strategy or integrated investment.</w:t>
      </w:r>
    </w:p>
    <w:p>
      <w:pPr>
        <w:spacing w:after="0" w:line="162"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If an entity or arrangement that is classified as a partnership for U.S. federal income tax purposes holds our common stock, the U.S. federal income tax treatment of a partner in the partnership generally will depend on the status of the partner, the activities of the partnership and certain determinations made at the partner level. Partnerships holding our common stock and the partners in such partnerships are urged to consult their tax advisors about the particular U.S. federal income tax consequences to them of owning and disposing of our common stock.</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120"/>
          </w:cols>
          <w:pgMar w:left="320" w:top="455" w:right="4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NON-U.S. TAX LAWS AND ANY OTHER U.S. FEDERAL TAX LAWS OR UNDER ANY APPLICABLE INCOME TAX TREATY.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Definition of Non-U.S. Holder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our common stock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organization taxable as a corporation for U.S. federal income taxes that is not created or organized under the laws of the United States, any state thereof, or the District of Columbia;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trust or estate, the income of which is not subject to U.S. federal income tax on a net income basis.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 on Our Common Stock</w:t>
      </w:r>
    </w:p>
    <w:p>
      <w:pPr>
        <w:spacing w:after="0" w:line="11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As described under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we do not currently anticipate declaring or paying, for the foreseeable future, any distributions on our capital stock. However, if we were to distribute cash or other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then constitute a return of capital and will first be applied against and reduce a holder’s tax basis in our common stock, but not below zero. Any excess will be treated as gain realized on the sale or other disposition of our common stock and will be treated as described under “—Gain on sale or other taxable disposition of our common stock” below.</w:t>
      </w:r>
    </w:p>
    <w:p>
      <w:pPr>
        <w:spacing w:after="0" w:line="18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Subject to the discussions below regarding effectively connected income, backup withholding and FATCA (as defined below),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to us or our withholding agent with a timely and valid IRS Form W-8BEN (in the case of individuals) or IRS Form W-8BEN-E (in the case of entities), or other appropriate form, certifying such holder’s qualification for the reduced rate. This certification must be provided to us or our withholding agent before the payment of the dividends and must be updated periodically. If the non-U.S. holder holds our common stock through a financial institution or other agent acting on the non-U.S. holder’s behalf, the non-U.S. holder will be required to provide appropriate documentation to the agent, which then will be required to provide certification to us or our withholding agent, either directly or through other intermediaries.</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a non-U.S. holder holds our common stock in connection with the conduct of a trade or business in the United States, and dividends paid on our common stock are effectively connected with such holder’s U.S. trade or business (and, if required by an applicable tax treaty, are attributable to such holder’s permanent establishment or fixed base in the United States), such non-U.S. holder generally will be exempt from U.S. federal withholding tax. To claim the exemption, the non-U.S. holder generally must furnish a valid IRS Form W-8ECI (or applicable successor form), certifying that the dividends are effectively connected with the non-U.S. Holder’s conduct of a trade or business within the United States to the applicable withholding agent.</w:t>
      </w:r>
    </w:p>
    <w:p>
      <w:pPr>
        <w:spacing w:after="0" w:line="187"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However, any such effectively connected dividends paid on our common stock generally will be subject to U.S. federal income tax on a net income basis at the regular U.S. federal income tax rates in the same manner as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100"/>
          </w:cols>
          <w:pgMar w:left="320" w:top="455" w:right="47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40"/>
        <w:spacing w:after="0" w:line="282" w:lineRule="auto"/>
        <w:rPr>
          <w:sz w:val="20"/>
          <w:szCs w:val="20"/>
          <w:color w:val="auto"/>
        </w:rPr>
      </w:pPr>
      <w:r>
        <w:rPr>
          <w:rFonts w:ascii="Times New Roman" w:cs="Times New Roman" w:eastAsia="Times New Roman" w:hAnsi="Times New Roman"/>
          <w:sz w:val="18"/>
          <w:szCs w:val="18"/>
          <w:color w:val="auto"/>
        </w:rPr>
        <w:t>if such holder were a resident of the United States. A non-U.S. holder that is a corporation also may be subject to an additional branch profits tax equal to 30% (or such lower rate specified by an applicable income tax treaty) of its effectively connected dividends, as adjusted for certain items.</w:t>
      </w:r>
    </w:p>
    <w:p>
      <w:pPr>
        <w:spacing w:after="0" w:line="162"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Non-U.S. holders that do not provide the required certification on a timely basis, but that qualify for a reduced treaty rate, may obtain a refund or credit of any excess amounts withheld by timely filing an appropriate claim with the IRS. Non-U.S. holders should consult their tax advisors regarding any applicable income tax treaties that may provide for different rules.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Gain on Disposition of Our 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the discussions below regarding backup withholding and FATCA (as defined below), a non-U.S. holder generally will not be subject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 federal income tax on any gain realized on the sale or other taxable disposition of our common stock, unless:</w:t>
      </w:r>
    </w:p>
    <w:p>
      <w:pPr>
        <w:spacing w:after="0" w:line="112" w:lineRule="exact"/>
        <w:rPr>
          <w:sz w:val="20"/>
          <w:szCs w:val="20"/>
          <w:color w:val="auto"/>
        </w:rPr>
      </w:pPr>
    </w:p>
    <w:p>
      <w:pPr>
        <w:ind w:left="1080" w:right="300" w:hanging="424"/>
        <w:spacing w:after="0" w:line="266"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who is present in the United States for a period or periods aggregating 183 days or more during the taxable year of the disposition, and certain other requirements are met; or</w:t>
      </w:r>
    </w:p>
    <w:p>
      <w:pPr>
        <w:spacing w:after="0" w:line="67"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 and our common stock is not “regularly traded” on an “established securities market” within the meaning of applicable Treasury Regulations, during the calendar year in which the sale or other disposition occurs.</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180"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Gain described in the second bullet point above will be subject to U.S. federal income tax at a flat 30% rate (or such lower rate specified by an applicable income tax treaty), but may be offset by certain U.S.- source capital losses of the non-U.S. holder (even though the individual is not considered a resident of the United States), provided that the non-U.S. holder has timely filed U.S. federal income tax returns with respect to such losses.</w:t>
      </w:r>
    </w:p>
    <w:p>
      <w:pPr>
        <w:spacing w:after="0" w:line="158"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Determining whether we are a USRPHC depends on the fair market value of our United States real property interests relative to the fair market value of our worldwide real property interests and our other trade or business assets. We believe that we are not currently and we do not anticipate becoming a USRPHC for U.S. federal income tax purposes, although there can be no assurance we have not been, are not currently or will not in the future become a USRPHC. Even if we are treated as a USRPHC, gain realized by a non-U.S. holder on a disposition of our common stock will not be subject to U.S. federal income tax so long as (1) the non-U.S. holder owned, directly, indirectly and constructively, no more than 5% of our common stock at all times within the shorter of (a) the five-year period preceding the disposition or (b) the holder’s holding period and (2) our common stock is “regularly traded” on an “established securities market,” within the meaning of applicable Treasury Regulations. There can be no assurance that our common stock qualifies as regularly traded on an established securities market for purposes of the rules described above. Prospective investors are encouraged to consult their own tax advisors regarding the possible consequences to them if we have been, are or were to become a USRPHC.</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120"/>
          </w:cols>
          <w:pgMar w:left="320" w:top="455" w:right="45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Non-U.S. holders should consult their tax advisors regarding any applicable income tax treaties that may provide for different rules.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Annual reports are required to be filed with the IRS and provided to each non-U.S. holder indicating the amount of distributions on our common stock paid to such holder and the amount of any tax withheld with respect to those distributions. These information reporting requirements apply even if no withholding was required because the distributions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distributions on or the gross proceeds of a disposition of our common stock provided the non-U.S. holder furnishes the required certification for its non-U.S. status, such as by providing a valid IRS Form W-8BEN, IRS Form W-8BEN-E, or IRS Form W-8ECI, or otherwise establishes an exemption, and if the payor does not have actual knowledge, or reason to know, that the holder is a U.S. person who is not an exempt recipient.</w:t>
      </w:r>
    </w:p>
    <w:p>
      <w:pPr>
        <w:spacing w:after="0" w:line="18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Withholding on Foreign Entities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Sections 1471 through 1474 of the Code, which are commonly referred to as FATCA, impose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imposes a U.S. federal withholding tax of 30% on certain payments made to a “non-financial foreign entity” (as specially defined under these rules) unless such entity provides the withholding agent a certification that it does not have any “substantial United States owners” or provides information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common stock and would have applied also to payments of gross proceeds from the sale or other disposition of our common stock. However, proposed regulations under FATCA provide for the elimination of the federal withholding tax of 30% applicable to gross proceeds of a sale or other disposition of from property of a type that can produce U.S.-source dividends or interest. Under these proposed Treasury Regulations (which may be relied upon by taxpayers prior to finalization), FATCA withholding does not apply to gross proceeds from sales or other dispositions of our common stock.</w:t>
      </w:r>
    </w:p>
    <w:p>
      <w:pPr>
        <w:spacing w:after="0" w:line="18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Prospective investors are encouraged to consult with their tax advisors regarding the possible implications of FATCA on their investment in our common stock.</w:t>
      </w:r>
    </w:p>
    <w:p>
      <w:pPr>
        <w:spacing w:after="0" w:line="162" w:lineRule="exact"/>
        <w:rPr>
          <w:sz w:val="20"/>
          <w:szCs w:val="20"/>
          <w:color w:val="auto"/>
        </w:rPr>
      </w:pPr>
    </w:p>
    <w:p>
      <w:pPr>
        <w:ind w:left="120" w:right="420"/>
        <w:spacing w:after="0" w:line="261" w:lineRule="auto"/>
        <w:rPr>
          <w:sz w:val="20"/>
          <w:szCs w:val="20"/>
          <w:color w:val="auto"/>
        </w:rPr>
      </w:pPr>
      <w:r>
        <w:rPr>
          <w:rFonts w:ascii="Times New Roman" w:cs="Times New Roman" w:eastAsia="Times New Roman" w:hAnsi="Times New Roman"/>
          <w:sz w:val="18"/>
          <w:szCs w:val="18"/>
          <w:color w:val="auto"/>
        </w:rPr>
        <w:t>EACH PROSPECTIVE INVESTOR SHOULD CONSULT ITS TAX ADVISOR REGARDING THE TAX CONSEQUENCES OF ACQUIRING, OWNING, AND DISPOSING OF OUR COMMON STOCK, INCLUDING THE CONSEQUENCES OF ANY RECENT AND PROPOSED CHANGE IN APPLICABLE LAW, AS WELL AS TAX CONSEQUENCES ARISING UNDER ANY STATE, LOCAL, NON-U.S., OR U.S. FEDERAL NON-INCOME TAX LAWS.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120"/>
          </w:cols>
          <w:pgMar w:left="320" w:top="455" w:right="4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and the underwriters named below have entered into an underwriting agreement with respect to the shares being offered. Subject to certain conditions, each underwriter has severally agreed to purchase the number of shares indicated in the following table. Goldman Sachs &amp; Co. LLC, J.P. Morgan Securities LLC, and Leerink Partners LLC are the representatives of the underwriters.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9000" w:type="dxa"/>
            <w:vAlign w:val="bottom"/>
          </w:tcPr>
          <w:p>
            <w:pPr>
              <w:spacing w:after="0"/>
              <w:rPr>
                <w:sz w:val="16"/>
                <w:szCs w:val="16"/>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03"/>
        </w:trPr>
        <w:tc>
          <w:tcPr>
            <w:tcW w:w="98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Goldman Sachs &amp; Co. LLC</w:t>
            </w:r>
          </w:p>
        </w:tc>
        <w:tc>
          <w:tcPr>
            <w:tcW w:w="1120" w:type="dxa"/>
            <w:vAlign w:val="bottom"/>
            <w:tcBorders>
              <w:top w:val="single" w:sz="8" w:color="auto"/>
            </w:tcBorders>
            <w:shd w:val="clear" w:color="auto" w:fill="CCEEFF"/>
          </w:tcPr>
          <w:p>
            <w:pPr>
              <w:ind w:left="400"/>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Leerink Partners LLC</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tc>
        <w:tc>
          <w:tcPr>
            <w:tcW w:w="11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underwriters have an option to buy up to an additional         shares of our common stock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76"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shows the per share and total estimated underwriting discounts and commissions to be paid to the underwriters by us. Such amounts are shown assuming both no exercise and full exercise of the underwriters’ option to purchase         additional shares of our common stock from us.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 Exercise</w:t>
            </w:r>
          </w:p>
        </w:tc>
        <w:tc>
          <w:tcPr>
            <w:tcW w:w="280" w:type="dxa"/>
            <w:vAlign w:val="bottom"/>
          </w:tcPr>
          <w:p>
            <w:pPr>
              <w:spacing w:after="0"/>
              <w:rPr>
                <w:sz w:val="15"/>
                <w:szCs w:val="15"/>
                <w:color w:val="auto"/>
              </w:rPr>
            </w:pP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Full Exercise</w:t>
            </w:r>
          </w:p>
        </w:tc>
      </w:tr>
      <w:tr>
        <w:trPr>
          <w:trHeight w:val="209"/>
        </w:trPr>
        <w:tc>
          <w:tcPr>
            <w:tcW w:w="8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center"/>
              <w:ind w:right="39"/>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 xml:space="preserve">          </w:t>
            </w:r>
          </w:p>
        </w:tc>
        <w:tc>
          <w:tcPr>
            <w:tcW w:w="80" w:type="dxa"/>
            <w:vAlign w:val="bottom"/>
            <w:tcBorders>
              <w:top w:val="single" w:sz="8" w:color="CCEEFF"/>
            </w:tcBorders>
            <w:shd w:val="clear" w:color="auto" w:fill="CCEEFF"/>
          </w:tcPr>
          <w:p>
            <w:pPr>
              <w:spacing w:after="0"/>
              <w:rPr>
                <w:sz w:val="18"/>
                <w:szCs w:val="18"/>
                <w:color w:val="auto"/>
              </w:rPr>
            </w:pPr>
          </w:p>
        </w:tc>
      </w:tr>
      <w:tr>
        <w:trPr>
          <w:trHeight w:val="234"/>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179" w:lineRule="exact"/>
        <w:rPr>
          <w:sz w:val="20"/>
          <w:szCs w:val="20"/>
          <w:color w:val="auto"/>
        </w:rPr>
      </w:pPr>
    </w:p>
    <w:p>
      <w:pPr>
        <w:jc w:val="both"/>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and our officers, directors, and holders of substantially all of our common stock and securities convertible into or exchangeable for our common stock have agreed or will agree with the underwriters, subject to certain exceptions, not to dispose of or hedge any of our or their common stock or securities convertible into or exchangeable for shares of common stock, or collectively, the Lock-Up Securities, during the period from the date of this prospectus continuing through the date 180 days after the date of this prospectus, except with the prior written consent of        . This agreement does not apply to any existing employee benefit plans. See the section titled “Shares Available for Future Sale” for a discussion of certain transfer restrictions.</w:t>
      </w:r>
    </w:p>
    <w:p>
      <w:pPr>
        <w:spacing w:after="0" w:line="187"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Prior to the offering, there has been no public market for the shares of our common stock. The initial public offering price has been negotiated among us and the representatives. Among the factors to be considered in determining the initial public offering price of the shares, in addition to prevailing market conditions, will be our historical performance, estimates of the business potential and earnings prospects of us, an assessment of our management and the consideration of the above factors in relation to market valuation of companies in related businesses.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140"/>
          </w:cols>
          <w:pgMar w:left="320" w:top="455" w:right="4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applied to list our common stock on the Nasdaq Global Market under the symbol “SPTX.”</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our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p>
    <w:p>
      <w:pPr>
        <w:spacing w:after="0" w:line="183"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We estimate that our share of the total expenses of the offering, excluding the estimated underwriting discounts and commissions, will be approximately $        . We have agreed to reimburse the underwriters for certain of their expenses in an amount up to $        .</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agreed to indemnify the several underwriters against certain liabilities, including liabilities under the Securities Act of 1933.</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83"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100"/>
          </w:cols>
          <w:pgMar w:left="320" w:top="455" w:right="47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Directed Share Program</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At our request, the underwriters have reserved up to   % of the common stock offered by this prospectus for sale at the initial public offering price for sale at the initial public offering price to our directors, officers, certain employees and certain other persons associated with us. The sales will be made by        through a directed share program. We do not know if these persons will choose to purchase all or any portion of these reserved shares, but any purchases they do make will reduce the number of shares of common stock available to the general public. Any reserved shares not so purchased will be offered by the underwriters to the general public on the same terms as the other shares of common stock. Except for reserved shares purchased by our executive officers and directors, these reserved shares will not be subject to the lock-up restrictions described elsewhere in this prospectus.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European Economic Area</w:t>
      </w:r>
    </w:p>
    <w:p>
      <w:pPr>
        <w:spacing w:after="0" w:line="119"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In relation to each Member State of the EEA, or, each, a Relevant Member State, an offer to the public of any shares may not be made in that Relevant Member State, except that an offer to the public in that Relevant Member State of any shares may be made at any time under the following exemptions under the EU Prospectus Regulation:</w:t>
      </w:r>
    </w:p>
    <w:p>
      <w:pPr>
        <w:spacing w:after="0" w:line="81" w:lineRule="exact"/>
        <w:rPr>
          <w:sz w:val="20"/>
          <w:szCs w:val="20"/>
          <w:color w:val="auto"/>
        </w:rPr>
      </w:pPr>
    </w:p>
    <w:p>
      <w:pPr>
        <w:ind w:left="1080" w:hanging="532"/>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EU Prospectus Regulation;</w:t>
      </w:r>
    </w:p>
    <w:p>
      <w:pPr>
        <w:spacing w:after="0" w:line="130"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EU Prospectus Regulation), subject to obtaining the prior consent of the underwriters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EU Prospectus Regulation,</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provided that no such offer of shares shall result in a requirement for the Company or any of the underwriters to publish a prospectus pursuant to Article 3 of the Prospectus Regulation or a supplemental prospectus pursuant to Article 23 of the Prospectus Regulation and each person who initially acquires any shares or to whom any offer is made will be deemed to have represented, warranted and agreed to and with each of the underwriters and the Company that it is a qualified investor within the meaning of Article 2 of the EU Prospectus Regulation.</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1(4) of the EU Prospectus Regulation, each financial intermediary will also be deemed to have represented, warranted,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underwriters has been obtained to each such proposed offer or resale.</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 the underwriters and their affiliates will rely upon the truth and accuracy of the foregoing representations, warranties, and agreements. Notwithstanding the above, a person who is not a “qualified investor” and who has notified the underwriters of such fact in writing may, with the prior consent of the Notwithstanding the above, a person who is not a “qualified investor” and who has notified the underwriters of such fact in writing may, with the prior consent of the underwriters, be permitted to acquire shares in the offer.</w:t>
      </w:r>
    </w:p>
    <w:p>
      <w:pPr>
        <w:spacing w:after="0" w:line="180"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Relevant Member State means the communication in any form and by any means of sufficient information on the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080"/>
          </w:cols>
          <w:pgMar w:left="320" w:top="455" w:right="49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terms of the offer and any shares to be offered so as to enable an investor to decide to purchase or subscribe for any shares, and the expression “EU Prospectus Regulation” means Regulation (EU) 2017/1129.</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United Kingdom</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An offer to the public of any shares may not be made in the UK, except that an offer to the public in the UK of any shares may be made at any time under the following exemptions under the UK Prospectus Regulation:</w:t>
      </w:r>
    </w:p>
    <w:p>
      <w:pPr>
        <w:spacing w:after="0" w:line="67" w:lineRule="exact"/>
        <w:rPr>
          <w:sz w:val="20"/>
          <w:szCs w:val="20"/>
          <w:color w:val="auto"/>
        </w:rPr>
      </w:pPr>
    </w:p>
    <w:p>
      <w:pPr>
        <w:ind w:left="1080" w:hanging="532"/>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UK Prospectus Regulation;</w:t>
      </w:r>
    </w:p>
    <w:p>
      <w:pPr>
        <w:spacing w:after="0" w:line="130"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UK Prospectus Regulation), subject to obtaining the prior consent of the underwriters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as amended, or the FSMA,</w:t>
      </w:r>
    </w:p>
    <w:p>
      <w:pPr>
        <w:spacing w:after="0" w:line="225"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provided that no such offer of shares shall result in a requirement for the Company or any Bookrunner to publish a prospectus pursuant to section 85 of the FSMA or a supplemental prospectus pursuant to Article 23 of the UK Prospectus Regulation and each person who initially acquires any shares or to whom any offer is made will be deemed to have represented, warranted and agreed to and with each of the underwriters and the Company that it is a qualified investor within the meaning of Article 2 of the UK Prospectus Regulation.</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1(4) of the UK Prospectus Regulation, each financial intermediary will also be deemed to have represented, warranted,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the UK to qualified investors as so defined or in circumstances in which the prior consent of the underwriters has been obtained to each such proposed offer or resale.</w:t>
      </w:r>
    </w:p>
    <w:p>
      <w:pPr>
        <w:spacing w:after="0" w:line="183"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Company, the underwriters and their affiliates will rely upon the truth and accuracy of the foregoing representations, warranties, and agreements. Notwithstanding the above, a person who is not a “qualified investor” and who has notified the underwriters of such fact in writing may, with the prior consent of underwriters, be permitted to acquire shares in the offer.</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the UK means the communication in any form and by any means of sufficient information on the terms of the offer and any shares to be offered so as to enable an investor to decide to purchase or subscribe for any shares.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is only being distributed to and is only directed at: (A) persons who are outside the UK; or (B) qualified investors who are also</w:t>
      </w:r>
    </w:p>
    <w:p>
      <w:pPr>
        <w:spacing w:after="0" w:line="27" w:lineRule="exact"/>
        <w:rPr>
          <w:sz w:val="20"/>
          <w:szCs w:val="20"/>
          <w:color w:val="auto"/>
        </w:rPr>
      </w:pPr>
    </w:p>
    <w:p>
      <w:pPr>
        <w:ind w:left="120" w:right="60" w:hanging="4"/>
        <w:spacing w:after="0" w:line="265" w:lineRule="auto"/>
        <w:tabs>
          <w:tab w:leader="none" w:pos="335"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 professionals falling within Article 19(5) of the FSMA (Financial Promotion) Order 2005, or the Order, or (ii) high net worth companies, and other persons to whom it may lawfully be communicated, falling within Article 49(2)(a) to (d) of the Order, or, all such persons falling within (1)-</w:t>
      </w:r>
    </w:p>
    <w:p>
      <w:pPr>
        <w:ind w:left="120" w:right="3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 together being referred to as, relevant persons. The shares are only available to, and any invitation, offer, or agreement to subscribe, purchase, or otherwise acquire the shares will be engaged in only with, relevant persons. Any person who is not a relevant person should not act or rely on this Prospectus or any of its contents.</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Canada</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100"/>
          </w:cols>
          <w:pgMar w:left="320" w:top="455" w:right="47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Hong Kong</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3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Singapore</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8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080"/>
          </w:cols>
          <w:pgMar w:left="320" w:top="455" w:right="49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 a trust (where the trustee is not 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accredited investor (as defined in Section 4A of the SFA)) whose sole purpose is to hold investments and each beneficiary of the trust is an accredited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investor, the beneficiaries’ rights and interest (howsoever described) in that trust shall not be transferable for 6 months after that trust has acquired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under Section 275 of the SFA except: (1) to an institutional investor under Section 274 of the SFA or to a relevant person (as defined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275(2) of the SFA), (2) where such transfer arises from an offer that is made on terms that such rights or interest are acquired at a consideration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not less than $200,000 (or its equivalent in a foreign currency) for each transaction (whether such amount is to be paid for in cash or by exchange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or other assets), (3) where no consideration is or will be given for the transfer, (4) where the transfer is by operation of law, (5) as specified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276(7) of the SFA, or (6) as specified in Regulation 32.</w:t>
      </w:r>
    </w:p>
    <w:p>
      <w:pPr>
        <w:spacing w:after="0" w:line="3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Japan</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shares have not been and will not be registered under the Financial Instruments and Exchange Act of Japan (Act No. 25 of 1948, as amended), or the FIEA. The shares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Dubai International Financial Centre</w:t>
      </w:r>
    </w:p>
    <w:p>
      <w:pPr>
        <w:spacing w:after="0" w:line="11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Markets Rules 2012 of the Dubai Financial Services Authority, or the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of common stock to which this prospectus relates may be illiquid and/or subject to restrictions on their resale. Prospective purchasers of the shares of common stock offered should conduct their own due diligence on the shares of common stock. If you do not understand the contents of this prospectus you should consult an authorized financial advisor.</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Australia</w:t>
      </w:r>
    </w:p>
    <w:p>
      <w:pPr>
        <w:spacing w:after="0" w:line="11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offer in Australia of the shares of common stock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of common stock without disclosure to investors under Chapter 6D of the Corporations Act.</w:t>
      </w:r>
    </w:p>
    <w:p>
      <w:pPr>
        <w:spacing w:after="0" w:line="180"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The shares of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of common stock must observe such Australian on-sale restrictions.</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140"/>
          </w:cols>
          <w:pgMar w:left="320" w:top="455" w:right="4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Israel</w:t>
      </w:r>
    </w:p>
    <w:p>
      <w:pPr>
        <w:spacing w:after="0" w:line="11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This document does not constitute a prospectus under the Israeli Securities Law, 5728-1968, or the Israeli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Brazil</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offer and sale of the shares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or CVM Resolution 160, or unauthorized distribution under Brazilian laws and regulations. The shares may only be offered to Brazilian professional investors (as defined by applicable CVM regulation), who may only acquire the shares through a non-Brazilian account, with settlement outside Brazil in non-Brazilian currency. The trading of these shares on regulated securities markets in Brazil is prohibited.</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080"/>
          </w:cols>
          <w:pgMar w:left="320" w:top="455" w:right="49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shares of our common stock being offered in this prospectus will be passed upon for us by Goodwin Procter LLP. Certain legal matters in connection with this offering will be passed upon for the underwriters by Latham &amp; Watkins LLP, New York, New York.</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as of December 31, 2024 and for the year then ended included in this prospectus have been so included in reliance on the report of PricewaterhouseCoopers LLP, an independent registered public accounting firm, given on the authority of said firm as experts in auditing and accounting.</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We have filed with the SEC a registration statement on Form S-1 (File Number 333-        ) under the Securities Act with respect to the shares of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reports and other information about issuers, like us, that file electronically with the SEC. The address of that website is </w:t>
      </w:r>
      <w:r>
        <w:rPr>
          <w:rFonts w:ascii="Times New Roman" w:cs="Times New Roman" w:eastAsia="Times New Roman" w:hAnsi="Times New Roman"/>
          <w:sz w:val="18"/>
          <w:szCs w:val="18"/>
          <w:i w:val="1"/>
          <w:iCs w:val="1"/>
          <w:color w:val="auto"/>
        </w:rPr>
        <w:t>www.sec.gov/edgar.</w:t>
      </w:r>
    </w:p>
    <w:p>
      <w:pPr>
        <w:spacing w:after="0" w:line="188"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currently do not file periodic reports with the SEC. On the completion of this offering, we will be subject to the information reporting requirements of the Exchange Act, and we will file reports, proxy statements, and other information with the SEC. These reports, proxy statements and other information will be available for review at the website of the SEC referred to above.</w:t>
      </w:r>
    </w:p>
    <w:p>
      <w:pPr>
        <w:spacing w:after="0" w:line="17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also maintain a website at </w:t>
      </w:r>
      <w:r>
        <w:rPr>
          <w:rFonts w:ascii="Times New Roman" w:cs="Times New Roman" w:eastAsia="Times New Roman" w:hAnsi="Times New Roman"/>
          <w:sz w:val="18"/>
          <w:szCs w:val="18"/>
          <w:i w:val="1"/>
          <w:iCs w:val="1"/>
          <w:color w:val="auto"/>
        </w:rPr>
        <w:t>www.seaporttx.com</w:t>
      </w:r>
      <w:r>
        <w:rPr>
          <w:rFonts w:ascii="Times New Roman" w:cs="Times New Roman" w:eastAsia="Times New Roman" w:hAnsi="Times New Roman"/>
          <w:sz w:val="18"/>
          <w:szCs w:val="18"/>
          <w:color w:val="auto"/>
        </w:rPr>
        <w:t>. Information contained in, or accessible through, our website is not a part of this prospectus, and the inclusion of our website address in this prospectus is only as an inactive textual reference. Upon completion of this offering, you may access, free of charge, our annual reports on Form 10-K, quarterly reports on Form 10-Q, current reports on Form 8-K, and amendments to those reports filed or furnished pursuant to Section 13(a) or 15(d) of the Exchange Act as soon as reasonably practicable after such material is electronically filed with, or furnished to, the SEC.</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120"/>
          </w:cols>
          <w:pgMar w:left="320" w:top="455" w:right="459" w:bottom="1440" w:gutter="0" w:footer="0" w:header="0"/>
        </w:sectPr>
      </w:pPr>
    </w:p>
    <w:bookmarkStart w:id="237" w:name="page238"/>
    <w:bookmarkEnd w:id="237"/>
    <w:tbl>
      <w:tblPr>
        <w:tblLayout w:type="fixed"/>
        <w:tblInd w:w="0" w:type="dxa"/>
        <w:tblCellMar>
          <w:top w:w="0" w:type="dxa"/>
          <w:left w:w="0" w:type="dxa"/>
          <w:bottom w:w="0" w:type="dxa"/>
          <w:right w:w="0" w:type="dxa"/>
        </w:tblCellMar>
      </w:tblPr>
      <w:tr>
        <w:trPr>
          <w:trHeight w:val="207"/>
        </w:trPr>
        <w:tc>
          <w:tcPr>
            <w:tcW w:w="95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58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580" w:type="dxa"/>
            <w:vAlign w:val="bottom"/>
            <w:gridSpan w:val="5"/>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w w:val="99"/>
              </w:rPr>
              <w:t>INDEX TO THE CONSOLIDATED FINANCIAL STATEMENTS</w:t>
            </w:r>
          </w:p>
        </w:tc>
        <w:tc>
          <w:tcPr>
            <w:tcW w:w="158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 as of and for the Year Ended December 31, 2024</w:t>
            </w:r>
          </w:p>
        </w:tc>
        <w:tc>
          <w:tcPr>
            <w:tcW w:w="1580" w:type="dxa"/>
            <w:vAlign w:val="bottom"/>
          </w:tcPr>
          <w:p>
            <w:pPr>
              <w:spacing w:after="0"/>
              <w:rPr>
                <w:sz w:val="24"/>
                <w:szCs w:val="24"/>
                <w:color w:val="auto"/>
              </w:rPr>
            </w:pPr>
          </w:p>
        </w:tc>
      </w:tr>
      <w:tr>
        <w:trPr>
          <w:trHeight w:val="486"/>
        </w:trPr>
        <w:tc>
          <w:tcPr>
            <w:tcW w:w="120" w:type="dxa"/>
            <w:vAlign w:val="bottom"/>
          </w:tcPr>
          <w:p>
            <w:pPr>
              <w:spacing w:after="0"/>
              <w:rPr>
                <w:sz w:val="24"/>
                <w:szCs w:val="24"/>
                <w:color w:val="auto"/>
              </w:rPr>
            </w:pPr>
          </w:p>
        </w:tc>
        <w:tc>
          <w:tcPr>
            <w:tcW w:w="42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5160" w:type="dxa"/>
            <w:vAlign w:val="bottom"/>
            <w:gridSpan w:val="3"/>
          </w:tcPr>
          <w:p>
            <w:pPr>
              <w:spacing w:after="0"/>
              <w:rPr>
                <w:sz w:val="24"/>
                <w:szCs w:val="24"/>
                <w:color w:val="auto"/>
              </w:rPr>
            </w:pPr>
          </w:p>
        </w:tc>
        <w:tc>
          <w:tcPr>
            <w:tcW w:w="158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5"/>
              </w:rPr>
              <w:t>F-2</w:t>
            </w:r>
          </w:p>
        </w:tc>
      </w:tr>
      <w:tr>
        <w:trPr>
          <w:trHeight w:val="263"/>
        </w:trPr>
        <w:tc>
          <w:tcPr>
            <w:tcW w:w="120" w:type="dxa"/>
            <w:vAlign w:val="bottom"/>
          </w:tcPr>
          <w:p>
            <w:pPr>
              <w:spacing w:after="0"/>
              <w:rPr>
                <w:sz w:val="22"/>
                <w:szCs w:val="22"/>
                <w:color w:val="auto"/>
              </w:rPr>
            </w:pPr>
          </w:p>
        </w:tc>
        <w:tc>
          <w:tcPr>
            <w:tcW w:w="20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Consolidated Balance Sheet</w:t>
            </w:r>
          </w:p>
        </w:tc>
        <w:tc>
          <w:tcPr>
            <w:tcW w:w="7360" w:type="dxa"/>
            <w:vAlign w:val="bottom"/>
            <w:gridSpan w:val="6"/>
          </w:tcPr>
          <w:p>
            <w:pPr>
              <w:spacing w:after="0"/>
              <w:rPr>
                <w:sz w:val="22"/>
                <w:szCs w:val="22"/>
                <w:color w:val="auto"/>
              </w:rPr>
            </w:pPr>
          </w:p>
        </w:tc>
        <w:tc>
          <w:tcPr>
            <w:tcW w:w="158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5"/>
              </w:rPr>
              <w:t>F-3</w:t>
            </w:r>
          </w:p>
        </w:tc>
      </w:tr>
      <w:tr>
        <w:trPr>
          <w:trHeight w:val="264"/>
        </w:trPr>
        <w:tc>
          <w:tcPr>
            <w:tcW w:w="120" w:type="dxa"/>
            <w:vAlign w:val="bottom"/>
          </w:tcPr>
          <w:p>
            <w:pPr>
              <w:spacing w:after="0"/>
              <w:rPr>
                <w:sz w:val="22"/>
                <w:szCs w:val="22"/>
                <w:color w:val="auto"/>
              </w:rPr>
            </w:pPr>
          </w:p>
        </w:tc>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 of Operations and Comprehensive Loss</w:t>
            </w:r>
          </w:p>
        </w:tc>
        <w:tc>
          <w:tcPr>
            <w:tcW w:w="158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120" w:type="dxa"/>
            <w:vAlign w:val="bottom"/>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 of Convertible Preferred Stock and Stockholders’ Deficit</w:t>
            </w:r>
          </w:p>
        </w:tc>
        <w:tc>
          <w:tcPr>
            <w:tcW w:w="158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5"/>
              </w:rPr>
              <w:t>F-5</w:t>
            </w:r>
          </w:p>
        </w:tc>
      </w:tr>
      <w:tr>
        <w:trPr>
          <w:trHeight w:val="263"/>
        </w:trPr>
        <w:tc>
          <w:tcPr>
            <w:tcW w:w="120" w:type="dxa"/>
            <w:vAlign w:val="bottom"/>
          </w:tcPr>
          <w:p>
            <w:pPr>
              <w:spacing w:after="0"/>
              <w:rPr>
                <w:sz w:val="22"/>
                <w:szCs w:val="22"/>
                <w:color w:val="auto"/>
              </w:rPr>
            </w:pPr>
          </w:p>
        </w:tc>
        <w:tc>
          <w:tcPr>
            <w:tcW w:w="28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Consolidated Statement of Cash Flows</w:t>
            </w:r>
          </w:p>
        </w:tc>
        <w:tc>
          <w:tcPr>
            <w:tcW w:w="3060" w:type="dxa"/>
            <w:vAlign w:val="bottom"/>
            <w:tcBorders>
              <w:top w:val="single" w:sz="8" w:color="0000EE"/>
            </w:tcBorders>
            <w:gridSpan w:val="4"/>
          </w:tcPr>
          <w:p>
            <w:pPr>
              <w:spacing w:after="0"/>
              <w:rPr>
                <w:sz w:val="22"/>
                <w:szCs w:val="22"/>
                <w:color w:val="auto"/>
              </w:rPr>
            </w:pPr>
          </w:p>
        </w:tc>
        <w:tc>
          <w:tcPr>
            <w:tcW w:w="3520" w:type="dxa"/>
            <w:vAlign w:val="bottom"/>
          </w:tcPr>
          <w:p>
            <w:pPr>
              <w:spacing w:after="0"/>
              <w:rPr>
                <w:sz w:val="22"/>
                <w:szCs w:val="22"/>
                <w:color w:val="auto"/>
              </w:rPr>
            </w:pPr>
          </w:p>
        </w:tc>
        <w:tc>
          <w:tcPr>
            <w:tcW w:w="158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5"/>
              </w:rPr>
              <w:t>F-6</w:t>
            </w:r>
          </w:p>
        </w:tc>
      </w:tr>
      <w:tr>
        <w:trPr>
          <w:trHeight w:val="263"/>
        </w:trPr>
        <w:tc>
          <w:tcPr>
            <w:tcW w:w="120" w:type="dxa"/>
            <w:vAlign w:val="bottom"/>
          </w:tcPr>
          <w:p>
            <w:pPr>
              <w:spacing w:after="0"/>
              <w:rPr>
                <w:sz w:val="22"/>
                <w:szCs w:val="22"/>
                <w:color w:val="auto"/>
              </w:rPr>
            </w:pPr>
          </w:p>
        </w:tc>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58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5"/>
              </w:rPr>
              <w:t>F-7</w:t>
            </w:r>
          </w:p>
        </w:tc>
      </w:tr>
      <w:tr>
        <w:trPr>
          <w:trHeight w:val="385"/>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80" w:type="dxa"/>
            <w:vAlign w:val="bottom"/>
            <w:gridSpan w:val="2"/>
          </w:tcPr>
          <w:p>
            <w:pPr>
              <w:jc w:val="center"/>
              <w:ind w:right="2980"/>
              <w:spacing w:after="0"/>
              <w:rPr>
                <w:sz w:val="20"/>
                <w:szCs w:val="20"/>
                <w:color w:val="auto"/>
              </w:rPr>
            </w:pPr>
            <w:r>
              <w:rPr>
                <w:rFonts w:ascii="Times New Roman" w:cs="Times New Roman" w:eastAsia="Times New Roman" w:hAnsi="Times New Roman"/>
                <w:sz w:val="18"/>
                <w:szCs w:val="18"/>
                <w:color w:val="auto"/>
                <w:w w:val="95"/>
              </w:rPr>
              <w:t>F-1</w:t>
            </w:r>
          </w:p>
        </w:tc>
        <w:tc>
          <w:tcPr>
            <w:tcW w:w="15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Board of Directors and Stockholders of Seaport Therapeutics,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21" w:lineRule="exact"/>
        <w:rPr>
          <w:sz w:val="20"/>
          <w:szCs w:val="20"/>
          <w:color w:val="auto"/>
        </w:rPr>
      </w:pPr>
    </w:p>
    <w:p>
      <w:pPr>
        <w:ind w:left="120" w:right="80"/>
        <w:spacing w:after="0" w:line="277"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 of Seaport Therapeutics, Inc. and its subsidiaries (the “Company”) as of December 31, 2024, and the related consolidated statements of operations and comprehensive loss, of convertible preferred stock and stockholders’ deficit and of cash flows for the year then ended, including the related notes (collectively referred to as the “consolidated financial statements”). In our opinion, the consolidated financial statements present fairly, in all material respects, the financial position of the Company as of December 31, 2024, and the results of its operations and its cash flows for the year then ended in conformity with accounting principles generally accepted in the United States of America.</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21" w:lineRule="exact"/>
        <w:rPr>
          <w:sz w:val="20"/>
          <w:szCs w:val="20"/>
          <w:color w:val="auto"/>
        </w:rPr>
      </w:pPr>
    </w:p>
    <w:p>
      <w:pPr>
        <w:ind w:left="120" w:right="46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conducted our audit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7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March 31, 2025, except for the segment information discussed in Note 2 and the effects of disclosing net loss per share information discussed in Note 15 to the consolidated financial statements, as to which the date is November 21, 2025</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20"/>
          </w:cols>
          <w:pgMar w:left="320" w:top="455" w:right="45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0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Seaport Therapeutics, Inc.</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06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share and per share amounts)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10060" w:type="dxa"/>
            <w:vAlign w:val="bottom"/>
          </w:tcPr>
          <w:p>
            <w:pPr>
              <w:spacing w:after="0"/>
              <w:rPr>
                <w:sz w:val="24"/>
                <w:szCs w:val="24"/>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00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309,099</w:t>
            </w:r>
          </w:p>
        </w:tc>
        <w:tc>
          <w:tcPr>
            <w:tcW w:w="0" w:type="dxa"/>
            <w:vAlign w:val="bottom"/>
          </w:tcPr>
          <w:p>
            <w:pPr>
              <w:spacing w:after="0"/>
              <w:rPr>
                <w:sz w:val="1"/>
                <w:szCs w:val="1"/>
                <w:color w:val="auto"/>
              </w:rPr>
            </w:pPr>
          </w:p>
        </w:tc>
      </w:tr>
      <w:tr>
        <w:trPr>
          <w:trHeight w:val="223"/>
        </w:trPr>
        <w:tc>
          <w:tcPr>
            <w:tcW w:w="10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assets—operating leases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deficit</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party payable</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10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23"/>
        </w:trPr>
        <w:tc>
          <w:tcPr>
            <w:tcW w:w="10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A-1 convertible preferred stock, par value $0.0001; 40,000,000 shares authorized, issued, and outstanding as of December 31,</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 liquidation preference of $4,000 as of December 31, 2024.</w:t>
            </w:r>
          </w:p>
        </w:tc>
        <w:tc>
          <w:tcPr>
            <w:tcW w:w="160" w:type="dxa"/>
            <w:vAlign w:val="bottom"/>
          </w:tcPr>
          <w:p>
            <w:pPr>
              <w:spacing w:after="0"/>
              <w:rPr>
                <w:sz w:val="20"/>
                <w:szCs w:val="20"/>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10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A-2 convertible preferred stock, par value $0.0001; 26,342,102 shares authorized, issued and outstanding as of December 31,</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 liquidation preference of $100,100 as of December 31, 2024.</w:t>
            </w:r>
          </w:p>
        </w:tc>
        <w:tc>
          <w:tcPr>
            <w:tcW w:w="16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99,757</w:t>
            </w:r>
          </w:p>
        </w:tc>
        <w:tc>
          <w:tcPr>
            <w:tcW w:w="0" w:type="dxa"/>
            <w:vAlign w:val="bottom"/>
          </w:tcPr>
          <w:p>
            <w:pPr>
              <w:spacing w:after="0"/>
              <w:rPr>
                <w:sz w:val="1"/>
                <w:szCs w:val="1"/>
                <w:color w:val="auto"/>
              </w:rPr>
            </w:pPr>
          </w:p>
        </w:tc>
      </w:tr>
      <w:tr>
        <w:trPr>
          <w:trHeight w:val="198"/>
        </w:trPr>
        <w:tc>
          <w:tcPr>
            <w:tcW w:w="10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B convertible preferred stock, par value $0.0001; 47,578,938 shares authorized as of December 31, 2024; 47,578,934 shares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as of December 31, 2024; liquidation preference of $226,000 as of December 31, 2024.</w:t>
            </w:r>
          </w:p>
        </w:tc>
        <w:tc>
          <w:tcPr>
            <w:tcW w:w="16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225,571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0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par value $0.0001; 159,070,000 shares authorized as of December 31, 2024; 8,150,000 shares issued and</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60" w:type="dxa"/>
            <w:vAlign w:val="bottom"/>
          </w:tcPr>
          <w:p>
            <w:pPr>
              <w:spacing w:after="0"/>
              <w:rPr>
                <w:sz w:val="20"/>
                <w:szCs w:val="20"/>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14,378</w:t>
            </w:r>
          </w:p>
        </w:tc>
        <w:tc>
          <w:tcPr>
            <w:tcW w:w="0" w:type="dxa"/>
            <w:vAlign w:val="bottom"/>
          </w:tcPr>
          <w:p>
            <w:pPr>
              <w:spacing w:after="0"/>
              <w:rPr>
                <w:sz w:val="1"/>
                <w:szCs w:val="1"/>
                <w:color w:val="auto"/>
              </w:rPr>
            </w:pPr>
          </w:p>
        </w:tc>
      </w:tr>
      <w:tr>
        <w:trPr>
          <w:trHeight w:val="216"/>
        </w:trPr>
        <w:tc>
          <w:tcPr>
            <w:tcW w:w="10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(39,228)</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(24,849)</w:t>
            </w:r>
          </w:p>
        </w:tc>
        <w:tc>
          <w:tcPr>
            <w:tcW w:w="0" w:type="dxa"/>
            <w:vAlign w:val="bottom"/>
          </w:tcPr>
          <w:p>
            <w:pPr>
              <w:spacing w:after="0"/>
              <w:rPr>
                <w:sz w:val="1"/>
                <w:szCs w:val="1"/>
                <w:color w:val="auto"/>
              </w:rPr>
            </w:pPr>
          </w:p>
        </w:tc>
      </w:tr>
      <w:tr>
        <w:trPr>
          <w:trHeight w:val="223"/>
        </w:trPr>
        <w:tc>
          <w:tcPr>
            <w:tcW w:w="100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 convertible preferred stock and stockholders’ deficit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315,777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8840" w:type="dxa"/>
            <w:vAlign w:val="bottom"/>
          </w:tcPr>
          <w:p>
            <w:pPr>
              <w:spacing w:after="0"/>
              <w:rPr>
                <w:sz w:val="13"/>
                <w:szCs w:val="13"/>
                <w:color w:val="auto"/>
              </w:rPr>
            </w:pPr>
          </w:p>
        </w:tc>
        <w:tc>
          <w:tcPr>
            <w:tcW w:w="960" w:type="dxa"/>
            <w:vAlign w:val="bottom"/>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884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220" w:type="dxa"/>
            <w:vAlign w:val="bottom"/>
            <w:tcBorders>
              <w:bottom w:val="single" w:sz="8" w:color="CCEEFF"/>
            </w:tcBorders>
          </w:tcPr>
          <w:p>
            <w:pPr>
              <w:spacing w:after="0"/>
              <w:rPr>
                <w:sz w:val="12"/>
                <w:szCs w:val="12"/>
                <w:color w:val="auto"/>
              </w:rPr>
            </w:pPr>
          </w:p>
        </w:tc>
        <w:tc>
          <w:tcPr>
            <w:tcW w:w="88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0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6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Research and development (including stock-based compensation of $0.7 million) </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25,070</w:t>
            </w:r>
          </w:p>
        </w:tc>
        <w:tc>
          <w:tcPr>
            <w:tcW w:w="0" w:type="dxa"/>
            <w:vAlign w:val="bottom"/>
          </w:tcPr>
          <w:p>
            <w:pPr>
              <w:spacing w:after="0"/>
              <w:rPr>
                <w:sz w:val="1"/>
                <w:szCs w:val="1"/>
                <w:color w:val="auto"/>
              </w:rPr>
            </w:pPr>
          </w:p>
        </w:tc>
      </w:tr>
      <w:tr>
        <w:trPr>
          <w:trHeight w:val="216"/>
        </w:trPr>
        <w:tc>
          <w:tcPr>
            <w:tcW w:w="1006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General and administrative (including stock-based compensation of $15.2 million) </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27,346</w:t>
            </w:r>
          </w:p>
        </w:tc>
        <w:tc>
          <w:tcPr>
            <w:tcW w:w="0" w:type="dxa"/>
            <w:vAlign w:val="bottom"/>
          </w:tcPr>
          <w:p>
            <w:pPr>
              <w:spacing w:after="0"/>
              <w:rPr>
                <w:sz w:val="1"/>
                <w:szCs w:val="1"/>
                <w:color w:val="auto"/>
              </w:rPr>
            </w:pPr>
          </w:p>
        </w:tc>
      </w:tr>
      <w:tr>
        <w:trPr>
          <w:trHeight w:val="230"/>
        </w:trPr>
        <w:tc>
          <w:tcPr>
            <w:tcW w:w="10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(52,416)</w:t>
            </w:r>
          </w:p>
        </w:tc>
        <w:tc>
          <w:tcPr>
            <w:tcW w:w="0" w:type="dxa"/>
            <w:vAlign w:val="bottom"/>
          </w:tcPr>
          <w:p>
            <w:pPr>
              <w:spacing w:after="0"/>
              <w:rPr>
                <w:sz w:val="1"/>
                <w:szCs w:val="1"/>
                <w:color w:val="auto"/>
              </w:rPr>
            </w:pPr>
          </w:p>
        </w:tc>
      </w:tr>
      <w:tr>
        <w:trPr>
          <w:trHeight w:val="216"/>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5,537</w:t>
            </w:r>
          </w:p>
        </w:tc>
        <w:tc>
          <w:tcPr>
            <w:tcW w:w="0" w:type="dxa"/>
            <w:vAlign w:val="bottom"/>
          </w:tcPr>
          <w:p>
            <w:pPr>
              <w:spacing w:after="0"/>
              <w:rPr>
                <w:sz w:val="1"/>
                <w:szCs w:val="1"/>
                <w:color w:val="auto"/>
              </w:rPr>
            </w:pPr>
          </w:p>
        </w:tc>
      </w:tr>
      <w:tr>
        <w:trPr>
          <w:trHeight w:val="230"/>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(46,879)</w:t>
            </w:r>
          </w:p>
        </w:tc>
        <w:tc>
          <w:tcPr>
            <w:tcW w:w="0" w:type="dxa"/>
            <w:vAlign w:val="bottom"/>
          </w:tcPr>
          <w:p>
            <w:pPr>
              <w:spacing w:after="0"/>
              <w:rPr>
                <w:sz w:val="1"/>
                <w:szCs w:val="1"/>
                <w:color w:val="auto"/>
              </w:rPr>
            </w:pPr>
          </w:p>
        </w:tc>
      </w:tr>
      <w:tr>
        <w:trPr>
          <w:trHeight w:val="223"/>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(46,879)</w:t>
            </w:r>
          </w:p>
        </w:tc>
        <w:tc>
          <w:tcPr>
            <w:tcW w:w="0" w:type="dxa"/>
            <w:vAlign w:val="bottom"/>
          </w:tcPr>
          <w:p>
            <w:pPr>
              <w:spacing w:after="0"/>
              <w:rPr>
                <w:sz w:val="1"/>
                <w:szCs w:val="1"/>
                <w:color w:val="auto"/>
              </w:rPr>
            </w:pPr>
          </w:p>
        </w:tc>
      </w:tr>
      <w:tr>
        <w:trPr>
          <w:trHeight w:val="20"/>
        </w:trPr>
        <w:tc>
          <w:tcPr>
            <w:tcW w:w="100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6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7"/>
              </w:rPr>
              <w:t>2,961,543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8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400" w:hanging="424"/>
        <w:spacing w:after="0" w:line="261"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$14.2 million for research and development expense for the year ended December 31, 2024. See Note 16— Related Parties.</w:t>
      </w:r>
    </w:p>
    <w:p>
      <w:pPr>
        <w:ind w:left="540" w:right="460" w:hanging="424"/>
        <w:spacing w:after="0" w:line="260"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$5.8 million for general and administrative expense for the year ended December 31, 2024. See Note 16—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 of Convertible Preferred Stock and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37"/>
        </w:trPr>
        <w:tc>
          <w:tcPr>
            <w:tcW w:w="1580" w:type="dxa"/>
            <w:vAlign w:val="bottom"/>
          </w:tcPr>
          <w:p>
            <w:pPr>
              <w:spacing w:after="0"/>
              <w:rPr>
                <w:sz w:val="3"/>
                <w:szCs w:val="3"/>
                <w:color w:val="auto"/>
              </w:rPr>
            </w:pPr>
          </w:p>
        </w:tc>
        <w:tc>
          <w:tcPr>
            <w:tcW w:w="1080" w:type="dxa"/>
            <w:vAlign w:val="bottom"/>
            <w:gridSpan w:val="3"/>
            <w:vMerge w:val="restart"/>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Series A-1</w:t>
            </w: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Series A-2</w:t>
            </w: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15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580" w:type="dxa"/>
            <w:vAlign w:val="bottom"/>
          </w:tcPr>
          <w:p>
            <w:pPr>
              <w:spacing w:after="0"/>
              <w:rPr>
                <w:sz w:val="13"/>
                <w:szCs w:val="13"/>
                <w:color w:val="auto"/>
              </w:rPr>
            </w:pPr>
          </w:p>
        </w:tc>
        <w:tc>
          <w:tcPr>
            <w:tcW w:w="1080" w:type="dxa"/>
            <w:vAlign w:val="bottom"/>
            <w:gridSpan w:val="3"/>
          </w:tcPr>
          <w:p>
            <w:pPr>
              <w:jc w:val="center"/>
              <w:ind w:left="201"/>
              <w:spacing w:after="0" w:line="160"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5"/>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520" w:type="dxa"/>
            <w:vAlign w:val="bottom"/>
            <w:tcBorders>
              <w:right w:val="single" w:sz="8" w:color="auto"/>
            </w:tcBorders>
            <w:gridSpan w:val="4"/>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Series B Convertible</w:t>
            </w:r>
          </w:p>
        </w:tc>
        <w:tc>
          <w:tcPr>
            <w:tcW w:w="60" w:type="dxa"/>
            <w:vAlign w:val="bottom"/>
          </w:tcPr>
          <w:p>
            <w:pPr>
              <w:spacing w:after="0"/>
              <w:rPr>
                <w:sz w:val="13"/>
                <w:szCs w:val="13"/>
                <w:color w:val="auto"/>
              </w:rPr>
            </w:pPr>
          </w:p>
        </w:tc>
        <w:tc>
          <w:tcPr>
            <w:tcW w:w="128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Parent</w:t>
            </w:r>
          </w:p>
        </w:tc>
        <w:tc>
          <w:tcPr>
            <w:tcW w:w="6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80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3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tcPr>
          <w:p>
            <w:pPr>
              <w:spacing w:after="0"/>
              <w:rPr>
                <w:sz w:val="14"/>
                <w:szCs w:val="14"/>
                <w:color w:val="auto"/>
              </w:rPr>
            </w:pPr>
          </w:p>
        </w:tc>
        <w:tc>
          <w:tcPr>
            <w:tcW w:w="15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520" w:type="dxa"/>
            <w:vAlign w:val="bottom"/>
            <w:tcBorders>
              <w:right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60" w:type="dxa"/>
            <w:vAlign w:val="bottom"/>
          </w:tcPr>
          <w:p>
            <w:pPr>
              <w:spacing w:after="0"/>
              <w:rPr>
                <w:sz w:val="14"/>
                <w:szCs w:val="14"/>
                <w:color w:val="auto"/>
              </w:rPr>
            </w:pPr>
          </w:p>
        </w:tc>
        <w:tc>
          <w:tcPr>
            <w:tcW w:w="128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760" w:type="dxa"/>
            <w:vAlign w:val="bottom"/>
            <w:tcBorders>
              <w:top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760" w:type="dxa"/>
            <w:vAlign w:val="bottom"/>
            <w:tcBorders>
              <w:top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right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2"/>
                <w:szCs w:val="12"/>
                <w:color w:val="auto"/>
              </w:rPr>
            </w:pPr>
          </w:p>
        </w:tc>
        <w:tc>
          <w:tcPr>
            <w:tcW w:w="8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80" w:type="dxa"/>
            <w:vAlign w:val="bottom"/>
          </w:tcPr>
          <w:p>
            <w:pPr>
              <w:spacing w:after="0"/>
              <w:rPr>
                <w:sz w:val="12"/>
                <w:szCs w:val="12"/>
                <w:color w:val="auto"/>
              </w:rPr>
            </w:pPr>
          </w:p>
        </w:tc>
        <w:tc>
          <w:tcPr>
            <w:tcW w:w="5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67"/>
        </w:trPr>
        <w:tc>
          <w:tcPr>
            <w:tcW w:w="158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right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91"/>
              </w:rPr>
              <w:t>— </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— </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w w:val="91"/>
              </w:rPr>
              <w:t>— </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91"/>
              </w:rPr>
              <w:t>— </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(6,462)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91"/>
              </w:rPr>
              <w:t>— </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(6,462)</w:t>
            </w:r>
          </w:p>
        </w:tc>
        <w:tc>
          <w:tcPr>
            <w:tcW w:w="0" w:type="dxa"/>
            <w:vAlign w:val="bottom"/>
          </w:tcPr>
          <w:p>
            <w:pPr>
              <w:spacing w:after="0"/>
              <w:rPr>
                <w:sz w:val="1"/>
                <w:szCs w:val="1"/>
                <w:color w:val="auto"/>
              </w:rPr>
            </w:pPr>
          </w:p>
        </w:tc>
      </w:tr>
      <w:tr>
        <w:trPr>
          <w:trHeight w:val="189"/>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Seaport</w:t>
            </w:r>
          </w:p>
        </w:tc>
        <w:tc>
          <w:tcPr>
            <w:tcW w:w="76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— </w:t>
            </w:r>
          </w:p>
        </w:tc>
        <w:tc>
          <w:tcPr>
            <w:tcW w:w="80" w:type="dxa"/>
            <w:vAlign w:val="bottom"/>
          </w:tcPr>
          <w:p>
            <w:pPr>
              <w:spacing w:after="0"/>
              <w:rPr>
                <w:sz w:val="18"/>
                <w:szCs w:val="18"/>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6"/>
                <w:szCs w:val="16"/>
                <w:color w:val="auto"/>
                <w:w w:val="91"/>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91"/>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(9,714)</w:t>
            </w:r>
          </w:p>
        </w:tc>
        <w:tc>
          <w:tcPr>
            <w:tcW w:w="8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(9,714)</w:t>
            </w:r>
          </w:p>
        </w:tc>
        <w:tc>
          <w:tcPr>
            <w:tcW w:w="0" w:type="dxa"/>
            <w:vAlign w:val="bottom"/>
          </w:tcPr>
          <w:p>
            <w:pPr>
              <w:spacing w:after="0"/>
              <w:rPr>
                <w:sz w:val="1"/>
                <w:szCs w:val="1"/>
                <w:color w:val="auto"/>
              </w:rPr>
            </w:pPr>
          </w:p>
        </w:tc>
      </w:tr>
      <w:tr>
        <w:trPr>
          <w:trHeight w:val="192"/>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transfers from</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PureTech Health plc</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prior to formation</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— </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w w:val="91"/>
              </w:rPr>
              <w:t>— 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91"/>
              </w:rPr>
              <w:t>— 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Stock-based</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compensation</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expense allocated</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from PureTech</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Health plc</w:t>
            </w:r>
          </w:p>
        </w:tc>
        <w:tc>
          <w:tcPr>
            <w:tcW w:w="76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— </w:t>
            </w:r>
          </w:p>
        </w:tc>
        <w:tc>
          <w:tcPr>
            <w:tcW w:w="80" w:type="dxa"/>
            <w:vAlign w:val="bottom"/>
          </w:tcPr>
          <w:p>
            <w:pPr>
              <w:spacing w:after="0"/>
              <w:rPr>
                <w:sz w:val="18"/>
                <w:szCs w:val="18"/>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6"/>
                <w:szCs w:val="16"/>
                <w:color w:val="auto"/>
                <w:w w:val="91"/>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91"/>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9"/>
              </w:rPr>
              <w:t>146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 to PureTech</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Health plc upon</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formation</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— </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w w:val="91"/>
              </w:rPr>
              <w:t>— 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91"/>
              </w:rPr>
              <w:t>— 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9"/>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and Series A-1</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convertible preferred</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to PureTech</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Health plc upon</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Asset Transfer</w:t>
            </w:r>
          </w:p>
        </w:tc>
        <w:tc>
          <w:tcPr>
            <w:tcW w:w="76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7"/>
              </w:rPr>
              <w:t>40,000,000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— </w:t>
            </w:r>
          </w:p>
        </w:tc>
        <w:tc>
          <w:tcPr>
            <w:tcW w:w="80" w:type="dxa"/>
            <w:vAlign w:val="bottom"/>
          </w:tcPr>
          <w:p>
            <w:pPr>
              <w:spacing w:after="0"/>
              <w:rPr>
                <w:sz w:val="18"/>
                <w:szCs w:val="18"/>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6"/>
                <w:szCs w:val="16"/>
                <w:color w:val="auto"/>
                <w:w w:val="91"/>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91"/>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949,000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2"/>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Reclassification of net</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investments from</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PureTech Health plc</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— </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w w:val="91"/>
              </w:rPr>
              <w:t>— 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91"/>
              </w:rPr>
              <w:t>— 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(2,063)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9"/>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Series A-2</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convertible preferred</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net of</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issuance costs of</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$343</w:t>
            </w:r>
          </w:p>
        </w:tc>
        <w:tc>
          <w:tcPr>
            <w:tcW w:w="76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— </w:t>
            </w:r>
          </w:p>
        </w:tc>
        <w:tc>
          <w:tcPr>
            <w:tcW w:w="8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26,342,102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99,757</w:t>
            </w:r>
          </w:p>
        </w:tc>
        <w:tc>
          <w:tcPr>
            <w:tcW w:w="76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91"/>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2"/>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Series B</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convertible preferred</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 net of</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issuance costs of</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$429</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— </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w w:val="91"/>
              </w:rPr>
              <w:t>— 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7"/>
              </w:rPr>
              <w:t>47,578,934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225,571</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9"/>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w:t>
            </w:r>
          </w:p>
        </w:tc>
        <w:tc>
          <w:tcPr>
            <w:tcW w:w="76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— </w:t>
            </w:r>
          </w:p>
        </w:tc>
        <w:tc>
          <w:tcPr>
            <w:tcW w:w="80" w:type="dxa"/>
            <w:vAlign w:val="bottom"/>
          </w:tcPr>
          <w:p>
            <w:pPr>
              <w:spacing w:after="0"/>
              <w:rPr>
                <w:sz w:val="18"/>
                <w:szCs w:val="18"/>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6"/>
                <w:szCs w:val="16"/>
                <w:color w:val="auto"/>
                <w:w w:val="91"/>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91"/>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950,000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2"/>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restricted</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— </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w w:val="91"/>
              </w:rPr>
              <w:t>— 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91"/>
              </w:rPr>
              <w:t>— 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6,250,000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74"/>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Stock-based</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compensation</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expense</w:t>
            </w:r>
          </w:p>
        </w:tc>
        <w:tc>
          <w:tcPr>
            <w:tcW w:w="76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— </w:t>
            </w:r>
          </w:p>
        </w:tc>
        <w:tc>
          <w:tcPr>
            <w:tcW w:w="80" w:type="dxa"/>
            <w:vAlign w:val="bottom"/>
          </w:tcPr>
          <w:p>
            <w:pPr>
              <w:spacing w:after="0"/>
              <w:rPr>
                <w:sz w:val="18"/>
                <w:szCs w:val="18"/>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6"/>
                <w:szCs w:val="16"/>
                <w:color w:val="auto"/>
                <w:w w:val="91"/>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91"/>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5"/>
              </w:rPr>
              <w:t>14,378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— </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w w:val="91"/>
              </w:rPr>
              <w:t>— </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91"/>
              </w:rPr>
              <w:t>— </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(37,165)</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(37,165)</w:t>
            </w:r>
          </w:p>
        </w:tc>
        <w:tc>
          <w:tcPr>
            <w:tcW w:w="0" w:type="dxa"/>
            <w:vAlign w:val="bottom"/>
          </w:tcPr>
          <w:p>
            <w:pPr>
              <w:spacing w:after="0"/>
              <w:rPr>
                <w:sz w:val="1"/>
                <w:szCs w:val="1"/>
                <w:color w:val="auto"/>
              </w:rPr>
            </w:pPr>
          </w:p>
        </w:tc>
      </w:tr>
      <w:tr>
        <w:trPr>
          <w:trHeight w:val="194"/>
        </w:trPr>
        <w:tc>
          <w:tcPr>
            <w:tcW w:w="1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w:t>
            </w: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5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76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7"/>
              </w:rPr>
              <w:t>40,000,000</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 </w:t>
            </w:r>
          </w:p>
        </w:tc>
        <w:tc>
          <w:tcPr>
            <w:tcW w:w="8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26,342,102</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99,757</w:t>
            </w:r>
          </w:p>
        </w:tc>
        <w:tc>
          <w:tcPr>
            <w:tcW w:w="76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7"/>
              </w:rPr>
              <w:t>47,578,934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225,571</w:t>
            </w:r>
          </w:p>
        </w:tc>
        <w:tc>
          <w:tcPr>
            <w:tcW w:w="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8,150,000</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74"/>
              </w:rPr>
              <w:t>1</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5"/>
              </w:rPr>
              <w:t>14,378</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(39,228)</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(24,849)</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24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9"/>
              </w:rPr>
              <w:t>Seaport Therapeutics, Inc.</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9"/>
              </w:rPr>
              <w:t>Consolidated Statement of Cash Flows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24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8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8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24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(46,879)</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14,524</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expense</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Related party payable</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8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transfers from PureTech Health plc</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13,967</w:t>
            </w:r>
          </w:p>
        </w:tc>
        <w:tc>
          <w:tcPr>
            <w:tcW w:w="0" w:type="dxa"/>
            <w:vAlign w:val="bottom"/>
          </w:tcPr>
          <w:p>
            <w:pPr>
              <w:spacing w:after="0"/>
              <w:rPr>
                <w:sz w:val="1"/>
                <w:szCs w:val="1"/>
                <w:color w:val="auto"/>
              </w:rPr>
            </w:pPr>
          </w:p>
        </w:tc>
      </w:tr>
      <w:tr>
        <w:trPr>
          <w:trHeight w:val="216"/>
        </w:trPr>
        <w:tc>
          <w:tcPr>
            <w:tcW w:w="824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Proceeds from the issuance of Series A-2 convertible preferred stock </w:t>
            </w:r>
            <w:r>
              <w:rPr>
                <w:rFonts w:ascii="Times New Roman" w:cs="Times New Roman" w:eastAsia="Times New Roman" w:hAnsi="Times New Roman"/>
                <w:sz w:val="25"/>
                <w:szCs w:val="25"/>
                <w:color w:val="auto"/>
                <w:vertAlign w:val="superscript"/>
              </w:rPr>
              <w:t>(1)</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100,100</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issuance costs associated with issuance of Series A-2 convertible preferred stock</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6"/>
        </w:trPr>
        <w:tc>
          <w:tcPr>
            <w:tcW w:w="824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Proceeds from the issuance of Series B convertible preferred stock </w:t>
            </w:r>
            <w:r>
              <w:rPr>
                <w:rFonts w:ascii="Times New Roman" w:cs="Times New Roman" w:eastAsia="Times New Roman" w:hAnsi="Times New Roman"/>
                <w:sz w:val="25"/>
                <w:szCs w:val="25"/>
                <w:color w:val="auto"/>
                <w:vertAlign w:val="superscript"/>
              </w:rPr>
              <w:t>(2)</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226,000</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issuance costs associated with issuance of Series B convertible preferred stock</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30"/>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339,295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309,553</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1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309,553</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operating, financing, and investing information:</w:t>
            </w:r>
          </w:p>
        </w:tc>
        <w:tc>
          <w:tcPr>
            <w:tcW w:w="1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lease liabilities</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proceeds from certain related parties of $32.0 million. See Note 16—Related Parties.</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proceeds from certain related parties of $16.7 million. See Note 16—Related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560" w:right="6140" w:hanging="444"/>
        <w:spacing w:after="0" w:line="378" w:lineRule="auto"/>
        <w:tabs>
          <w:tab w:leader="none" w:pos="30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NATURE OF BUSINESS AND BASIS OF PRESENTATION </w:t>
      </w:r>
      <w:r>
        <w:rPr>
          <w:rFonts w:ascii="Times New Roman" w:cs="Times New Roman" w:eastAsia="Times New Roman" w:hAnsi="Times New Roman"/>
          <w:sz w:val="18"/>
          <w:szCs w:val="18"/>
          <w:b w:val="1"/>
          <w:bCs w:val="1"/>
          <w:i w:val="1"/>
          <w:iCs w:val="1"/>
          <w:color w:val="auto"/>
        </w:rPr>
        <w:t>Background</w:t>
      </w:r>
    </w:p>
    <w:p>
      <w:pPr>
        <w:jc w:val="both"/>
        <w:ind w:left="120" w:right="620" w:firstLine="440"/>
        <w:spacing w:after="0" w:line="266" w:lineRule="auto"/>
        <w:rPr>
          <w:sz w:val="20"/>
          <w:szCs w:val="20"/>
          <w:color w:val="auto"/>
        </w:rPr>
      </w:pPr>
      <w:r>
        <w:rPr>
          <w:rFonts w:ascii="Times New Roman" w:cs="Times New Roman" w:eastAsia="Times New Roman" w:hAnsi="Times New Roman"/>
          <w:sz w:val="18"/>
          <w:szCs w:val="18"/>
          <w:color w:val="auto"/>
        </w:rPr>
        <w:t>Seaport Therapeutics, Inc., and its consolidated subsidiaries, Seaport or the Company, is a clinical-stage therapeutics company focused on inventing and developing medicines for patients with depression, anxiety, and other debilitating neuropsychiatric disorders using the Company’s proprietary Glyph Platform.</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accompanying financial statements include the historical financial position, results of operations, and comprehensive loss, convertible preferred stock and stockholders’ deficit, and cash flows of the Glyph platform business, or the Seaport Business, which was a business of PureTech Health plc and its consolidated subsidiaries, or PureTech, a public company incorporated, domiciled and registered in the United Kingdom. The Seaport Business was historically managed as part of PureTech prior to the completion of the spin-off of the Seaport Business from PureTech in April 2024, pursuant to the Asset Transfer Agreement (as defined below). The Company, which holds the assets, liabilities, and operations associated with the Seaport Business, was incorporated under the laws of the State of Delaware as SP Therapeutics, Inc. on April 1, 2024, and changed its name to Seaport Therapeutics, Inc. on April 2, 2024. Its wholly owned subsidiary, SPTX, Inc. (“SPTX”), was a previously created entity in February 2024 under the laws of the State of Delaware under the name Seaport Therapeutics, Inc. and changed its name to SPTX, Inc. in April 2024. In April 2024, the Company entered into a share exchange agreement with SPTX, which resulted in SPTX becoming the Company’s wholly owned subsidiary. See Note 9— Common Stock, for further disclosure regarding the share exchange with SPTX.</w:t>
      </w:r>
    </w:p>
    <w:p>
      <w:pPr>
        <w:spacing w:after="0" w:line="19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completion of preclinical studies and clinical trials, obtaining regulatory approvals for product candidates, dependence on key personnel, protection of intellectual property, compliance with government regulations, and ability to secure capital necessary to fund operations. Product candidates currently under development by the Company will require significant additional research and development efforts, including preclinical and clinical development, and regulatory approval prior to commercialization. There can be no assurance that the Company’s research and development efforts will be successfully completed, that any product candidates developed will obtain necessary government regulatory approval, or that any products, if approved, will be commercially viable. The Company operates in an environment of rapid technological innovation and substantial competition from pharmaceutical and biotechnology companies. Even if the Company’s product development efforts are successful, it is uncertain when, if ever, the Company will realize significant product revenue from product sales.</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Asset Transfer and Series A Financing</w:t>
      </w:r>
    </w:p>
    <w:p>
      <w:pPr>
        <w:spacing w:after="0" w:line="12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The Company was incorporated in April 2024 by PureTech LYT Inc., or PureTech LYT, a wholly owned subsidiary of PureTech, as the sole stockholder, and the Company issued 1,000 shares of its common stock to PureTech LYT. On April 8, 2024, or the Asset Transfer Date, the Company entered into the Asset Transfer Agreement with PureTech Health LLC, or PureTech Health, and PureTech LYT, pursuant to which PureTech Health and PureTech LYT, agreed to contribute, convey, assign, transfer, and deliver to the Company all of its right, title, and interest in, to and under the assets related to its Glyph technology and products, or the Asset Transfer. As consideration, the Company issued to PureTech LYT 40,000,000 shares of its Series A-1 convertible preferred stock and 949,000 shares of its common stock on the Asset Transfer Date, and also agreed to contingent payments to PureTech upon successful development and commercialization of products developed using the Glyph platform, each of which is referred to as a Seaport Glyph Product, including; (i) low single digit tiered royalties; (ii) milestone payments up to $15.0 million upon achievement of specified milestones; and</w:t>
      </w:r>
    </w:p>
    <w:p>
      <w:pPr>
        <w:ind w:left="120" w:right="100" w:hanging="4"/>
        <w:spacing w:after="0" w:line="260" w:lineRule="auto"/>
        <w:tabs>
          <w:tab w:leader="none" w:pos="43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percentage of net income generated by the Company from third parties on any products licensed under agreements which were transferred as part of the Asset Transfer Agreement.</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55" w:right="45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The Company determined that the Asset Transfer and related spin-off transaction represented the transfer of a business between entities under common control. As a result, the net liabilities were transferred from PureTech to the Company at PureTech’s carrying amounts on the Asset Transfer Date, and the Company ascribed a nil value to the Series A-1 convertible preferred stock and common stock issued to PureTech Health and PureTech LYT. The consolidated financial statements for the period prior to the Asset Transfer Date, were prepared on a “carve-out” basis from the consolidated financial statements of PureTech to represent Seaport Business’ financial position, results of operations, changes in net parent investment and cash flows as if the Seaport Business existed on a standalone basis. Effective April 8, 2024, the Company’s financial statements are presented on a consolidated basis, as PureTech Health and PureTech LYT completed the transfer of the Seaport Business on such date. The audited financial statements for the year presented, including the historical results of the Company prior to April 8, 2024, are referred to as the consolidated financial statements.</w:t>
      </w:r>
    </w:p>
    <w:p>
      <w:pPr>
        <w:spacing w:after="0" w:line="17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Concurrently, upon entry into the Asset Transfer Agreement, the Company entered into a stock purchase agreement with PureTech LYT and other third-party investors, pursuant to which the Company issued and sold shares of its Series A-2 convertible preferred stock, or the Series A Financing, and together with the Asset Transfer, the Transaction. Subsequent to the Transaction, PureTech LYT remained the controlling investor of the Company, until the completion of the Company’s Series B convertible preferred stock financing, or the Series B Financing (as further discussed herein), in October 2024. The Series B Financing resulted in a decrease to PureTech LYT’s fully diluted ownership, resulting in PureTech LYT no longer maintaining a controlling interest in the Company. See Note 8—Convertible Preferred Stock, for further disclosure regarding issuances of the Company’s convertible preferred stock.</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or GAAP. These consolidated financial statements include the accounts of Seaport Therapeutics, Inc. and its wholly owned subsidiaries. All intercompany transactions and balances have been eliminated in consolidation.</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For the period prior to the Transaction, the accompanying consolidated financial statements of the Company have been prepared on a standalone basis and are derived from PureTech’s consolidated financial statements and accounting records. The consolidated financial statements reflect PureTech’s historical accounting policies, adjusting for differences between International Financial Reporting Standards and GAAP as appropriate. These consolidated financial statements do not purport to reflect what the Company’s results of operations, financial position, or cash flows would have been had the Company operated as a standalone company during the period prior to the Transaction, nor are they indicative of the Company’s future results of operations, financial position, or cash flows.</w:t>
      </w:r>
    </w:p>
    <w:p>
      <w:pPr>
        <w:spacing w:after="0" w:line="187"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As the Company’s operations were not historically conducted by a single legal entity, net parent investment is shown in lieu of stockholders’ equity in the historical consolidated financial statements for the period prior to the Transaction. Net parent investment represents the cumulative investment by PureTech in the Seaport Business through the Transaction date, inclusive of operating results. All transactions between the Seaport Business and PureTech were effectively settled in the consolidated financial statements at the time the Transaction was recorded. The effects of the settlement of such transactions between the Seaport Business and PureTech are reflected in the consolidated statement of cash flows as “Net transfers from PureTech Health plc” within financing activities and in the statement of convertible preferred stock and stockholders’ deficit as “Net parent investment.”</w:t>
      </w:r>
    </w:p>
    <w:p>
      <w:pPr>
        <w:spacing w:after="0" w:line="189"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Company was dependent upon PureTech for all of its working capital and financing requirements through the date of the Transaction. PureTech used a centralized approach for cash management and the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00"/>
          </w:cols>
          <w:pgMar w:left="320" w:top="455" w:right="47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financing of its operations. There were no cash amounts specifically attributable to the Seaport Business prior to the Transaction; therefore, cash and cash equivalents were excluded in the consolidated financial statements prior to the Transaction.</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of the Company include, for the period prior to the Transaction, the assets, liabilities, and expenses of PureTech that Seaport management determined were specifically identifiable to the Seaport Business and its related programs, as well as indirect costs that are not specifically identifiable to the Seaport Business or its related programs but are deemed necessary to operate as a standalone entity. The assets and liabilities in the consolidated financial statements for the period prior to the Transaction were recorded based on their legal title or related to the exclusive use of the Seaport Business. Shared assets were not included on the consolidated balance sheet, but costs reflecting the use of such assets by the Seaport Business were reflected in the consolidated statement of operations and comprehensive loss. Indirect costs are the costs of support functions that are provided on a centralized basis by PureTech prior to the Transaction, which include, but are not limited to, facilities, information technology, insurance, quality, compliance, finance, human resources, legal, corporate strategy, corporate governance, and other general and administrative type functions.</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of the Company also include, for the period prior to the Transaction, indirect costs that have been allocated to the Seaport Business for the purposes of preparing the consolidated financial statements based on proportional cost allocation methods using headcount, proportional time spent, and other organizational activities, as applicable, which were considered to be reasonable reflections of the utilization of services provided to or benefit received by the Seaport Business for the period prior to the Transaction. Seaport management considers that such allocations were made on a reasonable basis; however, these allocations may not necessarily be indicative of the costs that would have been incurred if the Seaport Business had operated on a standalone basis for the full year ended December 31, 2024 and, therefore, may not be indicative of the Company’s results of operations, financial position, and cash flows had the Company operated as a standalone entity prior to the Transaction. See Note 16—Related Parties, for additional information regarding related-party transactions with PureTech.</w:t>
      </w:r>
    </w:p>
    <w:p>
      <w:pPr>
        <w:spacing w:after="0" w:line="19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2024, PureTech continued to provide various research and development and corporate services under the transition services agreement, or the TSA, which was initially set to terminate one year following the date of the Asset Transfer Agreement. In 2025, the TSA was amended to extend through July 2026 to provide ad-hoc support; however, the value of services to be provided under the amended TSA are expected to be de minimis.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21" w:lineRule="exact"/>
        <w:rPr>
          <w:sz w:val="20"/>
          <w:szCs w:val="20"/>
          <w:color w:val="auto"/>
        </w:rPr>
      </w:pPr>
    </w:p>
    <w:p>
      <w:pPr>
        <w:ind w:left="120" w:right="260" w:firstLine="440"/>
        <w:spacing w:after="0" w:line="312" w:lineRule="auto"/>
        <w:rPr>
          <w:sz w:val="20"/>
          <w:szCs w:val="20"/>
          <w:color w:val="auto"/>
        </w:rPr>
      </w:pPr>
      <w:r>
        <w:rPr>
          <w:rFonts w:ascii="Times New Roman" w:cs="Times New Roman" w:eastAsia="Times New Roman" w:hAnsi="Times New Roman"/>
          <w:sz w:val="17"/>
          <w:szCs w:val="17"/>
          <w:color w:val="auto"/>
        </w:rPr>
        <w:t>Management has evaluated whether there are certain conditions and events, considered in the aggregate, that raise substantial doubt about the Company’s ability to continue as a going concern within one year after the date that the consolidated financial statements were available to be issued.</w:t>
      </w:r>
    </w:p>
    <w:p>
      <w:pPr>
        <w:spacing w:after="0" w:line="140"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Company’s ability to fund operations and capital needs depended on funding from PureTech through the date of the Transaction. The Company’s future operations will be dependent on its ability to raise additional capital to finance such operations.</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has incurred losses and negative cash flows from operations, including a net loss of $46.9 million for the year ended December 31, 2024, and cash flows used in operations of $29.6 million for the year ended December 31, 2024. The Company expects to continue to generate operating losses and negative cash flows for the foreseeable future as the Company continues to develop its product candidates.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55" w:right="45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assuming it will continue as a going concern, which presumes it will continue in operation for the foreseeable future and will be able to realize its assets and discharge its liabilities and commitments in the ordinary course of business. The Company believes its cash and cash equivalents of $309.1 million as of December 31, 2024 will be sufficient to fund its expected operating expenses and capital expenditure requirements for at least 12 months from the date these consolidated financial statements were available to be issued.</w:t>
      </w:r>
    </w:p>
    <w:p>
      <w:pPr>
        <w:spacing w:after="0" w:line="183"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Until such time that the Company can generate significant product revenue, if ever, the Company expects to fund its operations through equity offerings or debt financings, credit or loan facilities, collaborations, out-license arrangements, other capital resources, or a combination of one or more of these funding sources. The terms of any financing may adversely affect the holdings or the rights of the Company’s stockholders. The Company’s failure to raise or secure capital as and when needed could have a negative impact on its financial condition and its ability to pursue its business strategies. If adequate funds are not available to the Company, the Company may be required to delay, reduce, or eliminate clinical programs, obtain funds through arrangements with collaborators on terms unfavorable to the Company, or pursue merger or acquisition strategies. There can be no assurances the Company will be able to obtain additional funding. There is no assurance that the Company will be successful in obtaining sufficient capital on acceptable terms to fund continuing operations, if at all.</w:t>
      </w:r>
    </w:p>
    <w:p>
      <w:pPr>
        <w:spacing w:after="0" w:line="296" w:lineRule="exact"/>
        <w:rPr>
          <w:sz w:val="20"/>
          <w:szCs w:val="20"/>
          <w:color w:val="auto"/>
        </w:rPr>
      </w:pPr>
    </w:p>
    <w:p>
      <w:pPr>
        <w:ind w:left="560" w:right="6120" w:hanging="444"/>
        <w:spacing w:after="0" w:line="378" w:lineRule="auto"/>
        <w:tabs>
          <w:tab w:leader="none" w:pos="30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Use of Estimates</w:t>
      </w: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and assumptions that affect the reported amounts of assets and liabilities and disclosure of contingent assets and liabilities as of the date of the consolidated financial statements and the reported amounts of expenses during the reporting year presented. Management of the Company evaluates its estimates which include, but are not limited to, accrued research and development expenses and stock-based compensation expense for periods after the Transaction. For the period before the Transaction, Management included allocations of direct expenses and indirect expenses, such as personnel-related expenses, including stock-based compensation, facility, information technology and other general overhead expenses from PureTech. The Company based its estimates on the historical experience of PureTech and on various other assumptions that are believed to be reasonable. Actual results may differ from these estimates under different assumptions or conditions.</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considers all highly liquid investments that are readily convertible into cash with original maturities of three months or less at the date of purchase to be cash equivalents. The Company invests excess cash primarily in overnight cash sweeps and money market funds which are highly liquid and have high credit ratings. Such investments are subject to minimal credit and market risks. The Company classifies all cash of which use is limited by contractual provisions as restricted cash. Restricted cash is recorded on the consolidated balance sheet as of December 31, 2024 within other non-current assets and includes amounts held as a security deposit for a letter of credit in connection with leased facilities and its corporate card program.</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00"/>
          </w:cols>
          <w:pgMar w:left="320" w:top="455" w:right="47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90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Seaport Therapeutics, Inc.</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990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9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Company’s cash and cash equivalents, and restricted cash as of (in thousands):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7"/>
        </w:trPr>
        <w:tc>
          <w:tcPr>
            <w:tcW w:w="9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9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r>
      <w:tr>
        <w:trPr>
          <w:trHeight w:val="209"/>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309,099</w:t>
            </w: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within other non-current assets</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454</w:t>
            </w:r>
          </w:p>
        </w:tc>
      </w:tr>
      <w:tr>
        <w:trPr>
          <w:trHeight w:val="27"/>
        </w:trPr>
        <w:tc>
          <w:tcPr>
            <w:tcW w:w="9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 per the consolidated statement of cash flows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309,553</w:t>
            </w:r>
          </w:p>
        </w:tc>
      </w:tr>
      <w:tr>
        <w:trPr>
          <w:trHeight w:val="20"/>
        </w:trPr>
        <w:tc>
          <w:tcPr>
            <w:tcW w:w="9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7"/>
          <w:szCs w:val="17"/>
          <w:color w:val="auto"/>
        </w:rPr>
        <w:t>Financial instruments that potentially expose the Company to significant concentrations of credit risk consist primarily of cash and cash equivalents. All of the Company’s cash, cash equivalents, and restricted cash are deposited in accounts with major financial institutions. Such deposits are in excess of the federally insured limits. The Company invests its excess cash, in line with its investment policy, in money market funds. The Company does not believe that it is subject to unusual credit risk beyond the normal credit risk associated with commercial banking relationships.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Accounting Standards Codification, or ASC, Topic 820, Fair Value Measurement, or ASC 820, identifies fair value as the exchange price, or exit price, representing the amount that would be received to sell an asset or paid to transfer a liability in an orderly transaction between market participants, or in the absence of a principal market, the most advantageous market for the investment or liability. As a basis for considering market participant assumptions in fair value measurements, ASC 820 establishes a three-tier fair value hierarchy that gives the highest priority to unadjusted quoted prices in active markets for identical assets or liabilities (Level 1) and the lowest priority to unobservable inputs (Level 3). The three levels of the fair value hierarchy are as follows:</w:t>
      </w:r>
    </w:p>
    <w:p>
      <w:pPr>
        <w:spacing w:after="0" w:line="93" w:lineRule="exact"/>
        <w:rPr>
          <w:sz w:val="20"/>
          <w:szCs w:val="20"/>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inputs other than quoted prices included within Level 1 that are observable for the asset or liability, either directly or indirectly.</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that reflect the Company’s own assumptions about the assumptions market participants would use in pricing the asset or liability.</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40"/>
          </w:cols>
          <w:pgMar w:left="320" w:top="455" w:right="4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consists of lab equipment and leasehold improvements. Depreciation of property and equipment are calculated using the straight-line method over the estimated useful lives of the assets. Significant replacements and improvements are capitalized, while maintenance and repairs, which do not improve or extend the life of the respective assets, are charged to expense as incurred. The estimated useful lives of the Company’s respective assets are as follows: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0" w:type="dxa"/>
            <w:vAlign w:val="bottom"/>
          </w:tcPr>
          <w:p>
            <w:pPr>
              <w:spacing w:after="0"/>
              <w:rPr>
                <w:sz w:val="1"/>
                <w:szCs w:val="1"/>
                <w:color w:val="auto"/>
              </w:rPr>
            </w:pPr>
          </w:p>
        </w:tc>
      </w:tr>
      <w:tr>
        <w:trPr>
          <w:trHeight w:val="191"/>
        </w:trPr>
        <w:tc>
          <w:tcPr>
            <w:tcW w:w="5840" w:type="dxa"/>
            <w:vAlign w:val="bottom"/>
            <w:vMerge w:val="continue"/>
          </w:tcPr>
          <w:p>
            <w:pPr>
              <w:spacing w:after="0"/>
              <w:rPr>
                <w:sz w:val="16"/>
                <w:szCs w:val="16"/>
                <w:color w:val="auto"/>
              </w:rPr>
            </w:pPr>
          </w:p>
        </w:tc>
        <w:tc>
          <w:tcPr>
            <w:tcW w:w="51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lesser of 5 years or the remaining term of the lease</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Upon retirement or disposal of property and equipment, the cost, and related accumulated depreciation are removed from the consolidated balance sheet and any gain or loss is reflected in the consolidated statement of operations and comprehensive loss.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Long-lived assets, such as property and equipment, are reviewed for impairment whenever events or changes in circumstances indicate that the carrying amount of an asset may not be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recoverability of the asset group to be held and used is measured by a comparison of the carrying amount of an asset group to future undiscounted cash flows expected to be generated by the asset group. If the carrying amounts of the asset group is less than its future undiscounted cash flows, an impairment loss is then measured by comparing the fair value of asset group to its respective carrying amount. There has been no impairment of long-lived assets recorded for the year ended December 31, 2024.</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Company accounts for leases in accordance with ASC 842, Leases. At the inception of an arrangement, the Company determines whether the arrangement is or contains a lease based on the relevant facts and circumstances present in the arrangement. Leases with a term greater than one year are recognized on the consolidated balance sheet as right-of-use assets and short-term and long-term lease liabilities, as applicable. The Company typically only includes an initial lease term in its assessment of a lease arrangement, and options to renew a lease are not included in the Company’s assessment unless there is reasonable certainty that the Company will renew. The Company has elected not to recognize leases with an original term of one year or less on the consolidated balance sheet.</w:t>
      </w:r>
    </w:p>
    <w:p>
      <w:pPr>
        <w:spacing w:after="0" w:line="187"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Leases contain both lease and non-lease components. Non-lease components may include common area maintenance, utilities, and other operating costs. The Company combines the lease and non-lease components in its lease arrangements as a single lease component. Variable costs are not included in the measurement of right-of-use assets and lease liabilities and are expensed when incurred.</w:t>
      </w:r>
    </w:p>
    <w:p>
      <w:pPr>
        <w:spacing w:after="0" w:line="176"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Operating lease liabilities and their corresponding right-of-use assets are initially recorded at the lease commencement date based on the present value of lease payments measured over the expected remaining lease term. Certain adjustments to right-of-use assets may be required for items such as prepaid lease payments or any incentives received. The Company measures the net present value of lease payments using a discount rate based</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40"/>
          </w:cols>
          <w:pgMar w:left="320" w:top="455" w:right="4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on the interest rate implicit in the lease or an incremental borrowing rate if the rate implicit in the lease is not readily determinable. The interest rate implicit in the lease contracts is typically not readily determinable, and as a result, the Company estimates an incremental borrowing rate, which reflects the fixed rate at which the Company could borrow on a collateralized basis the amount of the lease payments in the same currency, for a similar term, in a similar economic environment. To estimate the incremental borrowing rate, a credit rating applicable to the Company is estimated using a synthetic credit rating analysis since the Company does not currently have any outstanding third-party debt or a rating agency-based credit rating. Operating lease costs are expensed using the straight-line method over the lease term and are classified within research and development or general and administrative expense based on the use of the underlying facility or using a reasonable allocation method.</w:t>
      </w:r>
    </w:p>
    <w:p>
      <w:pPr>
        <w:spacing w:after="0" w:line="189" w:lineRule="exact"/>
        <w:rPr>
          <w:sz w:val="20"/>
          <w:szCs w:val="20"/>
          <w:color w:val="auto"/>
        </w:rPr>
      </w:pPr>
    </w:p>
    <w:p>
      <w:pPr>
        <w:ind w:left="120" w:right="900" w:firstLine="440"/>
        <w:spacing w:after="0" w:line="282" w:lineRule="auto"/>
        <w:rPr>
          <w:sz w:val="20"/>
          <w:szCs w:val="20"/>
          <w:color w:val="auto"/>
        </w:rPr>
      </w:pPr>
      <w:r>
        <w:rPr>
          <w:rFonts w:ascii="Times New Roman" w:cs="Times New Roman" w:eastAsia="Times New Roman" w:hAnsi="Times New Roman"/>
          <w:sz w:val="18"/>
          <w:szCs w:val="18"/>
          <w:color w:val="auto"/>
        </w:rPr>
        <w:t>Assumptions that the Company made at the commencement date are re-evaluated upon occurrence of certain events, including a lease modification.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has classified its convertible preferred stock as temporary equity on the Company’s consolidated balance sheet due to the terms that allow for redemption of the shares in cash upon certain deemed liquidation events that are not solely within the control of the Company. The Company initially recorded its Series A-2 and Series B convertible preferred stock at fair value, net of issuance costs. The occurrence of such deemed liquidation event is not currently probable and thus the carrying values of the convertible preferred stock are not being adjusted to their redemption values. Subsequent adjustments to the carrying values of the convertible preferred stock would be made only when a deemed liquidation event becomes probable.</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Research and development, or R&amp;D, costs are expensed as incurred. Internal costs include personnel related expenses, stock-based compensation, facility and IT costs, and depreciation. External costs include fees for goods and services to conduct clinical and non-clinical activities, such as costs paid to contract research organizations, consulting fees, laboratory services and supplies, and costs incurred in connection with license agreements. Prior to the Transaction, these expenses included allocations from PureTech.</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Company is required to estimate its accrued R&amp;D costs as of the end of the reporting period. In accruing R&amp;D costs, the Company estimates the period over which services will be performed or goods will be provided and the level of effort to be performed in each period. The financial terms of the R&amp;D contracts vary and may result in payments that do not match the periods over which the goods or services are provided. The Company accrues costs under its contracts based on analyzing the work performed and amounts paid. In circumstances where amounts have been paid in excess of costs incurred, the Company records the excess as prepaid expense and recognizes research and development expense as the goods are received or the related services are rendered.</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are primarily comprised of employee-related expenses, including stock-based compensation and occupancy costs, depreciation, and third-party expenses related to finance, legal and other general and administrative functions. Prior to the Transaction, these expenses included allocations from PureTech.</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00"/>
          </w:cols>
          <w:pgMar w:left="320" w:top="455" w:right="47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Matters</w:t>
      </w:r>
    </w:p>
    <w:p>
      <w:pPr>
        <w:spacing w:after="0" w:line="121" w:lineRule="exact"/>
        <w:rPr>
          <w:sz w:val="20"/>
          <w:szCs w:val="20"/>
          <w:color w:val="auto"/>
        </w:rPr>
      </w:pPr>
    </w:p>
    <w:p>
      <w:pPr>
        <w:ind w:left="120" w:right="960" w:firstLine="440"/>
        <w:spacing w:after="0" w:line="282" w:lineRule="auto"/>
        <w:rPr>
          <w:sz w:val="20"/>
          <w:szCs w:val="20"/>
          <w:color w:val="auto"/>
        </w:rPr>
      </w:pPr>
      <w:r>
        <w:rPr>
          <w:rFonts w:ascii="Times New Roman" w:cs="Times New Roman" w:eastAsia="Times New Roman" w:hAnsi="Times New Roman"/>
          <w:sz w:val="18"/>
          <w:szCs w:val="18"/>
          <w:color w:val="auto"/>
        </w:rPr>
        <w:t>The Company expenses costs associated with intellectual property-related matters as incurred and classifies such costs as general and administrative expenses within the consolidated statement of operations and comprehensive loss.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 and Acquired In-Process Research and Development Expenses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Company accounts for acquisitions of assets or a group of assets that do not meet the definition of a business as asset acquisitions based on the cost to acquire the asset or group of assets, which include certain transaction costs. In an asset acquisition, the cost to acquire is allocated to the identifiable assets acquired and liabilities assumed based on their relative fair values as of the acquisition date. No goodwill is recorded in an asset acquisition. Assets that are acquired in an asset acquisition for use in research and development activities that have an alternative future use are capitalized as in-process research and development, or IPR&amp;D. Acquired IPR&amp;D that has no alternative future use as of the acquisition date is recognized as research and development expense as of the acquisition date. The Company will recognize additional research and development expenses in the future or capitalize such amounts for completed technology if and when the Company becomes obligated to make contingent milestone payments under the terms of the agreements by which it acquired the IPR&amp;D assets.</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Contingent consideration in asset acquisitions is measured and recognized when payment becomes probable and reasonably estimable. Subsequent changes in the accrued amount of contingent consideration are measured and recognized at the end of each reporting period and upon settlement as an adjustment to the cost basis of the acquired asset or group of assets, or, if related to IPR&amp;D with no alternative future use, charged to expense. The Company did not recognize any IPR&amp;D expense for the year ended December 31, 2024.</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Employees of the Company participate in the Company’s stock-based compensation plans and prior to the Transaction, participated in PureTech’s stock-based compensation plans.</w:t>
      </w:r>
    </w:p>
    <w:p>
      <w:pPr>
        <w:spacing w:after="0" w:line="162"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Stock-based compensation expense allocated to the Company for the period prior to the Transaction relates to equity awards issued by PureTech, including stock options, service-based restricted stock unit awards and performance-based restricted stock unit awards with both market and performance conditions. Stock-based compensation expense recorded during the period prior to the Transaction was recognized through allocations, based on the proportion of time the employee spent on the Seaport Business during the year presented and PureTech’s estimate of fair value. Stock-based compensation expense associated with service-based awards granted by PureTech was recognized over the requisite service period of the awards, which is generally the vesting period, on a straight-line basis. Service-based awards granted to employees under the PureTech plans generally vest in four equal annual installments, commencing on the first anniversary of the date of grant, provided the employee remains continuously employed during the applicable vesting period. Performance-based restricted stock unit awards granted under the PureTech plans to its executives included both performance and market conditions, which performance conditions were based on the achievement of PureTech’s strategic targets and market conditions were based on PureTech’s achievement of the absolute total shareholder return, or TSR, and TSR as compared to various market indexes. The performance-based restricted stock awards have been liability classified by PureTech, as PureTech has historically settled the awards in cash. Stock-based compensation expense for liability-classified awards that contain performance conditions is recognized once the performance condition is deemed probable of being achieved. Once the performance conditions are considered probable of being achieved, the amount of stock-based compensation expense recognized is measured based on the requisite service period completed and the fair value of the award, which is remeasured at fair value at each</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20"/>
          </w:cols>
          <w:pgMar w:left="320" w:top="455" w:right="4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reporting date until the date of settlement. Cumulative adjustments to stock-based compensation expense for awards with performance conditions are recorded to reflect subsequent changes to the estimated outcome of the performance criteria over the requisite service period. Stock-based compensation expense for liability classified awards that contain market conditions is initially measured based on the grant date fair value of the award and is remeasured at fair value at each reporting date until the date of settlement, with the determination of the fair value reflecting such conditions.</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Stock-based compensation expense of the Company for periods subsequent to the Transaction relates to equity awards issued by the Company to its employees and non-employees under its 2024 Equity Incentive Plan, or the 2024 Plan, including stock options and restricted stock awards with both service and performance-based vesting conditions. Stock-based compensation expense is measured at estimated fair value on the grant date and is recognized as compensation expense over the requisite service period, which is the vesting period during which an employee provides service in exchange for the award. Compensation expense for awards to non-employees is recognized in the same manner as if the Company had paid cash in exchange for the goods or services, which is generally over the vesting period of the award. Forfeitures are accounted for as they occur. Stock-based compensation expense for service-only based awards is recognized on a straight-line basis. Stock-based compensation expense for awards with both performance and service-based vesting conditions is recognized over the requisite service period using an accelerated attribution method, once the performance conditions are considered probable of being achieved, using management’s best estimates.</w:t>
      </w:r>
    </w:p>
    <w:p>
      <w:pPr>
        <w:spacing w:after="0" w:line="188" w:lineRule="exact"/>
        <w:rPr>
          <w:sz w:val="20"/>
          <w:szCs w:val="20"/>
          <w:color w:val="auto"/>
        </w:rPr>
      </w:pPr>
    </w:p>
    <w:p>
      <w:pPr>
        <w:jc w:val="both"/>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 pricing model, which requires inputs based on certain subjective assumptions, including the expected stock price volatility, the expected term of the award, the risk-free interest rate, and expected dividends. The fair value of each restricted stock award granted is measured on the date of grant at the estimated fair value of the common stock.</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Because there has not historically been a public market for the Company’s common stock, the estimated fair value of common stock was determined by the Company’s Board of Directors as of the date of each option grant, with inputs from management, considering third-party valuations of its common stock as well as the Company’s Board of Directors’ assessment of additional objective and subjective factors that it believed were relevant.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8"/>
          <w:szCs w:val="18"/>
          <w:i w:val="1"/>
          <w:iCs w:val="1"/>
          <w:color w:val="auto"/>
        </w:rPr>
        <w:t>Valuation of Privately Held Company Equity Securities Issued as Compensation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120" w:firstLine="440"/>
        <w:spacing w:after="0" w:line="281" w:lineRule="auto"/>
        <w:rPr>
          <w:sz w:val="20"/>
          <w:szCs w:val="20"/>
          <w:color w:val="auto"/>
        </w:rPr>
      </w:pPr>
      <w:r>
        <w:rPr>
          <w:rFonts w:ascii="Times New Roman" w:cs="Times New Roman" w:eastAsia="Times New Roman" w:hAnsi="Times New Roman"/>
          <w:sz w:val="17"/>
          <w:szCs w:val="17"/>
          <w:color w:val="auto"/>
        </w:rPr>
        <w:t>The Company estimates its expected stock price volatility based on the historical volatility of publicly traded peer companies. The expected term of the Company’s stock options has been determined utilizing the “simplified” method. The risk-free interest rate is determined by reference to the U.S. Treasury yield curve in effect at the time of grant for time periods approximately equal to the expected term of the award. There is no expected dividend yield since the Company has never paid cash dividends on common stock and does not expect to pay any cash dividends in the foreseeable future.</w:t>
      </w:r>
    </w:p>
    <w:p>
      <w:pPr>
        <w:spacing w:after="0" w:line="164"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The Company classifies stock-based compensation expense in the consolidated statement of operations and comprehensive loss in the same manner in which the award recipients’ payroll costs are classified or in which the award recipients’ service payments are classified. See Note 10— Stock-Based Compensation, for more information.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Prior to the Transaction, the Company was included in PureTech’s income tax returns, and all income taxes were paid by PureTech. Income tax expense and other income tax related information contained in these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080"/>
          </w:cols>
          <w:pgMar w:left="320" w:top="455" w:right="49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consolidated financial statements prior to the Transaction are presented on a separate return approach as if the Company filed its own tax return for those periods. Under this approach, the provision for income taxes represents income tax paid or payable (or received or receivable) for the current year plus the change in deferred taxes during the year calculated as if the Company were a standalone taxpayer filing hypothetical income tax returns. Current income tax liabilities were assumed to be immediately settled with PureTech and were relieved through the “Net parent investment” account and were reflected as “Net transfers from PureTech Health plc” within financing activities in the consolidated statement of cash flows.</w:t>
      </w:r>
    </w:p>
    <w:p>
      <w:pPr>
        <w:spacing w:after="0" w:line="183"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The Company recognizes income taxes under the asset and liability method. Deferred income taxes are recognized for differences between the financial reporting and tax basis of assets and liabilities at enacted statutory tax rates in effect for the years in which the differences are expected to reverse. The effect on deferred taxes of a change in tax rates are recognized in income in the period that includes the enactment date. In evaluating the Company’s ability to recover its deferred tax assets, the Company considers all available positive and negative evidence including its past operating results, the existence of cumulative losses in the most recent fiscal years, changes in the business in which the Company operates and its forecast of future taxable income. In determining future taxable income, the Company is responsible for assumptions utilized, including the amount of pre-tax operating income, the reversal of temporary differences and the implementation of feasible and prudent tax planning strategies. These assumptions require significant judgment about the forecasts of future taxable income and are consistent with the plans and estimates that the Company is using to manage the underlying business.</w:t>
      </w:r>
    </w:p>
    <w:p>
      <w:pPr>
        <w:spacing w:after="0" w:line="188"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Company accounts for uncertain tax positions using a more-likely-than-not threshold for recognizing and resolving uncertain tax positions. The evaluation of uncertain tax positions is based on factors including, but not limited to, changes in tax law, the measurement of tax positions taken or expected to be taken in tax returns, the effective settlement of matters subject to audit, new audit activity, and changes in facts or circumstances related to a tax position. The Company also accrues for potential interest and penalties related to unrecognized tax benefits in income tax expense. For the year ended December 31, 2024, the Company had no tax reserves accrued for uncertain tax positions.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Comprehensive loss is comprised of net loss and other comprehensive loss. The Company has no components of other comprehensive loss.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Therefore, net loss equals comprehensive loss for the year presented.</w:t>
      </w:r>
    </w:p>
    <w:p>
      <w:pPr>
        <w:spacing w:after="0" w:line="3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applies the two-class method when computing net loss per share attributable to common stockholders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 in the undistributed earnings as if all income (loss) for the period had been distributed. The Company considers its convertible preferred stock to be participating securities as, in the event a dividend is paid on common stock, the holders of convertible preferred stock would be entitled to receive dividends on a basis consistent with the common stockholders. There is no allocation required under the two-class method during periods of loss since the participating securities do not have a contractual obligation to share in the losses.</w:t>
      </w:r>
    </w:p>
    <w:p>
      <w:pPr>
        <w:spacing w:after="0" w:line="192"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in each period by the weighted average number of shares of common stock outstanding during such period, excluding potentially dilutive common shares.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55" w:right="4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Diluted net loss per share is computed similarly to basic net loss per share except that the denominator is increased to include the number of additional shares of common stock that would have been outstanding if the potential shares of common stock had been issued and if the additional shares of common stock were dilutive. The shares of common stock and convertible preferred stock distributed to PureTech upon the formation of the Company and on the effective date of the Asset Transfer were considered as outstanding in the calculation of basic and diluted earnings per share for the period prior to the formation of the Company and the Asset Transfer, as the formation and Asset Transfer were deemed to be common control transactions. Additionally, the SPTX March 2024 Shares were considered outstanding in the calculation of basic and diluted earnings per share as of their date of issuance and the SPTX February 2024 Shares were considered outstanding in the calculation of diluted earnings per share as of their date of issuance (See Note 9—Common Stock, for definitions and further disclosure regarding these SPTX shares). The Company had no additional shares of common stock outstanding or any potentially dilutive equity instruments other than described above prior to its formation and the Asset Transfer Date. See Note 15—Net Loss per Share for definitions and further disclosure.</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120" w:right="20" w:firstLine="440"/>
        <w:spacing w:after="0" w:line="23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and discrete information is available for evaluation by the chief operating decision-maker, or CODM, in deciding how to allocate resources and assess performance. The Company has one operating and reportable segment, which is the business focused on advancing the development of neuropsychiatric medicines in areas of high unmet patient needs using the Company’s proprietary Glyph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The Company’s CODM, its chief executive officer, manages the Company’s operations on a consolidated basis for the purpose of allocating resources. All of the Company’s long-lived assets are held in the United States. See Note 14—Segments, for further disclosure regarding the Company’s segment information.</w:t>
      </w:r>
    </w:p>
    <w:p>
      <w:pPr>
        <w:spacing w:after="0" w:line="3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Effective January 1, 2023, the Company early adopted Accounting Standard Update, or ASU, 2020-06, </w:t>
      </w:r>
      <w:r>
        <w:rPr>
          <w:rFonts w:ascii="Times New Roman" w:cs="Times New Roman" w:eastAsia="Times New Roman" w:hAnsi="Times New Roman"/>
          <w:sz w:val="18"/>
          <w:szCs w:val="18"/>
          <w:i w:val="1"/>
          <w:iCs w:val="1"/>
          <w:color w:val="auto"/>
        </w:rPr>
        <w:t>Debt—Debt with Conversion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or ASU 2020-06, which reduces complexity in applying GAAP to certain financial instruments with characteristics of liability and equity.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2020-06 removed the guidance that requires entities to account for beneficial conversion features and cash conversion features in equity, separately from the host convertible debt or preferred stock. The adoption did not have any impact on the consolidated financial statements.</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or the FASB, issued ASU No. 2016-13, </w:t>
      </w:r>
      <w:r>
        <w:rPr>
          <w:rFonts w:ascii="Times New Roman" w:cs="Times New Roman" w:eastAsia="Times New Roman" w:hAnsi="Times New Roman"/>
          <w:sz w:val="18"/>
          <w:szCs w:val="18"/>
          <w:i w:val="1"/>
          <w:iCs w:val="1"/>
          <w:color w:val="auto"/>
        </w:rPr>
        <w:t>Financial Instruments – Credit Losses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326): Measurements of Credit Losses on Financial Instruments</w:t>
      </w:r>
      <w:r>
        <w:rPr>
          <w:rFonts w:ascii="Times New Roman" w:cs="Times New Roman" w:eastAsia="Times New Roman" w:hAnsi="Times New Roman"/>
          <w:sz w:val="18"/>
          <w:szCs w:val="18"/>
          <w:color w:val="auto"/>
        </w:rPr>
        <w:t>, or ASU 2016-13, which requires the measurement and recognition of expected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for financial assets held at amortized cost. ASU 2016-13 replaces the existing incurred loss impairment model with an expected loss model. It also eliminates the concept of other-than temporary impairment and requires credit losses related to available-for-sale debt securities to be recorded through an allowance for credit losses rather than as a reduction in the amortized cost basis of the securities. These changes will result in the earlier recognition of credit losses, if any. In May 2019, the FASB issued ASU No. 2019-05, Financial Instruments—Credit Losses (Topic 326): Targeted Transition Relief, or ASU 2019-05, which provides additional implementation guidance on the previously issued ASU 2016-13. For the Company, both ASU 2016-13 and ASU 2019-05 were effective for fiscal years beginning after December 15, 2022. The Company adopted the standard effective January 1, 2023 on a modified-retrospective basis which did not have a material impact on the Company’s consolidated financial statements.</w:t>
      </w:r>
    </w:p>
    <w:p>
      <w:pPr>
        <w:spacing w:after="0" w:line="188" w:lineRule="exact"/>
        <w:rPr>
          <w:sz w:val="20"/>
          <w:szCs w:val="20"/>
          <w:color w:val="auto"/>
        </w:rPr>
      </w:pPr>
    </w:p>
    <w:p>
      <w:pPr>
        <w:ind w:left="120" w:right="2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or ASU 2023-07, which requires public entities to disclose information about</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their reportable segments’ significant expenses on an interim and annual basis. All disclosure requirements under ASU 2023-07 are also required for public entities with a single reportable segment. This standard became effective for the Company for the annual reporting period ended December 31, 2024, using the retrospective method. The adoption of this standard resulted in additional disclosure on the significant expenses reviewed by the Company’s CODM. See Note 14—Segments, for the Company’s segment presentation.</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Updates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standard-setting bodies that are adopted by Seaport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 Unless otherwise discussed, Seaport believes that the impact of recently issued standards that are not yet effective will not have a material impact on its financial position or results of operations upon adoption.</w:t>
      </w:r>
    </w:p>
    <w:p>
      <w:pPr>
        <w:spacing w:after="0" w:line="186"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or ASU 2023-09. This amended guidance applies to all entities and broadly aims to enhance the transparency and decision usefulness of income tax disclosures. For public entities, the amendments in this update are effective for fiscal years beginning after December 15, 2024 and for entities other than public entities, the amendments in this update are effective for fiscal years beginning after December 15, 2025. Early adoption is permitted for any annual periods for which financial statements have not been issued or made available for issuance. The Company is currently analyzing the impact that ASU 2023-09 may have on the consolidated financial statements for fiscal years beginning after December 15, 2024.</w:t>
      </w:r>
    </w:p>
    <w:p>
      <w:pPr>
        <w:spacing w:after="0" w:line="18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or ASU 2024-03, which is intended to provide more detailed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categories of expenses (purchases of inventory, employee compensation, depreciation, and amortization) included in certain expense captions presented on the statement of operations. The guidance in ASU 2024-03 is effective for fiscal years beginning after December 15, 2026, and interim periods within fiscal years beginning after December 15, 2027. Early adoption is permitted. The amendments may be applied either (1) prospectively to financial statements issued for periods after the effective date of ASU 2024-03 or (2) retrospectively to all prior periods presented in the financial statements. The Company is currently evaluating the impact that the adoption of ASU 2024-03 may have on its consolidated financial statements and disclosures for fiscal years beginning after December 15, 2026.</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00"/>
          </w:cols>
          <w:pgMar w:left="320" w:top="455" w:right="47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120" w:type="dxa"/>
            <w:vAlign w:val="bottom"/>
          </w:tcPr>
          <w:p>
            <w:pPr>
              <w:ind w:left="4480"/>
              <w:spacing w:after="0"/>
              <w:rPr>
                <w:sz w:val="20"/>
                <w:szCs w:val="20"/>
                <w:color w:val="auto"/>
              </w:rPr>
            </w:pPr>
            <w:r>
              <w:rPr>
                <w:rFonts w:ascii="Times New Roman" w:cs="Times New Roman" w:eastAsia="Times New Roman" w:hAnsi="Times New Roman"/>
                <w:sz w:val="18"/>
                <w:szCs w:val="18"/>
                <w:b w:val="1"/>
                <w:bCs w:val="1"/>
                <w:color w:val="auto"/>
              </w:rPr>
              <w:t>Seaport Therapeutics, Inc.</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10120" w:type="dxa"/>
            <w:vAlign w:val="bottom"/>
          </w:tcPr>
          <w:p>
            <w:pPr>
              <w:ind w:left="38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9"/>
        </w:trPr>
        <w:tc>
          <w:tcPr>
            <w:tcW w:w="10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PREPAID EXPENSES AND OTHER CURRENT ASSETS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10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7"/>
        </w:trPr>
        <w:tc>
          <w:tcPr>
            <w:tcW w:w="10120" w:type="dxa"/>
            <w:vAlign w:val="bottom"/>
          </w:tcPr>
          <w:p>
            <w:pPr>
              <w:spacing w:after="0"/>
              <w:rPr>
                <w:sz w:val="24"/>
                <w:szCs w:val="24"/>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0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r>
      <w:tr>
        <w:trPr>
          <w:trHeight w:val="209"/>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60" w:type="dxa"/>
            <w:vAlign w:val="bottom"/>
            <w:gridSpan w:val="2"/>
            <w:shd w:val="clear" w:color="auto" w:fill="CCEEFF"/>
          </w:tcPr>
          <w:p>
            <w:pPr>
              <w:spacing w:after="0"/>
              <w:rPr>
                <w:sz w:val="18"/>
                <w:szCs w:val="18"/>
                <w:color w:val="auto"/>
              </w:rPr>
            </w:pP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Prepaid employee compensation and benefits</w:t>
            </w:r>
          </w:p>
        </w:tc>
        <w:tc>
          <w:tcPr>
            <w:tcW w:w="18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271</w:t>
            </w:r>
          </w:p>
        </w:tc>
      </w:tr>
      <w:tr>
        <w:trPr>
          <w:trHeight w:val="216"/>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other</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393</w:t>
            </w:r>
          </w:p>
        </w:tc>
      </w:tr>
      <w:tr>
        <w:trPr>
          <w:trHeight w:val="223"/>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0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financial assets, and liabilities carried at fair value on a recurring basis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720" w:type="dxa"/>
            <w:vAlign w:val="bottom"/>
            <w:gridSpan w:val="3"/>
          </w:tcPr>
          <w:p>
            <w:pPr>
              <w:jc w:val="center"/>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2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10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30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62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1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600" w:type="dxa"/>
            <w:vAlign w:val="bottom"/>
          </w:tcPr>
          <w:p>
            <w:pPr>
              <w:spacing w:after="0"/>
              <w:rPr>
                <w:sz w:val="12"/>
                <w:szCs w:val="12"/>
                <w:color w:val="auto"/>
              </w:rPr>
            </w:pPr>
          </w:p>
        </w:tc>
        <w:tc>
          <w:tcPr>
            <w:tcW w:w="10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5"/>
                <w:szCs w:val="15"/>
                <w:color w:val="auto"/>
              </w:rPr>
            </w:pPr>
          </w:p>
        </w:tc>
        <w:tc>
          <w:tcPr>
            <w:tcW w:w="9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196"/>
        </w:trPr>
        <w:tc>
          <w:tcPr>
            <w:tcW w:w="5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 Assets:</w:t>
            </w:r>
          </w:p>
        </w:tc>
        <w:tc>
          <w:tcPr>
            <w:tcW w:w="6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 included in cash and cash equivalents</w:t>
            </w:r>
          </w:p>
        </w:tc>
        <w:tc>
          <w:tcPr>
            <w:tcW w:w="13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308,849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308,849</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— </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1300" w:type="dxa"/>
            <w:vAlign w:val="bottom"/>
            <w:gridSpan w:val="2"/>
            <w:shd w:val="clear" w:color="auto" w:fill="CCEEFF"/>
          </w:tcPr>
          <w:p>
            <w:pPr>
              <w:jc w:val="center"/>
              <w:ind w:right="6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308,849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308,849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Company’s cash equivalents consisted of money market funds, classified as Level 1 financial assets, as these assets are valued using quoted market prices in active markets without any valuation adjustment. As of December 31, 2024, the Company had no financial liabilities that required fair value measurement.</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consolidated balance sheet for prepaid expenses and other current assets, accounts payable, related party payable and accrued expenses and other current liabilities approximate fair value due to their short-term nature.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000" w:type="dxa"/>
            <w:vAlign w:val="bottom"/>
            <w:tcBorders>
              <w:bottom w:val="single" w:sz="8" w:color="CCEEFF"/>
            </w:tcBorders>
          </w:tcPr>
          <w:p>
            <w:pPr>
              <w:spacing w:after="0"/>
              <w:rPr>
                <w:sz w:val="15"/>
                <w:szCs w:val="15"/>
                <w:color w:val="auto"/>
              </w:rPr>
            </w:pPr>
          </w:p>
        </w:tc>
        <w:tc>
          <w:tcPr>
            <w:tcW w:w="36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3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40" w:type="dxa"/>
            <w:vAlign w:val="bottom"/>
            <w:shd w:val="clear" w:color="auto" w:fill="CCEEFF"/>
          </w:tcPr>
          <w:p>
            <w:pPr>
              <w:spacing w:after="0"/>
              <w:rPr>
                <w:sz w:val="18"/>
                <w:szCs w:val="18"/>
                <w:color w:val="auto"/>
              </w:rPr>
            </w:pP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9"/>
                <w:szCs w:val="19"/>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1,077</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(837)</w:t>
            </w:r>
          </w:p>
        </w:tc>
      </w:tr>
      <w:tr>
        <w:trPr>
          <w:trHeight w:val="27"/>
        </w:trPr>
        <w:tc>
          <w:tcPr>
            <w:tcW w:w="60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240</w:t>
            </w:r>
          </w:p>
        </w:tc>
      </w:tr>
      <w:tr>
        <w:trPr>
          <w:trHeight w:val="20"/>
        </w:trPr>
        <w:tc>
          <w:tcPr>
            <w:tcW w:w="60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Depreciation expense was $0.3 million for the year ended December 31, 2024, which consisted of $0.2 million of depreciation expense on the Company’s assets included on the consolidated balance sheet as of December 31, 2024 and $0.1 million of allocated depreciation expense from PureTech associated with shared assets.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40"/>
          </w:cols>
          <w:pgMar w:left="320" w:top="455" w:right="4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left="2080"/>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left="208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research and development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454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personnel and bonus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1371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professional and legal fees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other</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MONASH LICENSE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9" w:lineRule="exact"/>
        <w:rPr>
          <w:sz w:val="20"/>
          <w:szCs w:val="20"/>
          <w:color w:val="auto"/>
        </w:rPr>
      </w:pPr>
    </w:p>
    <w:p>
      <w:pPr>
        <w:ind w:left="760" w:hanging="757"/>
        <w:spacing w:after="0"/>
        <w:tabs>
          <w:tab w:leader="none" w:pos="76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1,567</w:t>
      </w:r>
    </w:p>
    <w:p>
      <w:pPr>
        <w:spacing w:after="0" w:line="18" w:lineRule="exact"/>
        <w:rPr>
          <w:rFonts w:ascii="Times New Roman" w:cs="Times New Roman" w:eastAsia="Times New Roman" w:hAnsi="Times New Roman"/>
          <w:sz w:val="17"/>
          <w:szCs w:val="17"/>
          <w:color w:val="auto"/>
        </w:rPr>
      </w:pPr>
    </w:p>
    <w:p>
      <w:pPr>
        <w:ind w:left="7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2,915</w:t>
      </w:r>
    </w:p>
    <w:p>
      <w:pPr>
        <w:spacing w:after="0" w:line="20" w:lineRule="exact"/>
        <w:rPr>
          <w:rFonts w:ascii="Times New Roman" w:cs="Times New Roman" w:eastAsia="Times New Roman" w:hAnsi="Times New Roman"/>
          <w:sz w:val="17"/>
          <w:szCs w:val="17"/>
          <w:color w:val="auto"/>
        </w:rPr>
      </w:pP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384</w:t>
      </w:r>
    </w:p>
    <w:p>
      <w:pPr>
        <w:spacing w:after="0" w:line="20" w:lineRule="exact"/>
        <w:rPr>
          <w:rFonts w:ascii="Times New Roman" w:cs="Times New Roman" w:eastAsia="Times New Roman" w:hAnsi="Times New Roman"/>
          <w:sz w:val="17"/>
          <w:szCs w:val="17"/>
          <w:color w:val="auto"/>
        </w:rPr>
      </w:pP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372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5,208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372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34290</wp:posOffset>
            </wp:positionV>
            <wp:extent cx="7372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711" w:lineRule="exact"/>
        <w:rPr>
          <w:sz w:val="20"/>
          <w:szCs w:val="20"/>
          <w:color w:val="auto"/>
        </w:rPr>
      </w:pPr>
    </w:p>
    <w:p>
      <w:pPr>
        <w:sectPr>
          <w:pgSz w:w="11900" w:h="16838" w:orient="portrait"/>
          <w:cols w:equalWidth="0" w:num="2">
            <w:col w:w="9180" w:space="720"/>
            <w:col w:w="1180"/>
          </w:cols>
          <w:pgMar w:left="320" w:top="455" w:right="499" w:bottom="1440" w:gutter="0" w:footer="0" w:header="0"/>
        </w:sectPr>
      </w:pPr>
    </w:p>
    <w:p>
      <w:pPr>
        <w:ind w:left="120" w:right="480" w:firstLine="440"/>
        <w:spacing w:after="0" w:line="261" w:lineRule="auto"/>
        <w:rPr>
          <w:sz w:val="20"/>
          <w:szCs w:val="20"/>
          <w:color w:val="auto"/>
        </w:rPr>
      </w:pPr>
      <w:r>
        <w:rPr>
          <w:rFonts w:ascii="Times New Roman" w:cs="Times New Roman" w:eastAsia="Times New Roman" w:hAnsi="Times New Roman"/>
          <w:sz w:val="18"/>
          <w:szCs w:val="18"/>
          <w:color w:val="auto"/>
        </w:rPr>
        <w:t>In April 2024, PureTech Health exclusively assigned to the Company, and the Company assumed, all rights and obligations under a license agreement entered into in August 2017 between PureTech Health and Monash University, or the Original License Agreement. In March 2025, the Company entered into an amended and restated license agreement with Monash University, which amended and restated the Original License Agreement, or the Monash License Agreement.</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Pursuant to the Monash License Agreement, Monash University grants the Company (i) a worldwide, exclusive, sublicensable license under certain Monash University intellectual property rights, including patent rights related to the Glyph platform, or the Licensed Patents, know-how, and intellectual property stemming from joint research and development activities, for the purpose of developing and commercializing products in all fields with one exception, (ii) a worldwide, non-exclusive, sublicensable license under certain background technology and certain other intellectual property strictly to the extent necessary to exercise the license described in subclause (i) above, and (iii) a first right and an exclusive option to obtain an exclusive license to any invention generated by Monash University outside of the Licensed Patents and pertaining to certain prodrug technology. Additionally, the Company and Monash University agreed to collaborate in conducting research and development activities.</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Under the Monash License Agreement, the Company has agreed to use reasonable commercial endeavors to (i) develop at least one Licensed Product, (ii) seek regulatory approval for at least one Licensed Product, and (iii) after receipt of such regulatory approval in the United States or Europe, promote, and develop the sale of at least one Licensed Product in such territory. Monash University agrees to provide reasonable technical assistance and advice based on Monash University’s know-how relating to the technology licensed under the Monash License Agreement. The Company granted Monash University a non-exclusive, perpetual, royalty-free license under the Licensed Patents, related know-how, and intellectual property stemming from joint research and development activities solely for academic, teaching, and non-commercial collaborative research uses, which includes the right to sublicense for non-commercial collaborative research to other academic institutions or non-commercial research entities.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consideration for the licenses granted by Monash University, the Company is required to pay Monash University: (i) low-single digit royalties with a rate based on net sales per calendar year (subject to certain reductions); (ii) a low-double digit percentage of any net income received under a sublicense (subject to a license payment stacking reduction) with the percentage varying based on the development stage of the Licensed Products at the time the sublicense is granted during the term of the Monash License Agreement; (iii) an agreed upon research funding amount to progress mutually agreed research and development or commercialization activities; (iv) a mid-five-figure annual maintenance fee during the term of the agreement commencing on the third</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080"/>
          </w:cols>
          <w:pgMar w:left="320" w:top="455" w:right="499" w:bottom="1440" w:gutter="0" w:footer="0" w:header="0"/>
          <w:type w:val="continuous"/>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100"/>
        <w:spacing w:after="0" w:line="257" w:lineRule="auto"/>
        <w:rPr>
          <w:sz w:val="20"/>
          <w:szCs w:val="20"/>
          <w:color w:val="auto"/>
        </w:rPr>
      </w:pPr>
      <w:r>
        <w:rPr>
          <w:rFonts w:ascii="Times New Roman" w:cs="Times New Roman" w:eastAsia="Times New Roman" w:hAnsi="Times New Roman"/>
          <w:sz w:val="18"/>
          <w:szCs w:val="18"/>
          <w:color w:val="auto"/>
        </w:rPr>
        <w:t>anniversary of the execution date of the Original License Agreement until the first commercial sale of a Licensed Product creditable against net income sharing, royalties, and milestone payments; (v) milestone payments in the event of successful development milestones of up to $1.075 million per Licensed Product for the first three Licensed Products; and (vi) milestone payments in the event of successful commercial milestones of up to</w:t>
      </w:r>
    </w:p>
    <w:p>
      <w:pPr>
        <w:spacing w:after="0" w:line="1" w:lineRule="exact"/>
        <w:rPr>
          <w:sz w:val="20"/>
          <w:szCs w:val="20"/>
          <w:color w:val="auto"/>
        </w:rPr>
      </w:pPr>
    </w:p>
    <w:p>
      <w:pPr>
        <w:jc w:val="both"/>
        <w:ind w:left="120" w:right="480"/>
        <w:spacing w:after="0" w:line="255" w:lineRule="auto"/>
        <w:rPr>
          <w:sz w:val="20"/>
          <w:szCs w:val="20"/>
          <w:color w:val="auto"/>
        </w:rPr>
      </w:pPr>
      <w:r>
        <w:rPr>
          <w:rFonts w:ascii="Times New Roman" w:cs="Times New Roman" w:eastAsia="Times New Roman" w:hAnsi="Times New Roman"/>
          <w:sz w:val="18"/>
          <w:szCs w:val="18"/>
          <w:color w:val="auto"/>
        </w:rPr>
        <w:t>$7.25 million per Licensed Product for the first three Licensed Products. We are also obligated to (a) pay all costs incurred for the prosecution and maintenance of the Licensed Patents and patent filings stemming from collaboration activities and (b) reimburse Monash University for all patent prosecution costs of the Licensed Patents prior to the execution date of the Original License Agreement.</w:t>
      </w:r>
    </w:p>
    <w:p>
      <w:pPr>
        <w:spacing w:after="0" w:line="18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Monash License Agreement commenced on the execution date of the Original License Agreement and will expire seven years after the last of the Licensed Patents expires, unless terminated earlier. Either party may terminate for due cause, including for material breach and bankruptcy. Monash University may terminate if the Company fails to meet its diligence requirements. Either party may terminate the Monash License Agreement if the Company determines that the activities are no longer commercially viable.</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Monash License Agreement was determined to represent an asset acquisition, as the acquired licenses and intellectual property did not meet the definition of a business. All upfront consideration paid in exchange for the Monash License Agreement was expensed as research and development upon execution of the agreement, as the Licensed Patents and intellectual property was determined to represent in-process research and development with no alternative future use.</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2024, the first development milestone of $50,000 and the second development milestone of $175,000 were achieved and paid by PureTech as they occurred prior to the formation of the Company. No other milestones have occurred or have been paid under the Monash License Agreement as of December 31, 2024.</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incurred no expense associated with annual research funding fees and $30,000 in annual maintenance fees under the Monash License Agreement, which was accrued on the consolidated balance sheet as of December 31, 2024.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CONVERTIBLE PREFERRED STOCK</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Company has issued Series A-1 convertible preferred stock, or the Series A-1 Preferred Stock, Series A-2 convertible preferred stock, or the Series A-2 Preferred Stock, and Series B convertible preferred stock, or the Series B Preferred Stock, and collectively with the Series A-1 Preferred Stock and Series A-2 Preferred Stock, the Preferred Stock.</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Series A-1 and Series A-2 Preferred Stock</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April 2024, the Company issued to PureTech LYT, a wholly owned subsidiary of PureTech, 40,000,000 shares of its Series A-1 Preferred Stock, as part of the consideration for the assets contributed to the Company as part of the Asset Transfer Agreement. No value was assigned to the Series A-1 Preferred Stock as it represented consideration paid as part of a common control transaction. See Note 1—Nature of Business and Basis of Presentation, for further disclosure of the Asset Transfer Agreement.</w:t>
      </w:r>
    </w:p>
    <w:p>
      <w:pPr>
        <w:spacing w:after="0" w:line="18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Concurrently, upon the issuance of the Series A-1 Preferred Stock to PureTech LYT, the Company entered into a Series A-2 Preferred Stock Purchase Agreement, or the Series A-2 Financing, with PureTech LYT and other third-party investors pursuant to which the Company issued and sold 26,342,102 shares of its Series A-2 Preferred Stock at a price of $3.80 per share for gross aggregate proceeds of $100.1 million. See Note 16—Related Parties, for further disclosure of the issuances of the Company’s Series A-2 Preferred Stock to related parties.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20"/>
          </w:cols>
          <w:pgMar w:left="320" w:top="455" w:right="45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October 2024, the Company entered into a stock purchase agreement with new and existing investors, or the Series B Financing, pursuant to which the Company issued and sold an aggregate amount of 47,578,934 shares of its Series B Preferred Stock at a purchase price of $4.75 per share, for gross aggregate proceeds of $226.0 million. See Note 16—Related Parties, for further disclosure around the issuances of the Company’s Series B Preferred Stock to related parties.</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Upon issuance of the Preferred Stock, the Company assessed the embedded conversion and liquidation features of the securities and determined that such features did not require the Company to separately account for these features.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2024, Preferred Stock consisted of the following (in thousands, except share and per share amounts):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3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 Issued</w:t>
            </w:r>
          </w:p>
        </w:tc>
        <w:tc>
          <w:tcPr>
            <w:tcW w:w="120" w:type="dxa"/>
            <w:vAlign w:val="bottom"/>
          </w:tcPr>
          <w:p>
            <w:pPr>
              <w:spacing w:after="0"/>
              <w:rPr>
                <w:sz w:val="12"/>
                <w:szCs w:val="12"/>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1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080" w:type="dxa"/>
            <w:vAlign w:val="bottom"/>
            <w:gridSpan w:val="3"/>
            <w:vMerge w:val="continue"/>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 Issuable</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3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2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Upon</w:t>
            </w: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20" w:type="dxa"/>
            <w:vAlign w:val="bottom"/>
          </w:tcPr>
          <w:p>
            <w:pPr>
              <w:spacing w:after="0"/>
              <w:rPr>
                <w:sz w:val="15"/>
                <w:szCs w:val="15"/>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09"/>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A-1 Preferred Stock</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0.10</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Series A-2 Preferred Stock</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26,342,102</w:t>
            </w:r>
          </w:p>
        </w:tc>
        <w:tc>
          <w:tcPr>
            <w:tcW w:w="2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26,342,102</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99,757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100,100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3.80</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26,342,102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47,578,938</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47,578,934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225,571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226,000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4.75</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47,578,934</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 Preferred Stock</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113,921,040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113,921,036</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325,328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330,100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113,921,036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2024, the holders of the Preferred Stock have the following rights and preferences: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holders of the Preferred Stock are entitled to vote, together with the holders of common stock, as a single class, on all matters submitted to the shareholders for a vote and are entitled to the number of votes equal to the number of shares of common stock into which the Preferred Stock would convert on the record date for determination of shareholders entitled to vote. The holders of the Preferred Stock generally vote together as a single class with holders of common stock except that, (i) the holders of Series A-1 Preferred Stock, exclusively and voting together as a separate class on an as converted basis, shall be entitled to elect two (2) directors of the Company, each, a Series A-1 Director, (ii) the holders of record of the shares of Series A-2 Preferred Stock, exclusively and voting together as a separate class on an as converted basis, shall be entitled to elect two (2) directors of the Company, each, a Series A-2 Director, (iii) the holders of record of the shares of Series B Preferred Stock, exclusively and voting together as a separate class on an as converted basis, shall be entitled to elect one (1) director of the Company, or the Series B Director and, together with the Series A-1 Directors and Series A-2 Directors, each, a Preferred Director.</w:t>
      </w:r>
    </w:p>
    <w:p>
      <w:pPr>
        <w:spacing w:after="0" w:line="188"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Further, a majority vote of the holders of the Company’s Preferred Stock is required to, among others, liquidate or dissolve the Company, amend the certificate of incorporation or bylaws, reclassify common stock or establish another class of capital stock, create shares that would rank senior to or authorize additional shares of Preferred Stock, declare a dividend or make a distribution, or change the authorized number of directors constituting the board of directors.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holders of the Preferred Stock are entitled to participate in any dividends payable to common stockholders on an as converted basis and have priority over the payment of dividends to holders of common stock.</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40"/>
          </w:cols>
          <w:pgMar w:left="320" w:top="455" w:right="4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case of a dividend on common stock or any class of stock that is convertible into common stock, the dividend per share of Preferred Stock would equal the product of (A) the dividend payable on each share of such class or series as if all shares of such class or series had been converted into common stock and (B) the number of shares of common stock issuable upon conversion of such share of Preferred Stock. In the case of a dividend on any class or series that is not convertible into common stock, the dividend per share of Preferred Stock would be determined by (A) dividing the amount of dividend payable on each share of such class or series of capital stock by the original issue price of such class or series and (B) multiplying such fraction by the original issue price of the applicable class or series of Preferred Stock.</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Each outstanding share of Preferred Stock is convertible, at any time, at its holder’s discretion, and without the payment of additional consideration, into such whole number of fully paid, non-assessable shares of common stock, at the applicable conversion ratio then in effect. The conversion price for each share of Preferred Stock shall initially be equal to the original issuance price for such series of Preferred Stock and is subject to standard anti-dilutive adjustments for share splits and similar transactions. In the event certain conditions are not met prior to March 31, 2026, the conversion price of the Series B Preferred Stock will be reduced to $3.80. As of December 31, 2024, these conditions have not been met.</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Each outstanding share of Preferred Stock shall automatically be converted into fully-paid, non-assessable shares of common stock upon the earliest to occur of (i) the consummation of a qualified initial public offering at a public offering price of at least $5.70 per share, in a firm commitment resulting in at least $100.0 million of gross proceeds or (ii) the date specified by vote or written consent of the holders of at least a majority of the outstanding shares of the Preferred Stock, voting together as a single class on an as-converted basis, and the holders of a majority of the outstanding shares of Series A-2 Preferred Stock and Series B Preferred Stock, which majority must include at least one new investor from the Series B Financing that holds at least 2,100,000 shares of Series B Preferred Stock, voting together as a single class on an as-converted basis, or the Requisite Holders, and the holders of at least 65% of the then-outstanding shares of Series B Preferred Stock, or the Series B Majority.</w:t>
      </w:r>
    </w:p>
    <w:p>
      <w:pPr>
        <w:spacing w:after="0" w:line="18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There shall be no adjustment in the conversion price of the Preferred Stock as a result of the issuance or deemed issuance of additional shares of the Company’s common stock if the Company receives written notice from the holders of at least a majority of the then outstanding shares of Preferred Stock, voting together as a single class, and, solely in the respect of an adjustment in the conversion price of the Series B Preferred Stock, the Series B Majority, agreeing that no such adjustment shall be made as the result of the issuance or deemed issuance of additional shares of the Company’s common stock.</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Company, or upon the occurrence of a Deemed Liquidation Event (as defined below), the holders of shares of Preferred Stock then outstanding shall be entitled, on a pari passu basis among the series of Preferred Stock, to be paid out of the assets or funds of the Company available for distribution to stockholders before any payment is made to the holders of common stock. The holders of Preferred Stock are entitled to an amount per share equal to the greater of (i) the original issue price for such series, plus any dividends declared but unpaid thereon, or (ii) the amount that would have been payable had all shares of each series of Preferred Stock been converted into common stock immediately prior to such liquidation, dissolution, winding up or Deemed Liquidation Event. After the payment in full of the Preferred Stock preference amount, the remaining assets of the Company available for distribution to stockholders shall be distributed among the holders of common stock on a pro rata basis.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080"/>
          </w:cols>
          <w:pgMar w:left="320" w:top="455" w:right="49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jc w:val="both"/>
        <w:ind w:left="120" w:right="680" w:firstLine="440"/>
        <w:spacing w:after="0" w:line="266" w:lineRule="auto"/>
        <w:rPr>
          <w:sz w:val="20"/>
          <w:szCs w:val="20"/>
          <w:color w:val="auto"/>
        </w:rPr>
      </w:pPr>
      <w:r>
        <w:rPr>
          <w:rFonts w:ascii="Times New Roman" w:cs="Times New Roman" w:eastAsia="Times New Roman" w:hAnsi="Times New Roman"/>
          <w:sz w:val="18"/>
          <w:szCs w:val="18"/>
          <w:color w:val="auto"/>
        </w:rPr>
        <w:t>Each of the following events shall be considered a “Deemed Liquidation Event,” unless the Requisite Holders, elect otherwise; a merger, consolidation, statutory conversion, transfer, domestication, continuance involving the Company or a subsidiary, or a sale, lease, or transfer of substantially all of the assets of the Company.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Preferred Stock does not have any redemption rights, except for the contingent redemption upon the occurrence of a Deemed Liquidation Event.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COMMON STOCK</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voting, dividend, and liquidation rights of the holders of the Company’s common stock are subject to and qualified by the rights, powers, and preferences of the holders of the Preferred Stock set forth above. Each share of common stock entitles the holder to one vote, together with the holders of the Preferred Stock, on all matters submitted to the stockholders for a vote. The holders of common stock are entitled to receive dividends, if any, as declared by the Company’s board of directors, subject to the preferential dividend rights of Preferred Stock. As of December 31, 2024, no dividends have been declared or paid.</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had authorized 159,070,000 shares of common stock, of which 8,150,000 were issued and outstanding, including 902,778 unvested shares of restricted common stock that are subject to service-based vesting as of December 31, 2024. Concurrent with the Transaction, the Company issued 2,500,000 shares of restricted common stock in exchange for shares of restricted common stock of SPTX. Such shares were originally issued upon the formation of SPTX in February 2024 (the “SPTX February 2024 Shares”). SPTX subsequently became a subsidiary of the Company upon the formation date. See Note 10—Stock-Based Compensation for further disclosure of restricted common stock issued by the Company.</w:t>
      </w:r>
    </w:p>
    <w:p>
      <w:pPr>
        <w:spacing w:after="0" w:line="187"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Concurrent with the Transaction, the Company issued 950,000 shares of common stock to a board member in exchange for shares of common stock of SPTX issued in March 2024 (the “SPTX March 2024 Shares,” and together with the SPTX February 2024 Shares, the “Exchange Shares”). SPTX had no other material activity beyond its previously issued shares.</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SPTX March 2024 Shares, the Company recognized $0.9 million of stock-based compensation expense in its consolidated statement of operations and comprehensive loss for the year ended December 31, 2024.</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Company had no shares of common stock outstanding or any potentially dilutive equity instruments for any period prior to its formation and the Asset Transfer.</w:t>
      </w:r>
    </w:p>
    <w:p>
      <w:pPr>
        <w:spacing w:after="0" w:line="266" w:lineRule="exact"/>
        <w:rPr>
          <w:sz w:val="20"/>
          <w:szCs w:val="20"/>
          <w:color w:val="auto"/>
        </w:rPr>
      </w:pPr>
    </w:p>
    <w:p>
      <w:pPr>
        <w:ind w:left="560" w:right="7360" w:hanging="444"/>
        <w:spacing w:after="0" w:line="400" w:lineRule="auto"/>
        <w:tabs>
          <w:tab w:leader="none" w:pos="389" w:val="left"/>
        </w:tabs>
        <w:numPr>
          <w:ilvl w:val="0"/>
          <w:numId w:val="1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w:t>
      </w:r>
      <w:r>
        <w:rPr>
          <w:rFonts w:ascii="Times New Roman" w:cs="Times New Roman" w:eastAsia="Times New Roman" w:hAnsi="Times New Roman"/>
          <w:sz w:val="17"/>
          <w:szCs w:val="17"/>
          <w:b w:val="1"/>
          <w:bCs w:val="1"/>
          <w:i w:val="1"/>
          <w:iCs w:val="1"/>
          <w:color w:val="auto"/>
        </w:rPr>
        <w:t>PureTech Stock-based Compensation Plan</w:t>
      </w: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PureTech has stock-based compensation plans which provide for granting equity awards, including non-qualified and incentive stock options, restricted stock, restricted stock units, cash-based awards, and performance shares to employees, officers, and directors of, and consultants to, PureTech. All stock-based compensation plans were managed on a consolidated basis by PureTech. Stock-based compensation expense was allocated to the Company based on the proportion of time each employee or non-employee spent on the Seaport Business in the period. Accordingly, the amounts presented are not necessarily indicative of future stock-based compensation of Seaport and do not necessarily reflect the amount that Seaport would have issued as an independent company for the year presented.</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080"/>
          </w:cols>
          <w:pgMar w:left="320" w:top="455" w:right="49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Stock Options Issued by PureTech</w:t>
      </w:r>
    </w:p>
    <w:p>
      <w:pPr>
        <w:spacing w:after="0" w:line="11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stock option award activity issued to the Company’s employees transferred pursuant to the Asset Transfer under PureTech’s stock-based compensation plans during the year ended December 31, 2024:</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7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106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7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66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1060" w:type="dxa"/>
            <w:vAlign w:val="bottom"/>
            <w:gridSpan w:val="3"/>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240" w:type="dxa"/>
            <w:vAlign w:val="bottom"/>
          </w:tcPr>
          <w:p>
            <w:pPr>
              <w:spacing w:after="0"/>
              <w:rPr>
                <w:sz w:val="12"/>
                <w:szCs w:val="12"/>
                <w:color w:val="auto"/>
              </w:rPr>
            </w:pPr>
          </w:p>
        </w:tc>
        <w:tc>
          <w:tcPr>
            <w:tcW w:w="108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4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w:t>
            </w:r>
          </w:p>
        </w:tc>
        <w:tc>
          <w:tcPr>
            <w:tcW w:w="0" w:type="dxa"/>
            <w:vAlign w:val="bottom"/>
          </w:tcPr>
          <w:p>
            <w:pPr>
              <w:spacing w:after="0"/>
              <w:rPr>
                <w:sz w:val="1"/>
                <w:szCs w:val="1"/>
                <w:color w:val="auto"/>
              </w:rPr>
            </w:pPr>
          </w:p>
        </w:tc>
      </w:tr>
      <w:tr>
        <w:trPr>
          <w:trHeight w:val="173"/>
        </w:trPr>
        <w:tc>
          <w:tcPr>
            <w:tcW w:w="6680" w:type="dxa"/>
            <w:vAlign w:val="bottom"/>
          </w:tcPr>
          <w:p>
            <w:pPr>
              <w:spacing w:after="0"/>
              <w:rPr>
                <w:sz w:val="15"/>
                <w:szCs w:val="15"/>
                <w:color w:val="auto"/>
              </w:rPr>
            </w:pPr>
          </w:p>
        </w:tc>
        <w:tc>
          <w:tcPr>
            <w:tcW w:w="10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7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1,376,632</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3.36</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7"/>
              </w:rPr>
              <w:t>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2.51</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(525,515)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3.14</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873,617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88"/>
              </w:rPr>
              <w:t>3.22</w:t>
            </w:r>
          </w:p>
        </w:tc>
        <w:tc>
          <w:tcPr>
            <w:tcW w:w="4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PureTech utilized the Black-Scholes option-pricing model for estimating the fair value of the stock options issued under PureTech’s stock-based compensation plans on each grant date. The following table presents the assumptions used by PureTech in the Black-Scholes option-pricing model during the year ended December 31, 2024:</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9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73"/>
        </w:trPr>
        <w:tc>
          <w:tcPr>
            <w:tcW w:w="99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r>
      <w:tr>
        <w:trPr>
          <w:trHeight w:val="209"/>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20" w:type="dxa"/>
            <w:vAlign w:val="bottom"/>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4.21%</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44.93%</w:t>
            </w:r>
          </w:p>
        </w:tc>
      </w:t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r>
    </w:tbl>
    <w:p>
      <w:pPr>
        <w:spacing w:after="0" w:line="17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by PureTech during the year ended December 31, 2024 was $1.02. The aggregate intrinsic value is calculated as the difference between the exercise price and the market price of PureTech’s common stock at December 31, 2024. As of December 31, 2024, all outstanding stock options issued by PureTech to the Company’s employees were fully vested.</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Restricted Stock Units Issued by PureTech</w:t>
      </w:r>
    </w:p>
    <w:p>
      <w:pPr>
        <w:spacing w:after="0" w:line="11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restricted stock unit activity issued to the Company’s employees transferred pursuant to the Asset Transfer under PureTech’s stock-based compensation plans during the year ended December 31, 2024:</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7800" w:type="dxa"/>
            <w:vAlign w:val="bottom"/>
          </w:tcPr>
          <w:p>
            <w:pPr>
              <w:spacing w:after="0"/>
              <w:rPr>
                <w:sz w:val="13"/>
                <w:szCs w:val="13"/>
                <w:color w:val="auto"/>
              </w:rPr>
            </w:pPr>
          </w:p>
        </w:tc>
        <w:tc>
          <w:tcPr>
            <w:tcW w:w="12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9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January 1, 2024</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3,211,022</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(541,324)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(990,727)</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78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1,678,971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    0.79</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40" w:right="340" w:hanging="224"/>
        <w:spacing w:after="0" w:line="282" w:lineRule="auto"/>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fair value as of the reporting date as the awards were liability-classified. Such awards were not assumed by the Company. While the recipient of these PureTech awards will be eligible to continue vesting as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40"/>
          </w:cols>
          <w:pgMar w:left="320" w:top="455" w:right="4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340" w:right="80"/>
        <w:spacing w:after="0" w:line="266" w:lineRule="auto"/>
        <w:rPr>
          <w:sz w:val="20"/>
          <w:szCs w:val="20"/>
          <w:color w:val="auto"/>
        </w:rPr>
      </w:pPr>
      <w:r>
        <w:rPr>
          <w:rFonts w:ascii="Times New Roman" w:cs="Times New Roman" w:eastAsia="Times New Roman" w:hAnsi="Times New Roman"/>
          <w:sz w:val="18"/>
          <w:szCs w:val="18"/>
          <w:color w:val="auto"/>
        </w:rPr>
        <w:t>of December 31, 2024, pursuant to the terms of the PureTech equity plan, as long as services continue to be provided to PureTech, the Company will not recognize any stock-based compensation expense associated with such awards in the periods after PureTech no longer maintained a controlling interest in the Company.</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Seaport employees continued to vest in their PureTech equity awards until the completion of the Company’s Series B Financing (as discussed in Note 8) in October 2024 at which time PureTech no longer maintained a controlling interest in the Company. Accordingly, Seaport employees forfeited their unvested awards in October 2024 as the employees were no longer deemed to be continuing service providers under PureTech’s plan, except for restricted stock units granted to an employee of Seaport for services performed to PureTech. As of December 31, 2024, Seaport employees held 873,617 of outstanding vested options that Seaport employees had 90 days to exercise from October 2024.</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2024 Equity Incentive Plan, or the 2024 Plan, was approved by the Company’s subsidiary’s Board and Stockholders and became effective for the Company in April 2024 and was subsequently amended in April 2024 and October 2024.</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Under the 2024 Plan, the Company can issue incentive stock options, stock appreciation rights, restricted stock, restricted stock units, and other stock-based awards to employees, directors, and consultants of the Company. The 2024 Plan is administered by the Company’s Board of Directors, or by a committee at the discretion of the Board of Directors. The exercise prices, vesting, and other restrictions are determined at the discretion of the Board of Directors, or its committee if so delegated, except that exercise prices of each stock option shall not be less than 100% of the fair market value of the Company’s common stock and that each stock option term cannot exceed 10 years. The Company’s Board of Directors determines the fair market value of the Company’s common stock, taking into consideration its most recently available valuation of common stock performed by third parties as well as additional factors which may have changed since the date of the most recent contemporaneous valuation through the date of grant.</w:t>
      </w:r>
    </w:p>
    <w:p>
      <w:pPr>
        <w:spacing w:after="0" w:line="189"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A total of 10,000,000 shares of common stock were initially reserved for issuance under the 2024 Plan, and it was subsequently amended to allow for the issuance of up to 38,607,011 shares of common stock. As of December 31, 2024, there were 7,102,683 awards available for future grants under the 2024 Plan. Shares of common stock underlying any awards that are forfeited, canceled, or reacquired by the Company prior to vesting will again be available for the grant of awards under the 2024 Plan. Through the completion of an Initial Public Offering, the Company will continue to grant additional equity awards to certain individuals to maintain in total a 12.5% ownership on a fully diluted basis as specified by underlying agreements.</w:t>
      </w:r>
    </w:p>
    <w:p>
      <w:pPr>
        <w:spacing w:after="0" w:line="16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vesting periods for stock options issued under the 2024 Plan generally vest over four years with a one-year cliff and equal monthly installments thereafter and may be subject to accelerated vesting. Performance-based options vest in three annual installments that are contingent upon the achievement of the Company’s annual goals. For restricted stock awards, the vesting periods can vary and may contain accelerated vesting that would result in unvested shares becoming fully vested upon the occurrence of certain events.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20"/>
          </w:cols>
          <w:pgMar w:left="320" w:top="455" w:right="45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2024 Plan Stock Option Activity</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summary of the Company’s stock option award activity under the 2024 Plan during the year ended December 31, 2024:</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16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2"/>
                <w:szCs w:val="12"/>
                <w:color w:val="auto"/>
              </w:rPr>
            </w:pPr>
          </w:p>
        </w:tc>
        <w:tc>
          <w:tcPr>
            <w:tcW w:w="15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11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4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ind w:left="538"/>
              <w:spacing w:after="0"/>
              <w:rPr>
                <w:sz w:val="20"/>
                <w:szCs w:val="20"/>
                <w:color w:val="auto"/>
              </w:rPr>
            </w:pPr>
            <w:r>
              <w:rPr>
                <w:rFonts w:ascii="Times New Roman" w:cs="Times New Roman" w:eastAsia="Times New Roman" w:hAnsi="Times New Roman"/>
                <w:sz w:val="18"/>
                <w:szCs w:val="18"/>
                <w:color w:val="auto"/>
                <w:w w:val="81"/>
              </w:rPr>
              <w:t>— </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24,564,846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1.37</w:t>
            </w:r>
          </w:p>
        </w:tc>
        <w:tc>
          <w:tcPr>
            <w:tcW w:w="1200" w:type="dxa"/>
            <w:vAlign w:val="bottom"/>
            <w:gridSpan w:val="2"/>
          </w:tcPr>
          <w:p>
            <w:pPr>
              <w:jc w:val="center"/>
              <w:ind w:left="298"/>
              <w:spacing w:after="0"/>
              <w:rPr>
                <w:sz w:val="20"/>
                <w:szCs w:val="20"/>
                <w:color w:val="auto"/>
              </w:rPr>
            </w:pPr>
            <w:r>
              <w:rPr>
                <w:rFonts w:ascii="Times New Roman" w:cs="Times New Roman" w:eastAsia="Times New Roman" w:hAnsi="Times New Roman"/>
                <w:sz w:val="18"/>
                <w:szCs w:val="18"/>
                <w:color w:val="auto"/>
                <w:w w:val="81"/>
              </w:rPr>
              <w:t>— 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(29,018)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0.97</w:t>
            </w:r>
          </w:p>
        </w:tc>
        <w:tc>
          <w:tcPr>
            <w:tcW w:w="1200" w:type="dxa"/>
            <w:vAlign w:val="bottom"/>
            <w:gridSpan w:val="2"/>
            <w:shd w:val="clear" w:color="auto" w:fill="CCEEFF"/>
          </w:tcPr>
          <w:p>
            <w:pPr>
              <w:jc w:val="center"/>
              <w:ind w:left="298"/>
              <w:spacing w:after="0"/>
              <w:rPr>
                <w:sz w:val="20"/>
                <w:szCs w:val="20"/>
                <w:color w:val="auto"/>
              </w:rPr>
            </w:pPr>
            <w:r>
              <w:rPr>
                <w:rFonts w:ascii="Times New Roman" w:cs="Times New Roman" w:eastAsia="Times New Roman" w:hAnsi="Times New Roman"/>
                <w:sz w:val="18"/>
                <w:szCs w:val="18"/>
                <w:color w:val="auto"/>
                <w:w w:val="81"/>
              </w:rPr>
              <w:t>— 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24,535,828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500" w:type="dxa"/>
            <w:vAlign w:val="bottom"/>
          </w:tcPr>
          <w:p>
            <w:pPr>
              <w:spacing w:after="0"/>
              <w:rPr>
                <w:sz w:val="19"/>
                <w:szCs w:val="19"/>
                <w:color w:val="auto"/>
              </w:rPr>
            </w:pPr>
          </w:p>
        </w:tc>
        <w:tc>
          <w:tcPr>
            <w:tcW w:w="9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1"/>
              </w:rPr>
              <w:t>      9.60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23,999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at December 31, 2024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24,535,828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1.37</w:t>
            </w:r>
          </w:p>
        </w:tc>
        <w:tc>
          <w:tcPr>
            <w:tcW w:w="1200" w:type="dxa"/>
            <w:vAlign w:val="bottom"/>
            <w:gridSpan w:val="2"/>
            <w:shd w:val="clear" w:color="auto" w:fill="CCEEFF"/>
          </w:tcPr>
          <w:p>
            <w:pPr>
              <w:jc w:val="center"/>
              <w:ind w:left="318"/>
              <w:spacing w:after="0"/>
              <w:rPr>
                <w:sz w:val="20"/>
                <w:szCs w:val="20"/>
                <w:color w:val="auto"/>
              </w:rPr>
            </w:pPr>
            <w:r>
              <w:rPr>
                <w:rFonts w:ascii="Times New Roman" w:cs="Times New Roman" w:eastAsia="Times New Roman" w:hAnsi="Times New Roman"/>
                <w:sz w:val="18"/>
                <w:szCs w:val="18"/>
                <w:color w:val="auto"/>
              </w:rPr>
              <w:t>9.60</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23,999</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80" w:type="dxa"/>
            <w:vAlign w:val="bottom"/>
            <w:vMerge w:val="continue"/>
          </w:tcPr>
          <w:p>
            <w:pPr>
              <w:spacing w:after="0"/>
              <w:rPr>
                <w:sz w:val="16"/>
                <w:szCs w:val="16"/>
                <w:color w:val="auto"/>
              </w:rPr>
            </w:pPr>
          </w:p>
        </w:tc>
        <w:tc>
          <w:tcPr>
            <w:tcW w:w="86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 xml:space="preserve">    </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10,033,498</w:t>
            </w:r>
          </w:p>
        </w:tc>
        <w:tc>
          <w:tcPr>
            <w:tcW w:w="280" w:type="dxa"/>
            <w:vAlign w:val="bottom"/>
          </w:tcPr>
          <w:p>
            <w:pPr>
              <w:spacing w:after="0"/>
              <w:rPr>
                <w:sz w:val="20"/>
                <w:szCs w:val="20"/>
                <w:color w:val="auto"/>
              </w:rPr>
            </w:pP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1.27</w:t>
            </w:r>
          </w:p>
        </w:tc>
        <w:tc>
          <w:tcPr>
            <w:tcW w:w="1200" w:type="dxa"/>
            <w:vAlign w:val="bottom"/>
            <w:gridSpan w:val="2"/>
          </w:tcPr>
          <w:p>
            <w:pPr>
              <w:jc w:val="center"/>
              <w:ind w:left="318"/>
              <w:spacing w:after="0"/>
              <w:rPr>
                <w:sz w:val="20"/>
                <w:szCs w:val="20"/>
                <w:color w:val="auto"/>
              </w:rPr>
            </w:pPr>
            <w:r>
              <w:rPr>
                <w:rFonts w:ascii="Times New Roman" w:cs="Times New Roman" w:eastAsia="Times New Roman" w:hAnsi="Times New Roman"/>
                <w:sz w:val="18"/>
                <w:szCs w:val="18"/>
                <w:color w:val="auto"/>
              </w:rPr>
              <w:t>9.60</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10,800</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table above excludes the 718,500 performance-based options which have an exercise price of $2.35 per share, that were approved to be issued by the Company’s Board of Directors in December 2024, but which have not yet been deemed granted from an accounting perspective as of December 31, 2024.</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 utilized the Black-Scholes option-pricing model for estimating the fair value of the stock options issued under the 2024 Plan on each grant date. The following table presents the ranges of assumptions used by the Company in the Black-Scholes option-pricing model during the year ended:</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36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5.19 - 6.08</w:t>
            </w: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3.7% - 4.39%</w:t>
            </w: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87.10% - 92.33%</w:t>
            </w:r>
          </w:p>
        </w:tc>
      </w:tr>
      <w:tr>
        <w:trPr>
          <w:trHeight w:val="234"/>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 - 0%</w:t>
            </w:r>
          </w:p>
        </w:tc>
      </w:tr>
    </w:tbl>
    <w:p>
      <w:pPr>
        <w:spacing w:after="0" w:line="179" w:lineRule="exact"/>
        <w:rPr>
          <w:sz w:val="20"/>
          <w:szCs w:val="20"/>
          <w:color w:val="auto"/>
        </w:rPr>
      </w:pPr>
    </w:p>
    <w:p>
      <w:pPr>
        <w:jc w:val="both"/>
        <w:ind w:left="120" w:right="480" w:firstLine="440"/>
        <w:spacing w:after="0" w:line="312" w:lineRule="auto"/>
        <w:rPr>
          <w:sz w:val="20"/>
          <w:szCs w:val="20"/>
          <w:color w:val="auto"/>
        </w:rPr>
      </w:pPr>
      <w:r>
        <w:rPr>
          <w:rFonts w:ascii="Times New Roman" w:cs="Times New Roman" w:eastAsia="Times New Roman" w:hAnsi="Times New Roman"/>
          <w:sz w:val="17"/>
          <w:szCs w:val="17"/>
          <w:color w:val="auto"/>
        </w:rPr>
        <w:t>The weighted-average grant date fair value of options granted during the year ended December 31, 2024 was $1.02 per share. The aggregate intrinsic value is calculated as the difference between the exercise price and the fair value of the Company’s common stock at December 31, 2024.</w:t>
      </w:r>
    </w:p>
    <w:p>
      <w:pPr>
        <w:spacing w:after="0" w:line="14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2024, there was $16.0 million in unrecognized stock-based compensation expense associated with issued and outstanding service-based stock options, which is expected to be recognized over a weighted-average period of 1.6 years and is partially subject to future accelerated vesting upon the close of an initial public offering.</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2024 Plan Restricted Stock Awards</w:t>
      </w:r>
    </w:p>
    <w:p>
      <w:pPr>
        <w:spacing w:after="0" w:line="119"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Company has granted restricted stock awards to certain members of the Company’s Board of Directors and Chief Executive Officer. Of the total 6,250,000 restricted stock awards granted: (i) 2,500,000 have service-based vesting in equal monthly installments over a three-year period, of which 50% of the unvested amount was subject to accelerated vesting upon the close of the Series B Financing and 50% of any unvested amounts is subject to future acceleration upon the close of an initial public offering; and (ii) 3,750,000 have performance based vesting which vested in full upon the close of the Series B Financing.</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40"/>
          </w:cols>
          <w:pgMar w:left="320" w:top="455" w:right="4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summary of the Company’s restricted stock award activity under the 2024 Plan during the year ended December 31, 2024:</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3"/>
                <w:szCs w:val="13"/>
                <w:color w:val="auto"/>
              </w:rPr>
            </w:pPr>
          </w:p>
        </w:tc>
        <w:tc>
          <w:tcPr>
            <w:tcW w:w="138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8"/>
        </w:trPr>
        <w:tc>
          <w:tcPr>
            <w:tcW w:w="868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8680" w:type="dxa"/>
            <w:vAlign w:val="bottom"/>
          </w:tcPr>
          <w:p>
            <w:pPr>
              <w:spacing w:after="0"/>
              <w:rPr>
                <w:sz w:val="15"/>
                <w:szCs w:val="15"/>
                <w:color w:val="auto"/>
              </w:rPr>
            </w:pPr>
          </w:p>
        </w:tc>
        <w:tc>
          <w:tcPr>
            <w:tcW w:w="13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6,250,000</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0.97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(5,347,222)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0.97</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902,778</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0.97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total fair value of restricted stock awards granted during the year ended December 31, 2024 was $6.1 million. The total fair value of the restricted stock awards that vested during the period was $5.2 million and the total stock-based compensation associated with the restricted stock awards during the year ended December 31, 2024 was $5.2 million. As of December 31, 2024, there was $0.9 million in unrecognized stock-based compensation expense associated with issued and outstanding restricted stock awards, which is expected to be recognized over a weighted-average period of 1.1 years.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120" w:right="8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represents stock-based compensation expense recorded in the Company’s consolidated statement of operations and comprehensive loss (in thousands):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9"/>
        </w:trPr>
        <w:tc>
          <w:tcPr>
            <w:tcW w:w="1002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00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5"/>
                <w:szCs w:val="15"/>
                <w:color w:val="auto"/>
              </w:rPr>
            </w:pPr>
          </w:p>
        </w:tc>
      </w:tr>
      <w:tr>
        <w:trPr>
          <w:trHeight w:val="21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13,962</w:t>
            </w:r>
          </w:p>
        </w:tc>
      </w:tr>
      <w:tr>
        <w:trPr>
          <w:trHeight w:val="27"/>
        </w:trPr>
        <w:tc>
          <w:tcPr>
            <w:tcW w:w="10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    14,524</w:t>
            </w:r>
          </w:p>
        </w:tc>
      </w:tr>
      <w:tr>
        <w:trPr>
          <w:trHeight w:val="20"/>
        </w:trPr>
        <w:tc>
          <w:tcPr>
            <w:tcW w:w="10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Total stock-based compensation expense for the year ended December 31, 2024 of $14.5 million included $14.4 million of stock-based compensation expense for Seaport employees, of which $9.6 million was due to accelerated vesting of certain awards upon the close of the Series B Financing, and $0.1 million of stock-based compensation expense associated with awards issued to Seaport employees prior to the Asset Transfer under PureTech’s stock-based compensation plans. Seaport employees continued to vest in their PureTech equity awards until October 2024, at which time PureTech no longer maintained a controlling interest and the Seaport employees ceased to vest in their PureTech awards. No related tax benefits from stock-based compensation expense were recognized for the year ended 2024.</w:t>
      </w:r>
    </w:p>
    <w:p>
      <w:pPr>
        <w:spacing w:after="0" w:line="187"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allocated stock-based compensation of $1.3 million, associated with PureTech employees equity awards who spent a proportion of time providing services to the Company through the Asset Transfer, which is excluded from the table above.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Prior to the Transaction, income taxes and related income tax accounts have been calculated using the separate return method as if the Company filed income tax returns on a standalone basis. Prior to the Transaction, the Company’s operations were calculated on a carve-out basis and included certain hypothetical tax attributes.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40"/>
          </w:cols>
          <w:pgMar w:left="320" w:top="455" w:right="4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460"/>
        <w:spacing w:after="0" w:line="261" w:lineRule="auto"/>
        <w:rPr>
          <w:sz w:val="20"/>
          <w:szCs w:val="20"/>
          <w:color w:val="auto"/>
        </w:rPr>
      </w:pPr>
      <w:r>
        <w:rPr>
          <w:rFonts w:ascii="Times New Roman" w:cs="Times New Roman" w:eastAsia="Times New Roman" w:hAnsi="Times New Roman"/>
          <w:sz w:val="18"/>
          <w:szCs w:val="18"/>
          <w:color w:val="auto"/>
        </w:rPr>
        <w:t>Following the Transaction, these hypothetical tax attributes are not available for future utilization by the Company and were removed from the tax provision. Furthermore, the Company operated as part of PureTech until the completion of the Asset Transfer on April 8, 2024, and therefore the Company will be included in PureTech’s U.S. Federal consolidated income tax return until that date. The Company will then file a standalone U.S. Federal consolidated income tax return for the remainder of fiscal year 2024.</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components of loss before income taxes (in thousands):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9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99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the provision for income taxes</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(46,879)</w:t>
            </w:r>
          </w:p>
        </w:tc>
        <w:tc>
          <w:tcPr>
            <w:tcW w:w="0" w:type="dxa"/>
            <w:vAlign w:val="bottom"/>
          </w:tcPr>
          <w:p>
            <w:pPr>
              <w:spacing w:after="0"/>
              <w:rPr>
                <w:sz w:val="1"/>
                <w:szCs w:val="1"/>
                <w:color w:val="auto"/>
              </w:rPr>
            </w:pPr>
          </w:p>
        </w:tc>
      </w:tr>
      <w:tr>
        <w:trPr>
          <w:trHeight w:val="20"/>
        </w:trPr>
        <w:tc>
          <w:tcPr>
            <w:tcW w:w="990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There is no income tax expense or benefit for the year ended December 31, 2024.</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9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 reconciliation of the federal statutory income tax rate to the effective tax rate is as follows: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9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9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99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at statutory rate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4"/>
                <w:szCs w:val="4"/>
                <w:color w:val="auto"/>
                <w:w w:val="98"/>
              </w:rPr>
              <w:t> </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 21.0%</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U.S. state income taxes, net of U.S. federal benefit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stock compensation</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9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effective income tax rate differs from the U.S. federal statutory rate of 21.0% primarily as a result of the valuation allowance maintained against the Company’s net deferred tax assets.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40"/>
          </w:cols>
          <w:pgMar w:left="320" w:top="455" w:right="4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reflect the net tax effects of temporary differences between the carrying amount of assets and liabilities for financial reporting and the amounts used for income tax purposes. Significant components of the Company’s deferred tax assets and liabilities were as follows (in thousands):</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Net operating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Tax credits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13335</wp:posOffset>
            </wp:positionV>
            <wp:extent cx="6995160" cy="13716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Less: valuation allowance</w:t>
      </w:r>
    </w:p>
    <w:p>
      <w:pPr>
        <w:spacing w:after="0" w:line="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1371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Right of use lease asset</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Total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 deferred tax assets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192" w:lineRule="exact"/>
        <w:rPr>
          <w:sz w:val="20"/>
          <w:szCs w:val="20"/>
          <w:color w:val="auto"/>
        </w:rPr>
      </w:pPr>
    </w:p>
    <w:p>
      <w:pPr>
        <w:ind w:left="580" w:hanging="575"/>
        <w:spacing w:after="0"/>
        <w:tabs>
          <w:tab w:leader="none" w:pos="5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1,940</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946</w:t>
      </w:r>
    </w:p>
    <w:p>
      <w:pPr>
        <w:spacing w:after="0" w:line="9"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1,349</w:t>
      </w:r>
    </w:p>
    <w:p>
      <w:pPr>
        <w:spacing w:after="0" w:line="9"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751</w:t>
      </w:r>
    </w:p>
    <w:p>
      <w:pPr>
        <w:spacing w:after="0" w:line="9"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4,505</w:t>
      </w:r>
    </w:p>
    <w:p>
      <w:pPr>
        <w:spacing w:after="0" w:line="9"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2,293</w:t>
      </w:r>
    </w:p>
    <w:p>
      <w:pPr>
        <w:spacing w:after="0" w:line="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(10,447)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6172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jc w:val="right"/>
        <w:ind w:right="140"/>
        <w:spacing w:after="0"/>
        <w:rPr>
          <w:sz w:val="20"/>
          <w:szCs w:val="20"/>
          <w:color w:val="auto"/>
        </w:rPr>
      </w:pPr>
      <w:r>
        <w:rPr>
          <w:rFonts w:ascii="Times New Roman" w:cs="Times New Roman" w:eastAsia="Times New Roman" w:hAnsi="Times New Roman"/>
          <w:sz w:val="18"/>
          <w:szCs w:val="18"/>
          <w:color w:val="auto"/>
        </w:rPr>
        <w:t>$        1,337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6172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23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(1,329)</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61722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ind w:left="520" w:hanging="515"/>
        <w:spacing w:after="0"/>
        <w:tabs>
          <w:tab w:leader="none" w:pos="52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(1,337)</w:t>
      </w:r>
    </w:p>
    <w:p>
      <w:pPr>
        <w:spacing w:after="0" w:line="47" w:lineRule="exact"/>
        <w:rPr>
          <w:rFonts w:ascii="Times New Roman" w:cs="Times New Roman" w:eastAsia="Times New Roman" w:hAnsi="Times New Roman"/>
          <w:sz w:val="17"/>
          <w:szCs w:val="17"/>
          <w:color w:val="auto"/>
        </w:rPr>
      </w:pPr>
    </w:p>
    <w:p>
      <w:pPr>
        <w:ind w:left="700" w:hanging="695"/>
        <w:spacing w:after="0"/>
        <w:tabs>
          <w:tab w:leader="none" w:pos="7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61722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17145</wp:posOffset>
            </wp:positionV>
            <wp:extent cx="6172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34290</wp:posOffset>
            </wp:positionV>
            <wp:extent cx="6172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120"/>
          </w:cols>
          <w:pgMar w:left="320" w:top="455" w:right="439" w:bottom="1440" w:gutter="0" w:footer="0" w:header="0"/>
          <w:type w:val="continuous"/>
        </w:sectPr>
      </w:pP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change in its valuation allowance account with respect to deferred tax assets is as follows (in thousands):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9900" w:type="dxa"/>
            <w:vAlign w:val="bottom"/>
          </w:tcPr>
          <w:p>
            <w:pPr>
              <w:spacing w:after="0"/>
              <w:rPr>
                <w:sz w:val="12"/>
                <w:szCs w:val="12"/>
                <w:color w:val="auto"/>
              </w:rPr>
            </w:pPr>
          </w:p>
        </w:tc>
        <w:tc>
          <w:tcPr>
            <w:tcW w:w="112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9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r>
      <w:tr>
        <w:trPr>
          <w:trHeight w:val="210"/>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13,039</w:t>
            </w:r>
          </w:p>
        </w:tc>
        <w:tc>
          <w:tcPr>
            <w:tcW w:w="12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(18,442)</w:t>
            </w:r>
          </w:p>
        </w:tc>
      </w:tr>
      <w:tr>
        <w:trPr>
          <w:trHeight w:val="223"/>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 10,447</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valuation allowance decreased during the year ended December 31, 2024 primarily as a result of the hypothetical tax attributes which are not available for future utilization by the Company as a result of the Transaction, partially offset by U.S. operating losses incurred, research credits generated, and capitalized research and other expenses generated after the Transaction.</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In determining the need for a valuation allowance, the Company considers the cumulative book income and loss position. The Company has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assessed, on a jurisdictional basis, the available means of recovering deferred tax assets, including the ability to carryback net operating losses, or NOLs,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existence of reversing taxable temporary differences, the availability of tax planning strategies, and forecasted future taxable income. 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2024, the Company maintained a full valuation allowance against its net deferred tax assets, as it has concluded that it is more likely than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 that the deferred assets will not be utilized.</w:t>
      </w:r>
    </w:p>
    <w:p>
      <w:pPr>
        <w:spacing w:after="0" w:line="20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U.S. federal NOLs, of $7.2 million. The U.S. federal NOLs do not expire. As of December 31, 2024, the Company had U.S. federal tax credit carryforwards of $1.5 million that expire at various dates through 2043 and $0.7 million that expire at various dates through 2044, respectively.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40"/>
          </w:cols>
          <w:pgMar w:left="320" w:top="455" w:right="439" w:bottom="1440" w:gutter="0" w:footer="0" w:header="0"/>
          <w:type w:val="continuous"/>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$6.9 million of state NOLs. These NOLs were generated in Massachusetts and expire at various dates through 2044. As of December 31, 2024, the Company had U.S. state tax credit carryforwards of $0.3 million that expire at various dates through 2038, respectively.</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Under Sections 382 and 383 of the U.S. Internal Revenue Code, if a corporation undergoes an ownership change, the corporation’s ability to use its pre-ownership change NOLs and other pre-ownership change tax attributes, such as research tax credits, to offset its post-change income and taxes may be limited. In general, an ownership change occurs if there is a cumulative change in an entity’s ownership by 5% stockholders that exceeds 50 percentage points over a rolling three-year period. Similar rules may apply under U.S. state tax laws. Under the Tax Cuts and Jobs Act of 2017, the use of federal NOLs arising in taxable years beginning after December 31, 2017 is limited to 80% of current year taxable income and NOLs arising in taxable years ending after December 31, 2017 may not be carried back (though any such NOLs may be carried forward indefinitely).</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 may have experienced an ownership change in the current period and may experience ownership changes in the future as a result of future transactions in its share capital, some of which may be outside of the control of the Company. As a result, if the Company earns net taxable income, its ability to use its pre-ownership change NOLs, or other pre-ownership change tax attributes, to offset U.S. federal and state taxable income and taxes may be subject to significant limitations.</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in the United States. At December 31, 2024, the Company is no longer subject to examination by taxing authorities in the United States for years prior to 2021. NOLs and tax credits in the United States may be subject to adjustments by taxing authorities in future years in which they are utilized.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October 2024, the Company entered into an operating lease for office space in Boston, Massachusetts, which commenced in December 2024 and has an initial lease term that continues through October 20, 2030, with no options to extend. In conjunction with entering into the lease, the Company paid a security deposit of $0.2 million in the form of a letter of credit, which is recorded as restricted cash within other non-current assets on the Company’s consolidated balance sheet as of December 31, 2024.</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December 2024, the Company entered into a laboratory license agreement with a third party for lab space located in Boston, Massachusetts.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license commenced in January 2025 and is for an initial term of 24 months from the commencement date, with no renewal option.</w:t>
      </w:r>
    </w:p>
    <w:p>
      <w:pPr>
        <w:spacing w:after="0" w:line="207" w:lineRule="exact"/>
        <w:rPr>
          <w:sz w:val="20"/>
          <w:szCs w:val="20"/>
          <w:color w:val="auto"/>
        </w:rPr>
      </w:pPr>
    </w:p>
    <w:p>
      <w:pPr>
        <w:ind w:left="120" w:right="520" w:firstLine="440"/>
        <w:spacing w:after="0" w:line="312" w:lineRule="auto"/>
        <w:rPr>
          <w:sz w:val="20"/>
          <w:szCs w:val="20"/>
          <w:color w:val="auto"/>
        </w:rPr>
      </w:pPr>
      <w:r>
        <w:rPr>
          <w:rFonts w:ascii="Times New Roman" w:cs="Times New Roman" w:eastAsia="Times New Roman" w:hAnsi="Times New Roman"/>
          <w:sz w:val="17"/>
          <w:szCs w:val="17"/>
          <w:color w:val="auto"/>
        </w:rPr>
        <w:t>Prior to entering into the lease and laboratory license agreement, the Company did not have any leases as it shared office and lab space with PureTech and made payments to PureTech under the TSA. See Note 16—Related Parties for further disclosure of transactions with PureTech.</w:t>
      </w:r>
    </w:p>
    <w:p>
      <w:pPr>
        <w:spacing w:after="0" w:line="140"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contains a summary of the components of lease costs recognized pertaining to the Company’s operating lease for the year ended December 31, 2024 (in thousands):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358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580" w:type="dxa"/>
            <w:vAlign w:val="bottom"/>
            <w:tcBorders>
              <w:bottom w:val="single" w:sz="8" w:color="CCEEFF"/>
            </w:tcBorders>
          </w:tcPr>
          <w:p>
            <w:pPr>
              <w:spacing w:after="0"/>
              <w:rPr>
                <w:sz w:val="15"/>
                <w:szCs w:val="15"/>
                <w:color w:val="auto"/>
              </w:rPr>
            </w:pPr>
          </w:p>
        </w:tc>
        <w:tc>
          <w:tcPr>
            <w:tcW w:w="65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5"/>
                <w:szCs w:val="15"/>
                <w:color w:val="auto"/>
              </w:rPr>
            </w:pPr>
          </w:p>
        </w:tc>
      </w:tr>
      <w:tr>
        <w:trPr>
          <w:trHeight w:val="196"/>
        </w:trPr>
        <w:tc>
          <w:tcPr>
            <w:tcW w:w="3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Lease Cost</w:t>
            </w:r>
          </w:p>
        </w:tc>
        <w:tc>
          <w:tcPr>
            <w:tcW w:w="6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3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cost</w:t>
            </w:r>
          </w:p>
        </w:tc>
        <w:tc>
          <w:tcPr>
            <w:tcW w:w="6720" w:type="dxa"/>
            <w:vAlign w:val="bottom"/>
            <w:gridSpan w:val="2"/>
          </w:tcPr>
          <w:p>
            <w:pPr>
              <w:ind w:left="65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3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Variable lease cost</w:t>
            </w:r>
          </w:p>
        </w:tc>
        <w:tc>
          <w:tcPr>
            <w:tcW w:w="6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3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cost</w:t>
            </w:r>
          </w:p>
        </w:tc>
        <w:tc>
          <w:tcPr>
            <w:tcW w:w="6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75</w:t>
            </w:r>
          </w:p>
        </w:tc>
        <w:tc>
          <w:tcPr>
            <w:tcW w:w="6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580" w:type="dxa"/>
            <w:vAlign w:val="bottom"/>
          </w:tcPr>
          <w:p>
            <w:pPr>
              <w:spacing w:after="0"/>
              <w:rPr>
                <w:sz w:val="24"/>
                <w:szCs w:val="24"/>
                <w:color w:val="auto"/>
              </w:rPr>
            </w:pPr>
          </w:p>
        </w:tc>
        <w:tc>
          <w:tcPr>
            <w:tcW w:w="672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F-31</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contains a summary of other supplemental lease information pertaining to the Company’s operating lease for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660" w:type="dxa"/>
            <w:vAlign w:val="bottom"/>
          </w:tcPr>
          <w:p>
            <w:pPr>
              <w:spacing w:after="0"/>
              <w:rPr>
                <w:sz w:val="15"/>
                <w:szCs w:val="15"/>
                <w:color w:val="auto"/>
              </w:rPr>
            </w:pPr>
          </w:p>
        </w:tc>
        <w:tc>
          <w:tcPr>
            <w:tcW w:w="214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r>
      <w:tr>
        <w:trPr>
          <w:trHeight w:val="196"/>
        </w:trPr>
        <w:tc>
          <w:tcPr>
            <w:tcW w:w="8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Lease Information</w:t>
            </w:r>
          </w:p>
        </w:tc>
        <w:tc>
          <w:tcPr>
            <w:tcW w:w="13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liability—operating leases (in thousands)</w:t>
            </w:r>
          </w:p>
        </w:tc>
        <w:tc>
          <w:tcPr>
            <w:tcW w:w="17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term—operating leases</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r>
      <w:tr>
        <w:trPr>
          <w:trHeight w:val="234"/>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rate—operating leases</w:t>
            </w:r>
          </w:p>
        </w:tc>
        <w:tc>
          <w:tcPr>
            <w:tcW w:w="1320" w:type="dxa"/>
            <w:vAlign w:val="bottom"/>
          </w:tcPr>
          <w:p>
            <w:pPr>
              <w:spacing w:after="0"/>
              <w:rPr>
                <w:sz w:val="20"/>
                <w:szCs w:val="20"/>
                <w:color w:val="auto"/>
              </w:rPr>
            </w:pPr>
          </w:p>
        </w:tc>
        <w:tc>
          <w:tcPr>
            <w:tcW w:w="440" w:type="dxa"/>
            <w:vAlign w:val="bottom"/>
          </w:tcPr>
          <w:p>
            <w:pPr>
              <w:ind w:left="340"/>
              <w:spacing w:after="0"/>
              <w:rPr>
                <w:sz w:val="20"/>
                <w:szCs w:val="20"/>
                <w:color w:val="auto"/>
              </w:rPr>
            </w:pPr>
            <w:r>
              <w:rPr>
                <w:rFonts w:ascii="Times New Roman" w:cs="Times New Roman" w:eastAsia="Times New Roman" w:hAnsi="Times New Roman"/>
                <w:sz w:val="11"/>
                <w:szCs w:val="11"/>
                <w:color w:val="auto"/>
                <w:w w:val="72"/>
              </w:rPr>
              <w:t> </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6.61%</w:t>
            </w: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reconciles future minimum payments under non-cancellable operating leases as of December 31, 2024 (in thousands):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120" w:type="dxa"/>
            <w:vAlign w:val="bottom"/>
          </w:tcPr>
          <w:p>
            <w:pPr>
              <w:spacing w:after="0"/>
              <w:rPr>
                <w:sz w:val="13"/>
                <w:szCs w:val="13"/>
                <w:color w:val="auto"/>
              </w:rPr>
            </w:pP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10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09"/>
        </w:trPr>
        <w:tc>
          <w:tcPr>
            <w:tcW w:w="10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1,635</w:t>
            </w:r>
          </w:p>
        </w:tc>
      </w:tr>
      <w:tr>
        <w:trPr>
          <w:trHeight w:val="216"/>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1,100</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1,079</w:t>
            </w:r>
          </w:p>
        </w:tc>
      </w:tr>
      <w:tr>
        <w:trPr>
          <w:trHeight w:val="216"/>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1,112</w:t>
            </w:r>
          </w:p>
        </w:tc>
      </w:tr>
      <w:tr>
        <w:trPr>
          <w:trHeight w:val="223"/>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tcPr>
          <w:p>
            <w:pPr>
              <w:spacing w:after="0"/>
              <w:rPr>
                <w:sz w:val="19"/>
                <w:szCs w:val="19"/>
                <w:color w:val="auto"/>
              </w:rPr>
            </w:pPr>
          </w:p>
        </w:tc>
      </w:tr>
      <w:tr>
        <w:trPr>
          <w:trHeight w:val="216"/>
        </w:trPr>
        <w:tc>
          <w:tcPr>
            <w:tcW w:w="10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payment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7,276</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(1,051)</w:t>
            </w:r>
          </w:p>
        </w:tc>
      </w:tr>
      <w:tr>
        <w:trPr>
          <w:trHeight w:val="216"/>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impact of leases not yet commenced</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(1,219)</w:t>
            </w:r>
          </w:p>
        </w:tc>
      </w:tr>
      <w:tr>
        <w:trPr>
          <w:trHeight w:val="223"/>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120" w:type="dxa"/>
            <w:vAlign w:val="bottom"/>
          </w:tcPr>
          <w:p>
            <w:pPr>
              <w:spacing w:after="0"/>
              <w:rPr>
                <w:sz w:val="19"/>
                <w:szCs w:val="19"/>
                <w:color w:val="auto"/>
              </w:rPr>
            </w:pPr>
          </w:p>
        </w:tc>
      </w:tr>
      <w:tr>
        <w:trPr>
          <w:trHeight w:val="20"/>
        </w:trPr>
        <w:tc>
          <w:tcPr>
            <w:tcW w:w="10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lease liability</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857</w:t>
            </w:r>
          </w:p>
        </w:tc>
      </w:tr>
      <w:tr>
        <w:trPr>
          <w:trHeight w:val="234"/>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4,149</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Company, from time to time, may be involved with lawsuits arising in the ordinary course of business. The Company is not involved in any pending legal proceedings that it believes could have a material adverse effect on its financial condition, results of operations, or cash flows.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Contracts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various third parties for preclinical research studies, clinical trials, testing, manufacturing, and other services. These contracts generally provide for termination upon notice and are cancellable without significant penalty or payment, and do not contain any minimum purchase commitments.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40"/>
          </w:cols>
          <w:pgMar w:left="320" w:top="455" w:right="4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parties. In addition, the Company has entered into indemnification agreements with all board of directors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that could have a material effect on its financial position, results of operations, or cash flows, and it has not accrued any liabilities related to such obligations in its consolidated financial statements as of December 31, 2024.</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 participates in the PureTech defined-contribution plan under Section 401(k) of the Internal Revenue Code of 1986, or the 401(k) Plan. The 401(k) Plan covers all employees who meet defined minimum age and service requirements and allows participants to defer a portion of their annual compensation on a pre-tax basis. The Company will make a contribution of 3% of each employee’s annual compensation up to annual safe harbor limits. The Company has accrued $0.1 million in 401(k) contribution liabilities as of December 31, 2024.</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Note 12—Leases, for information related to the Company’s lease obligations.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SEGMENTS</w:t>
      </w:r>
    </w:p>
    <w:p>
      <w:pPr>
        <w:spacing w:after="0" w:line="121" w:lineRule="exact"/>
        <w:rPr>
          <w:sz w:val="20"/>
          <w:szCs w:val="20"/>
          <w:color w:val="auto"/>
        </w:rPr>
      </w:pPr>
    </w:p>
    <w:p>
      <w:pPr>
        <w:ind w:left="120" w:right="460" w:firstLine="440"/>
        <w:spacing w:after="0" w:line="296" w:lineRule="auto"/>
        <w:rPr>
          <w:sz w:val="20"/>
          <w:szCs w:val="20"/>
          <w:color w:val="auto"/>
        </w:rPr>
      </w:pPr>
      <w:r>
        <w:rPr>
          <w:rFonts w:ascii="Times New Roman" w:cs="Times New Roman" w:eastAsia="Times New Roman" w:hAnsi="Times New Roman"/>
          <w:sz w:val="18"/>
          <w:szCs w:val="18"/>
          <w:color w:val="auto"/>
        </w:rPr>
        <w:t>The Company has one operating and reportable segment focused on inventing and developing novel medicines for patients with depression, anxiety, and other debilitating neuropsychiatric disorders using the Company’s proprietary Glyph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w:t>
      </w:r>
    </w:p>
    <w:p>
      <w:pPr>
        <w:spacing w:after="0" w:line="24"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CODM manages the Company’s operations on a consolidated basis, and assesses performance based on consolidated net loss that is reported on the consolidated statement of operations and comprehensive loss. The CODM makes decisions about allocating resources and assessing performance for the entire company. The measure of segment assets is reported on the consolidated balance sheet as total consolidated assets.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080"/>
          </w:cols>
          <w:pgMar w:left="320" w:top="455" w:right="49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certain significant segment expenses that are regularly provided to the CODM (in thousands):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20" w:type="dxa"/>
            <w:vAlign w:val="bottom"/>
          </w:tcPr>
          <w:p>
            <w:pPr>
              <w:spacing w:after="0"/>
              <w:rPr>
                <w:sz w:val="13"/>
                <w:szCs w:val="13"/>
                <w:color w:val="auto"/>
              </w:rPr>
            </w:pP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9"/>
        </w:trPr>
        <w:tc>
          <w:tcPr>
            <w:tcW w:w="10020" w:type="dxa"/>
            <w:vAlign w:val="bottom"/>
          </w:tcPr>
          <w:p>
            <w:pPr>
              <w:spacing w:after="0"/>
              <w:rPr>
                <w:sz w:val="12"/>
                <w:szCs w:val="12"/>
                <w:color w:val="auto"/>
              </w:rPr>
            </w:pPr>
          </w:p>
        </w:tc>
        <w:tc>
          <w:tcPr>
            <w:tcW w:w="10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00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r>
      <w:tr>
        <w:trPr>
          <w:trHeight w:val="196"/>
        </w:trPr>
        <w:tc>
          <w:tcPr>
            <w:tcW w:w="100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10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GlyphAllo direct research and development expenses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7,396</w:t>
            </w:r>
          </w:p>
        </w:tc>
      </w:tr>
      <w:tr>
        <w:trPr>
          <w:trHeight w:val="216"/>
        </w:trPr>
        <w:tc>
          <w:tcPr>
            <w:tcW w:w="10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GlyphAgo direct research and development expenses</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5,204</w:t>
            </w:r>
          </w:p>
        </w:tc>
      </w:tr>
      <w:tr>
        <w:trPr>
          <w:trHeight w:val="216"/>
        </w:trPr>
        <w:tc>
          <w:tcPr>
            <w:tcW w:w="10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Preclinical and early discovery assets</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5,903</w:t>
            </w:r>
          </w:p>
        </w:tc>
      </w:tr>
      <w:tr>
        <w:trPr>
          <w:trHeight w:val="216"/>
        </w:trPr>
        <w:tc>
          <w:tcPr>
            <w:tcW w:w="10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Personnel-related (including stock-based compensation of $0.7 million)</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5,699</w:t>
            </w:r>
          </w:p>
        </w:tc>
      </w:tr>
      <w:tr>
        <w:trPr>
          <w:trHeight w:val="223"/>
        </w:trPr>
        <w:tc>
          <w:tcPr>
            <w:tcW w:w="10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indirect research and development expenses</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Pr>
          <w:p>
            <w:pPr>
              <w:spacing w:after="0"/>
              <w:rPr>
                <w:sz w:val="19"/>
                <w:szCs w:val="19"/>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25,070</w:t>
            </w: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10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Personnel-related (including stock-based compensation of $15.2 million)</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20,661</w:t>
            </w:r>
          </w:p>
        </w:tc>
      </w:tr>
      <w:tr>
        <w:trPr>
          <w:trHeight w:val="223"/>
        </w:trPr>
        <w:tc>
          <w:tcPr>
            <w:tcW w:w="10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120" w:type="dxa"/>
            <w:vAlign w:val="bottom"/>
          </w:tcPr>
          <w:p>
            <w:pPr>
              <w:spacing w:after="0"/>
              <w:rPr>
                <w:sz w:val="19"/>
                <w:szCs w:val="19"/>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27,346</w:t>
            </w:r>
          </w:p>
        </w:tc>
      </w:tr>
      <w:tr>
        <w:trPr>
          <w:trHeight w:val="230"/>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 segment items</w:t>
            </w:r>
          </w:p>
        </w:tc>
        <w:tc>
          <w:tcPr>
            <w:tcW w:w="2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20" w:type="dxa"/>
            <w:vAlign w:val="bottom"/>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46,879</w:t>
            </w:r>
          </w:p>
        </w:tc>
      </w:tr>
      <w:tr>
        <w:trPr>
          <w:trHeight w:val="20"/>
        </w:trPr>
        <w:tc>
          <w:tcPr>
            <w:tcW w:w="10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NET LOSS PER SHARE</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Upon the Company’s formation on April 1, 2024, the Company issued 1,000 shares of its common stock to PureTech and on April 8, 2024, the effective date of the Asset Transfer, an additional 949,000 shares of its common stock were issued to PureTech. The aggregate 950,000 shares were considered outstanding for the full year and the Exchange Shares were considered outstanding based on their issuance or vesting dates, as applicable, in the calculation of basic and diluted earnings per share for the year ended December 31, 2024, as the formation, Asset Transfer and Exchange Shares were deemed to be common control transactions. There were no shares of the Company outstanding prior to the Company’s formation and the Asset Transfer Date.</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Under the two-class method, basic net loss per share is calculated by dividing the net loss attributable to common stockholders by the weighted average number of shares of common stock outstanding during the period, without consideration for potentially dilutive securities. The net loss available to common stockholders was not allocated to the Preferred Stock as the holders did not have a contractual obligation to share in losses. Diluted net loss per share is the same as basic net loss per share for the years presented since the effects of any potentially dilutive securities, would be antidilutive given the net loss of the Company.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Basic and diluted net loss per share is calculated as follows (in thousands except share and per share amounts):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660" w:type="dxa"/>
            <w:vAlign w:val="bottom"/>
            <w:tcBorders>
              <w:bottom w:val="single" w:sz="8" w:color="CCEEFF"/>
            </w:tcBorders>
          </w:tcPr>
          <w:p>
            <w:pPr>
              <w:spacing w:after="0"/>
              <w:rPr>
                <w:sz w:val="15"/>
                <w:szCs w:val="15"/>
                <w:color w:val="auto"/>
              </w:rPr>
            </w:pPr>
          </w:p>
        </w:tc>
        <w:tc>
          <w:tcPr>
            <w:tcW w:w="54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5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vMerge w:val="continue"/>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5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1"/>
              <w:spacing w:after="0" w:line="192" w:lineRule="exact"/>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34"/>
        </w:trPr>
        <w:tc>
          <w:tcPr>
            <w:tcW w:w="4660" w:type="dxa"/>
            <w:vAlign w:val="bottom"/>
            <w:shd w:val="clear" w:color="auto" w:fill="CCEEFF"/>
          </w:tcPr>
          <w:p>
            <w:pPr>
              <w:spacing w:after="0"/>
              <w:rPr>
                <w:sz w:val="20"/>
                <w:szCs w:val="20"/>
                <w:color w:val="auto"/>
              </w:rPr>
            </w:pPr>
          </w:p>
        </w:tc>
        <w:tc>
          <w:tcPr>
            <w:tcW w:w="5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7"/>
              </w:rPr>
              <w:t>2,961,543</w:t>
            </w:r>
          </w:p>
        </w:tc>
        <w:tc>
          <w:tcPr>
            <w:tcW w:w="0" w:type="dxa"/>
            <w:vAlign w:val="bottom"/>
          </w:tcPr>
          <w:p>
            <w:pPr>
              <w:spacing w:after="0"/>
              <w:rPr>
                <w:sz w:val="1"/>
                <w:szCs w:val="1"/>
                <w:color w:val="auto"/>
              </w:rPr>
            </w:pPr>
          </w:p>
        </w:tc>
      </w:tr>
      <w:tr>
        <w:trPr>
          <w:trHeight w:val="365"/>
        </w:trPr>
        <w:tc>
          <w:tcPr>
            <w:tcW w:w="4660" w:type="dxa"/>
            <w:vAlign w:val="bottom"/>
          </w:tcPr>
          <w:p>
            <w:pPr>
              <w:spacing w:after="0"/>
              <w:rPr>
                <w:sz w:val="24"/>
                <w:szCs w:val="24"/>
                <w:color w:val="auto"/>
              </w:rPr>
            </w:pPr>
          </w:p>
        </w:tc>
        <w:tc>
          <w:tcPr>
            <w:tcW w:w="55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F-34</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For accounting purposes, the computation of basic and diluted weighted-average common shares outstanding for the year ended December 31, 2024 excludes all shares of unvested restricted common stock as such shares are not considered outstanding. See Note 10—Stock-Based Compensation, for more information.</w:t>
      </w:r>
    </w:p>
    <w:p>
      <w:pPr>
        <w:spacing w:after="0" w:line="176"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securities have been excluded from the calculation of diluted net loss per share attributable to common stockholders, as their effect is antidilutive: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8240" w:type="dxa"/>
            <w:vAlign w:val="bottom"/>
          </w:tcPr>
          <w:p>
            <w:pPr>
              <w:spacing w:after="0"/>
              <w:rPr>
                <w:sz w:val="13"/>
                <w:szCs w:val="13"/>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9"/>
        </w:trPr>
        <w:tc>
          <w:tcPr>
            <w:tcW w:w="12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15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220" w:type="dxa"/>
            <w:vAlign w:val="bottom"/>
            <w:tcBorders>
              <w:bottom w:val="single" w:sz="8" w:color="CCEEFF"/>
            </w:tcBorders>
          </w:tcPr>
          <w:p>
            <w:pPr>
              <w:spacing w:after="0"/>
              <w:rPr>
                <w:sz w:val="15"/>
                <w:szCs w:val="15"/>
                <w:color w:val="auto"/>
              </w:rPr>
            </w:pPr>
          </w:p>
        </w:tc>
        <w:tc>
          <w:tcPr>
            <w:tcW w:w="824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r>
      <w:tr>
        <w:trPr>
          <w:trHeight w:val="209"/>
        </w:trPr>
        <w:tc>
          <w:tcPr>
            <w:tcW w:w="946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Stock options to purchase common stock </w:t>
            </w:r>
            <w:r>
              <w:rPr>
                <w:rFonts w:ascii="Times New Roman" w:cs="Times New Roman" w:eastAsia="Times New Roman" w:hAnsi="Times New Roman"/>
                <w:sz w:val="24"/>
                <w:szCs w:val="24"/>
                <w:color w:val="auto"/>
                <w:vertAlign w:val="superscript"/>
              </w:rPr>
              <w:t>(1)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24,535,828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902,778</w:t>
            </w:r>
          </w:p>
        </w:tc>
        <w:tc>
          <w:tcPr>
            <w:tcW w:w="60" w:type="dxa"/>
            <w:vAlign w:val="bottom"/>
          </w:tcPr>
          <w:p>
            <w:pPr>
              <w:spacing w:after="0"/>
              <w:rPr>
                <w:sz w:val="18"/>
                <w:szCs w:val="18"/>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A-1 Preferred Stock (as converted to common stock)</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40,000,000</w:t>
            </w:r>
          </w:p>
        </w:tc>
        <w:tc>
          <w:tcPr>
            <w:tcW w:w="60" w:type="dxa"/>
            <w:vAlign w:val="bottom"/>
            <w:shd w:val="clear" w:color="auto" w:fill="CCEEFF"/>
          </w:tcPr>
          <w:p>
            <w:pPr>
              <w:spacing w:after="0"/>
              <w:rPr>
                <w:sz w:val="18"/>
                <w:szCs w:val="18"/>
                <w:color w:val="auto"/>
              </w:rPr>
            </w:pP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A-2 Preferred Stock (as converted to common stock)</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26,342,102</w:t>
            </w:r>
          </w:p>
        </w:tc>
        <w:tc>
          <w:tcPr>
            <w:tcW w:w="60" w:type="dxa"/>
            <w:vAlign w:val="bottom"/>
          </w:tcPr>
          <w:p>
            <w:pPr>
              <w:spacing w:after="0"/>
              <w:rPr>
                <w:sz w:val="18"/>
                <w:szCs w:val="18"/>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Preferred Stock (as converted to common stock)</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47,578,934</w:t>
            </w:r>
          </w:p>
        </w:tc>
        <w:tc>
          <w:tcPr>
            <w:tcW w:w="60" w:type="dxa"/>
            <w:vAlign w:val="bottom"/>
            <w:shd w:val="clear" w:color="auto" w:fill="CCEEFF"/>
          </w:tcPr>
          <w:p>
            <w:pPr>
              <w:spacing w:after="0"/>
              <w:rPr>
                <w:sz w:val="18"/>
                <w:szCs w:val="18"/>
                <w:color w:val="auto"/>
              </w:rPr>
            </w:pPr>
          </w:p>
        </w:tc>
      </w:tr>
      <w:tr>
        <w:trPr>
          <w:trHeight w:val="223"/>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139,359,642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8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2" w:lineRule="exact"/>
        <w:rPr>
          <w:sz w:val="20"/>
          <w:szCs w:val="20"/>
          <w:color w:val="auto"/>
        </w:rPr>
      </w:pPr>
    </w:p>
    <w:p>
      <w:pPr>
        <w:ind w:left="540" w:right="120" w:hanging="424"/>
        <w:spacing w:after="0" w:line="282" w:lineRule="auto"/>
        <w:tabs>
          <w:tab w:leader="none" w:pos="5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above excludes the performance-based options, as they were not yet been deemed granted from an accounting perspective. See Note 10 —Stock-Based Compensation, for more information.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 RELATED PARTIES</w:t>
      </w:r>
    </w:p>
    <w:p>
      <w:pPr>
        <w:spacing w:after="0" w:line="121"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there was $5.5 million of corporate expense allocations from PureTech Health plc prior to the Transaction and $14.2 million of expenses incurred pursuant to the TSA after the Asset Transfer Date.</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Prior to the Transaction, the Company historically operated as part of PureTech and not as a separate entity. Accordingly, for the period prior to the Transaction, certain corporate expenses represent shared costs of PureTech that were allocated to the Company based on a systematic and rational methodology and are reflected as expenses in these consolidated financial statements. These amounts include, but are not limited to, items such as payroll, general management and executive oversight, costs to support Seaport’s information technology infrastructure, facilities, compliance, human resources, legal, and finance functions, risk management, and stock-based compensation, all of which supported the operations of PureTech as a whole. Corporate expense and shared cost allocations are generally allocated to the Company based on proportional cost allocation methods using headcount or proportional time worked supporting the Seaport Business and other organizational activities, as applicable, which were considered to be reasonable reflections of the utilization of services provided or benefit received by the Company during the periods presented prior to the Transaction. Total corporate expense allocations were $1.7 million in research and development and $3.8 million in general and administrative expenses during the year ended December 31, 2024. Net transfers from PureTech Health plc within financing activities in the consolidated statement of cash flows and the consolidated statement of convertible preferred stock and stockholders’ deficit consist of the following (in thousands):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9"/>
        </w:trPr>
        <w:tc>
          <w:tcPr>
            <w:tcW w:w="41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160" w:type="dxa"/>
            <w:vAlign w:val="bottom"/>
            <w:tcBorders>
              <w:bottom w:val="single" w:sz="8" w:color="CCEEFF"/>
            </w:tcBorders>
          </w:tcPr>
          <w:p>
            <w:pPr>
              <w:spacing w:after="0"/>
              <w:rPr>
                <w:sz w:val="15"/>
                <w:szCs w:val="15"/>
                <w:color w:val="auto"/>
              </w:rPr>
            </w:pPr>
          </w:p>
        </w:tc>
        <w:tc>
          <w:tcPr>
            <w:tcW w:w="58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5"/>
                <w:szCs w:val="15"/>
                <w:color w:val="auto"/>
              </w:rPr>
            </w:pP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cost allocations from PureTech</w:t>
            </w:r>
          </w:p>
        </w:tc>
        <w:tc>
          <w:tcPr>
            <w:tcW w:w="5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w:t>
            </w:r>
          </w:p>
        </w:tc>
        <w:tc>
          <w:tcPr>
            <w:tcW w:w="8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General finance activities</w:t>
            </w:r>
          </w:p>
        </w:tc>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8,508</w:t>
            </w:r>
          </w:p>
        </w:tc>
      </w:tr>
      <w:tr>
        <w:trPr>
          <w:trHeight w:val="27"/>
        </w:trPr>
        <w:tc>
          <w:tcPr>
            <w:tcW w:w="416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transfers from PureTech</w:t>
            </w:r>
          </w:p>
        </w:tc>
        <w:tc>
          <w:tcPr>
            <w:tcW w:w="5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     13,967</w:t>
            </w:r>
          </w:p>
        </w:tc>
      </w:tr>
      <w:tr>
        <w:trPr>
          <w:trHeight w:val="20"/>
        </w:trPr>
        <w:tc>
          <w:tcPr>
            <w:tcW w:w="41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4160" w:type="dxa"/>
            <w:vAlign w:val="bottom"/>
          </w:tcPr>
          <w:p>
            <w:pPr>
              <w:spacing w:after="0"/>
              <w:rPr>
                <w:sz w:val="24"/>
                <w:szCs w:val="24"/>
                <w:color w:val="auto"/>
              </w:rPr>
            </w:pPr>
          </w:p>
        </w:tc>
        <w:tc>
          <w:tcPr>
            <w:tcW w:w="5960" w:type="dxa"/>
            <w:vAlign w:val="bottom"/>
            <w:gridSpan w:val="2"/>
          </w:tcPr>
          <w:p>
            <w:pPr>
              <w:jc w:val="right"/>
              <w:ind w:right="4362"/>
              <w:spacing w:after="0"/>
              <w:rPr>
                <w:sz w:val="20"/>
                <w:szCs w:val="20"/>
                <w:color w:val="auto"/>
              </w:rPr>
            </w:pPr>
            <w:r>
              <w:rPr>
                <w:rFonts w:ascii="Times New Roman" w:cs="Times New Roman" w:eastAsia="Times New Roman" w:hAnsi="Times New Roman"/>
                <w:sz w:val="18"/>
                <w:szCs w:val="18"/>
                <w:color w:val="auto"/>
              </w:rPr>
              <w:t>F-35</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As disclosed in Note 1—Nature of Business and Basis of Presentation, the Company entered into the Asset Transfer Agreement with PureTech and issued 40,000,000 shares of its Series A-1 Preferred Stock to PureTech LYT. In connection with entering into the Asset Transfer Agreement, the Company entered into the TSA with PureTech, under which the Company made an up-front payment of $0.5 million to reimburse PureTech for work performed by certain third-parties prior to the closing of the Asset Transfer Agreement to advance the Company’s programs and activities. During the year ended December 31, 2024, the Company incurred $14.2 million of expenses from PureTech under the TSA of which $12.4 million related to research and development and $1.8 million related to general and administrative expenses.</w:t>
      </w:r>
    </w:p>
    <w:p>
      <w:pPr>
        <w:spacing w:after="0" w:line="187"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In April 2024, as part of its Series A-2 Financing, the Company issued and sold 8,421,052 shares of its Series A-2 Preferred Stock to PureTech LYT, at a purchase price of $3.80 per share for gross aggregate proceeds of $32.0 million. Subsequent to the Series A-2 financing, PureTech LYT remained the controlling investor of the Company.</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October 2024, as part of its Series B Financing, the Company issued and sold an aggregate 3,031,578 and 494,734 shares of its Series B Preferred Stock to PureTech LYT and to certain of the Company’s management and board of directors, respectively, at a purchase price of $4.75 per share, for gross aggregate proceeds of $14.4 million and $2.3 million, respectively. Subsequent to the Series B Financing, PureTech LYT was no longer a controlling investor of the Company.</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made payments of $0.2 million to Third Rock Ventures for professional fees, which were included within general and administrative expenses.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March 31, 2025, the date these consolidated financial statements were available to be issued. There were no subsequent events that require adjustments to or disclosure in the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18. SUBSEQUENT EVENTS (UNAUDITED)</w:t>
      </w:r>
    </w:p>
    <w:p>
      <w:pPr>
        <w:spacing w:after="0" w:line="121"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In connection with the reissuance of the financial statements, the Company has evaluated subsequent events through November 21, 2025, the date the financial statements were available to be reissued. The Company has concluded that no subsequent events have occurred that require disclosure.</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20"/>
          </w:cols>
          <w:pgMar w:left="320" w:top="455" w:right="45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233045</wp:posOffset>
            </wp:positionV>
            <wp:extent cx="69951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275590</wp:posOffset>
            </wp:positionV>
            <wp:extent cx="699516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00"/>
          </w:cols>
          <w:pgMar w:left="320" w:top="455"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5"/>
          <w:szCs w:val="25"/>
          <w:b w:val="1"/>
          <w:bCs w:val="1"/>
          <w:color w:val="auto"/>
        </w:rPr>
        <w:t>            Shares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43"/>
          <w:szCs w:val="43"/>
          <w:b w:val="1"/>
          <w:bCs w:val="1"/>
          <w:color w:val="auto"/>
        </w:rPr>
        <w:t>Seaport Therapeutics, Inc.</w:t>
      </w:r>
    </w:p>
    <w:p>
      <w:pPr>
        <w:spacing w:after="0" w:line="2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564515</wp:posOffset>
            </wp:positionV>
            <wp:extent cx="147447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1901825</wp:posOffset>
            </wp:positionV>
            <wp:extent cx="147447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753110</wp:posOffset>
            </wp:positionV>
            <wp:extent cx="2451735" cy="9258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45173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9"/>
          <w:szCs w:val="29"/>
          <w:b w:val="1"/>
          <w:bCs w:val="1"/>
          <w:color w:val="auto"/>
        </w:rPr>
        <w:t>Goldman Sachs &amp; Co. LLC</w:t>
      </w:r>
    </w:p>
    <w:p>
      <w:pPr>
        <w:spacing w:after="0" w:line="1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9"/>
          <w:szCs w:val="29"/>
          <w:b w:val="1"/>
          <w:bCs w:val="1"/>
          <w:color w:val="auto"/>
        </w:rPr>
        <w:t>J.P. Morgan</w:t>
      </w:r>
    </w:p>
    <w:p>
      <w:pPr>
        <w:spacing w:after="0" w:line="1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9"/>
          <w:szCs w:val="29"/>
          <w:b w:val="1"/>
          <w:bCs w:val="1"/>
          <w:color w:val="auto"/>
        </w:rPr>
        <w:t>Leerink Partners</w:t>
      </w:r>
    </w:p>
    <w:p>
      <w:pPr>
        <w:spacing w:after="0" w:line="1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9"/>
          <w:szCs w:val="29"/>
          <w:b w:val="1"/>
          <w:bCs w:val="1"/>
          <w:color w:val="auto"/>
        </w:rPr>
        <w:t>Citigroup</w:t>
      </w:r>
    </w:p>
    <w:p>
      <w:pPr>
        <w:spacing w:after="0" w:line="1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9"/>
          <w:szCs w:val="29"/>
          <w:b w:val="1"/>
          <w:bCs w:val="1"/>
          <w:color w:val="auto"/>
        </w:rPr>
        <w:t>Stifel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Through and including         , 2026 (the 25th day after the date of this prospectus), all dealers effecting transactions in our 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473710</wp:posOffset>
            </wp:positionV>
            <wp:extent cx="699516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516890</wp:posOffset>
            </wp:positionV>
            <wp:extent cx="699516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00"/>
          </w:cols>
          <w:pgMar w:left="320" w:top="455" w:right="679" w:bottom="1440" w:gutter="0" w:footer="0" w:header="0"/>
          <w:type w:val="continuous"/>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all references to “Seaport,” the “company,” “we,” “our,” “us”, or similar terms refer to Seaport Therapeutics, Inc. and its wholly owned, consolidated subsidiaries, or either or both of them as the context may require.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expenses to be paid by us, other than underwriting discounts and commissions, in connection with this offering. All amounts shown are estimates except for the Securities and Exchange Commission, or SEC, registration fee, the Financial Industry Regulatory Authority, Inc., or FINRA, filing fee and the Nasdaq Global Market, or Nasdaq, listing fee.</w:t>
      </w:r>
    </w:p>
    <w:p>
      <w:pPr>
        <w:sectPr>
          <w:pgSz w:w="11900" w:h="16838" w:orient="portrait"/>
          <w:cols w:equalWidth="0" w:num="1">
            <w:col w:w="11120"/>
          </w:cols>
          <w:pgMar w:left="320" w:top="455" w:right="459" w:bottom="1440" w:gutter="0" w:footer="0" w:header="0"/>
        </w:sect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Nasdaq listing fee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Printing and mailing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7"/>
          <w:szCs w:val="17"/>
          <w:color w:val="auto"/>
        </w:rPr>
        <w:t>Custodian transfer agent and registrar fees and expenses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Miscellaneous expenses</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137160</wp:posOffset>
            </wp:positionV>
            <wp:extent cx="77152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32" w:lineRule="exact"/>
        <w:rPr>
          <w:sz w:val="20"/>
          <w:szCs w:val="20"/>
          <w:color w:val="auto"/>
        </w:rPr>
      </w:pPr>
    </w:p>
    <w:p>
      <w:pPr>
        <w:ind w:left="540" w:hanging="424"/>
        <w:spacing w:after="0"/>
        <w:tabs>
          <w:tab w:leader="none" w:pos="5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provided by amendment.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65976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ind w:left="960" w:hanging="955"/>
        <w:spacing w:after="0"/>
        <w:tabs>
          <w:tab w:leader="none" w:pos="96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65976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59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48895</wp:posOffset>
            </wp:positionV>
            <wp:extent cx="65976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spacing w:after="0" w:line="1138" w:lineRule="exact"/>
        <w:rPr>
          <w:sz w:val="20"/>
          <w:szCs w:val="20"/>
          <w:color w:val="auto"/>
        </w:rPr>
      </w:pPr>
    </w:p>
    <w:p>
      <w:pPr>
        <w:sectPr>
          <w:pgSz w:w="11900" w:h="16838" w:orient="portrait"/>
          <w:cols w:equalWidth="0" w:num="2">
            <w:col w:w="9300" w:space="720"/>
            <w:col w:w="1100"/>
          </w:cols>
          <w:pgMar w:left="320" w:top="455" w:right="459" w:bottom="1440" w:gutter="0" w:footer="0" w:header="0"/>
          <w:type w:val="continuous"/>
        </w:sect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Section 145 of the Delaware General Corporation Law, or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9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will adopt provisions in our amended and restated certificate of incorporation, which will become effective immediately prior to the completion of this offering, and the amended and restated bylaws, which will become effective upon the effectiveness of the registration statement of which this prospectus forms a part, that will limit or eliminate the personal liability of our directors and officers to the fullest extent permitted by the DGCL, as it now exists or may in the future be amended. Consequently, our directors and officers will not be personally liable to us or our stockholders for monetary damages or breach of fiduciary duty as directors or officers, except for liability for:</w:t>
      </w:r>
    </w:p>
    <w:p>
      <w:pPr>
        <w:spacing w:after="0" w:line="89" w:lineRule="exact"/>
        <w:rPr>
          <w:sz w:val="20"/>
          <w:szCs w:val="20"/>
          <w:color w:val="auto"/>
        </w:rPr>
      </w:pPr>
    </w:p>
    <w:p>
      <w:pPr>
        <w:ind w:left="1080" w:hanging="424"/>
        <w:spacing w:after="0"/>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us or our stockholders;</w:t>
      </w:r>
    </w:p>
    <w:p>
      <w:pPr>
        <w:spacing w:after="0" w:line="130" w:lineRule="exact"/>
        <w:rPr>
          <w:rFonts w:ascii="Times New Roman" w:cs="Times New Roman" w:eastAsia="Times New Roman" w:hAnsi="Times New Roman"/>
          <w:sz w:val="18"/>
          <w:szCs w:val="18"/>
          <w:color w:val="auto"/>
        </w:rPr>
      </w:pPr>
    </w:p>
    <w:p>
      <w:pPr>
        <w:ind w:left="5480" w:right="2300" w:hanging="4824"/>
        <w:spacing w:after="0" w:line="454" w:lineRule="auto"/>
        <w:tabs>
          <w:tab w:leader="none" w:pos="107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 II-1</w:t>
      </w:r>
    </w:p>
    <w:p>
      <w:pPr>
        <w:sectPr>
          <w:pgSz w:w="11900" w:h="16838" w:orient="portrait"/>
          <w:cols w:equalWidth="0" w:num="1">
            <w:col w:w="11120"/>
          </w:cols>
          <w:pgMar w:left="320" w:top="455" w:right="459" w:bottom="1440" w:gutter="0" w:footer="0" w:header="0"/>
          <w:type w:val="continuous"/>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directors, any unlawful payments related to dividends or unlawful stock purchases, redemptions or other distributions;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officers, any derivative action by or in the right of the corporation.</w:t>
      </w:r>
    </w:p>
    <w:p>
      <w:pPr>
        <w:spacing w:after="0" w:line="225"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alter director and officer liability under the federal securities laws and do not affect the availability of equitable remedies such as an injunction or rescission.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our amended and restated bylaws will provide that:</w:t>
      </w:r>
    </w:p>
    <w:p>
      <w:pPr>
        <w:spacing w:after="0" w:line="131" w:lineRule="exact"/>
        <w:rPr>
          <w:sz w:val="20"/>
          <w:szCs w:val="20"/>
          <w:color w:val="auto"/>
        </w:rPr>
      </w:pPr>
    </w:p>
    <w:p>
      <w:pPr>
        <w:ind w:left="1080" w:right="200" w:hanging="424"/>
        <w:spacing w:after="0" w:line="282"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officers and, in the discretion of our board of directors, certain employees to the fullest extent permitted by the DGCL, as it now exists or may in the future be amended; and</w:t>
      </w:r>
    </w:p>
    <w:p>
      <w:pPr>
        <w:spacing w:after="0" w:line="67" w:lineRule="exact"/>
        <w:rPr>
          <w:rFonts w:ascii="Times New Roman" w:cs="Times New Roman" w:eastAsia="Times New Roman" w:hAnsi="Times New Roman"/>
          <w:sz w:val="18"/>
          <w:szCs w:val="18"/>
          <w:color w:val="auto"/>
        </w:rPr>
      </w:pPr>
    </w:p>
    <w:p>
      <w:pPr>
        <w:jc w:val="both"/>
        <w:ind w:left="1080" w:right="420" w:hanging="424"/>
        <w:spacing w:after="0" w:line="266"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intend to enter into such agreements with our executive officers. These agreements provide that we will indemnify each of our directors, our executive officers, and, at times, their affiliates to the fullest extent permitted by Delaware law. We will advance expenses, including attorneys’ fees (but excluding judgments, fines, and settlement amounts), to each indemnified director, executive officer, or affiliate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194"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We also maintain general liability insurance which covers certain liabilities of our directors and officers arising out of claims based on acts or omissions in their capacities as directors or officers, including liabilities under the Securities Act of 1933, as amended, or Securities Act.</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underwriting agreement filed as Exhibit 1.1 to this registration statement provides for indemnification of us and our directors and officers by the underwriters against certain liabilities under the Securities Act and the Securities Exchange Act of 1934.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Set forth below is information regarding securities we have issued within the past three years that were not registered under the Securities Act.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Preferred Stock Issuances</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In April 2024, we issued an aggregate of 40,000,000 shares of Series A-1 convertible preferred stock in connection with entry into an asset transfer agreement, dated as of April 8, 2024, or the Asset Transfer Agreement, with PureTech LYT.</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also issued and sold to accredited investors an aggregate of 26,342,102 shares of Series A-2 convertible preferred stock at a price per share of $3.80, for an aggregate purchase price of $100.1 million.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20"/>
          </w:cols>
          <w:pgMar w:left="320" w:top="455" w:right="45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 October and November 2024, we issued and sold to accredited investors an aggregate of 47,578,934 shares of Series B convertible preferred stock at a price per share of $4.75, for an aggregate purchase price of approximately $226.0 million.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 Common Stock Issuances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April 2024, we issued an aggregate of 1,000 shares of common stock to PureTech LYT in connection with our formation.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April 2024, we issued an aggregate of 949,000 shares of common stock to PureTech LYT in connection with the Asset Transfer Agreement.</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Since April 2024, we have sold or issued by exchange to our founders an aggregate of 7,200,000 shares of restricted common stock under our 2024 Plan or pursuant to agreement, at a purchase price of $0.0 million.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 Grants and exercises of stock options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Since April 2024, we have granted certain employees, consultants, and directors options to purchase an aggregate of 28,120,752 shares of our common stock under our 2024 Plan, at exercise prices ranging from $0.97 to $2.53 per share.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Since April 2024, 1,200 stock options have been exercised under out 2024 plan at a weighted average purchase price of $0.97 per share.</w:t>
      </w:r>
    </w:p>
    <w:p>
      <w:pPr>
        <w:spacing w:after="0" w:line="22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Unless otherwise specified above, the Registrant believes these transactions were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the Registrant, to information about the Registrant. The sales of these securities were made without any general solicitation or advertising.</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Exhibits.</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740" w:type="dxa"/>
            <w:vAlign w:val="bottom"/>
          </w:tcPr>
          <w:p>
            <w:pPr>
              <w:spacing w:after="0"/>
              <w:rPr>
                <w:sz w:val="17"/>
                <w:szCs w:val="17"/>
                <w:color w:val="auto"/>
              </w:rPr>
            </w:pPr>
          </w:p>
        </w:tc>
        <w:tc>
          <w:tcPr>
            <w:tcW w:w="9700" w:type="dxa"/>
            <w:vAlign w:val="bottom"/>
          </w:tcPr>
          <w:p>
            <w:pPr>
              <w:spacing w:after="0"/>
              <w:rPr>
                <w:sz w:val="17"/>
                <w:szCs w:val="17"/>
                <w:color w:val="auto"/>
              </w:rPr>
            </w:pPr>
          </w:p>
        </w:tc>
      </w:tr>
      <w:tr>
        <w:trPr>
          <w:trHeight w:val="235"/>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740" w:type="dxa"/>
            <w:vAlign w:val="bottom"/>
          </w:tcPr>
          <w:p>
            <w:pPr>
              <w:spacing w:after="0"/>
              <w:rPr>
                <w:sz w:val="20"/>
                <w:szCs w:val="20"/>
                <w:color w:val="auto"/>
              </w:rPr>
            </w:pPr>
          </w:p>
        </w:tc>
        <w:tc>
          <w:tcPr>
            <w:tcW w:w="9700" w:type="dxa"/>
            <w:vAlign w:val="bottom"/>
            <w:tcBorders>
              <w:bottom w:val="single" w:sz="8" w:color="auto"/>
            </w:tcBorders>
          </w:tcPr>
          <w:p>
            <w:pPr>
              <w:ind w:left="44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1.1*</w:t>
            </w:r>
          </w:p>
        </w:tc>
        <w:tc>
          <w:tcPr>
            <w:tcW w:w="740" w:type="dxa"/>
            <w:vAlign w:val="bottom"/>
          </w:tcPr>
          <w:p>
            <w:pPr>
              <w:spacing w:after="0"/>
              <w:rPr>
                <w:sz w:val="19"/>
                <w:szCs w:val="19"/>
                <w:color w:val="auto"/>
              </w:rPr>
            </w:pPr>
          </w:p>
        </w:tc>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30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7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as amended, as currently in effect.</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7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Amendment to Amended and Restated Certificate of Incorporation, as amended.</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3.3*</w:t>
            </w:r>
          </w:p>
        </w:tc>
        <w:tc>
          <w:tcPr>
            <w:tcW w:w="7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to be in effect immediately prior to the completion of this offering.</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3.4**</w:t>
            </w:r>
          </w:p>
        </w:tc>
        <w:tc>
          <w:tcPr>
            <w:tcW w:w="7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Bylaws, as currently in effect.</w:t>
            </w:r>
          </w:p>
        </w:tc>
      </w:tr>
      <w:tr>
        <w:trPr>
          <w:trHeight w:val="30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3.5*</w:t>
            </w:r>
          </w:p>
        </w:tc>
        <w:tc>
          <w:tcPr>
            <w:tcW w:w="7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Form of Amended and Restated Bylaws, to be in effect as of the effectiveness of the registration statement of which this prospectus</w:t>
            </w:r>
          </w:p>
        </w:tc>
      </w:tr>
      <w:tr>
        <w:trPr>
          <w:trHeight w:val="234"/>
        </w:trPr>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forms a part.</w:t>
            </w:r>
          </w:p>
        </w:tc>
      </w:tr>
      <w:tr>
        <w:trPr>
          <w:trHeight w:val="364"/>
        </w:trPr>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70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II-3</w:t>
            </w:r>
          </w:p>
        </w:tc>
      </w:tr>
    </w:tbl>
    <w:p>
      <w:pPr>
        <w:sectPr>
          <w:pgSz w:w="11900" w:h="16838" w:orient="portrait"/>
          <w:cols w:equalWidth="0" w:num="1">
            <w:col w:w="11140"/>
          </w:cols>
          <w:pgMar w:left="320" w:top="455" w:right="4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920" w:type="dxa"/>
            <w:vAlign w:val="bottom"/>
          </w:tcPr>
          <w:p>
            <w:pPr>
              <w:spacing w:after="0"/>
              <w:rPr>
                <w:sz w:val="17"/>
                <w:szCs w:val="17"/>
                <w:color w:val="auto"/>
              </w:rPr>
            </w:pPr>
          </w:p>
        </w:tc>
      </w:tr>
      <w:tr>
        <w:trPr>
          <w:trHeight w:val="225"/>
        </w:trPr>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920" w:type="dxa"/>
            <w:vAlign w:val="bottom"/>
            <w:tcBorders>
              <w:bottom w:val="single" w:sz="8" w:color="auto"/>
            </w:tcBorders>
          </w:tcPr>
          <w:p>
            <w:pPr>
              <w:ind w:left="45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311"/>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Specimen Common Stock Certificate.</w:t>
            </w:r>
          </w:p>
        </w:tc>
      </w:tr>
      <w:tr>
        <w:trPr>
          <w:trHeight w:val="30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Investors’ Rights Agreement, by and between the Registrant and certain of its stockholders, dated as of</w:t>
            </w:r>
          </w:p>
        </w:tc>
      </w:tr>
      <w:tr>
        <w:trPr>
          <w:trHeight w:val="234"/>
        </w:trPr>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October 18, 2024.</w:t>
            </w: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5.1*</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Opinion of Goodwin Procter LLP.</w:t>
            </w: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2024 Equity Incentive Plan, as amended, and form of award agreements thereunder.</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2026 Equity Incentive Plan and form of award agreements thereunder.</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2026 Employee Stock Purchase Plan.</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Indemnification Agreement, by and between the Registrant and its directors and executive officers.</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Senior Executive Cash Incentive Bonus Plan.</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5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Non-Employee Director Compensation Policy.</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by and between the Registrant and Daphne Zohar, to be in effect upon the closing of this offering.</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5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by and between the Registrant and Michael Chen, to be in effect upon the closing of this offering.</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5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by and between the Registrant and Anthony Loebel, to be in effect upon the closing of this offering.</w:t>
            </w:r>
          </w:p>
        </w:tc>
      </w:tr>
      <w:tr>
        <w:trPr>
          <w:trHeight w:val="30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Asset Transfer Agreement, by and between the Registrant, PureTech Health LLC and PureTech LYT, Inc., dated April 8, 2024, as</w:t>
            </w:r>
          </w:p>
        </w:tc>
      </w:tr>
      <w:tr>
        <w:trPr>
          <w:trHeight w:val="234"/>
        </w:trPr>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amended by that certain amendment, dated December 16, 2025.</w:t>
            </w:r>
          </w:p>
        </w:tc>
      </w:tr>
      <w:tr>
        <w:trPr>
          <w:trHeight w:val="30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License Agreement between Monash University, ABN 12 377 614 012, a body politic and corporate constituted</w:t>
            </w:r>
          </w:p>
        </w:tc>
      </w:tr>
      <w:tr>
        <w:trPr>
          <w:trHeight w:val="216"/>
        </w:trPr>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in accordance with the Monash University Act 2009 of Wellington Road, Clayton, Victoria, Australia 3800 and the Registrant, dated</w:t>
            </w:r>
          </w:p>
        </w:tc>
      </w:tr>
      <w:tr>
        <w:trPr>
          <w:trHeight w:val="234"/>
        </w:trPr>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March 12, 2025.</w:t>
            </w: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Laboratory License Agreement, by and between the Registrant and Eli Lilly and Company, dated December 10, 2024.</w:t>
            </w: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Sub-Sublease Agreement, by and among the Registrant, Enel North America, Inc. and Enel x Federal LLC, dated November 27, 2024.</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5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Subsidiaries of Registrant.</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Consent of PricewaterhouseCoopers LLP, Independent Registered Public Accounting Firm.</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Consent of Goodwin Procter LLP (included in Exhibit 5.1).</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Power of Attorney (included on signature page).</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Filing Fee Table.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120" w:right="8660" w:hanging="4"/>
        <w:spacing w:after="0" w:line="261" w:lineRule="auto"/>
        <w:tabs>
          <w:tab w:leader="none" w:pos="55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 Previously filed.</w:t>
      </w: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9" w:lineRule="exact"/>
        <w:rPr>
          <w:rFonts w:ascii="Times New Roman" w:cs="Times New Roman" w:eastAsia="Times New Roman" w:hAnsi="Times New Roman"/>
          <w:sz w:val="18"/>
          <w:szCs w:val="18"/>
          <w:color w:val="auto"/>
        </w:rPr>
      </w:pPr>
    </w:p>
    <w:p>
      <w:pPr>
        <w:ind w:left="120" w:right="2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portions of this document that constitute confidential information have been redacted pursuant to Item 601(b)(10) of Regulation S-K. + Certain exhibits and schedules to these agreements have been omitted pursuant to Item 601(a)(5) and (6) of Regulation S-K. The registrant will</w:t>
      </w: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copies of any of the exhibits and schedules to the Securities and Exchange Commission upon request.</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40"/>
          </w:cols>
          <w:pgMar w:left="320" w:top="455" w:right="4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 Financial Statement Schedules.</w:t>
      </w:r>
    </w:p>
    <w:p>
      <w:pPr>
        <w:spacing w:after="0" w:line="11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are omitted because the information required to be set forth therein is not applicable or is shown in the financial statements or the notes thereto.</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registrant hereby undertakes that:</w:t>
      </w:r>
    </w:p>
    <w:p>
      <w:pPr>
        <w:spacing w:after="0" w:line="131" w:lineRule="exact"/>
        <w:rPr>
          <w:sz w:val="20"/>
          <w:szCs w:val="20"/>
          <w:color w:val="auto"/>
        </w:rPr>
      </w:pPr>
    </w:p>
    <w:p>
      <w:pPr>
        <w:ind w:left="1080" w:right="20" w:hanging="532"/>
        <w:spacing w:after="0" w:line="261"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as amended, the information omitted from a form of prospectus filed as part of this registration statement in reliance upon Rule 430A and contained in the form of prospectus filed by the Registrant pursuant to Rule 424(b)(1) or (4) or 497(h) under the Securities Act of 1933, as amended, shall be deemed to be part of this registration statement as of the time it was declared effective.</w:t>
      </w:r>
    </w:p>
    <w:p>
      <w:pPr>
        <w:spacing w:after="0" w:line="85" w:lineRule="exact"/>
        <w:rPr>
          <w:rFonts w:ascii="Times New Roman" w:cs="Times New Roman" w:eastAsia="Times New Roman" w:hAnsi="Times New Roman"/>
          <w:sz w:val="18"/>
          <w:szCs w:val="18"/>
          <w:color w:val="auto"/>
        </w:rPr>
      </w:pPr>
    </w:p>
    <w:p>
      <w:pPr>
        <w:ind w:left="1080" w:right="140" w:hanging="532"/>
        <w:spacing w:after="0" w:line="266"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as amended,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00"/>
          </w:cols>
          <w:pgMar w:left="320" w:top="455" w:right="47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on Form S-1 to be signed on its behalf by the undersigned, thereunto duly authorized, in the City of Boston, Massachusetts, on the         of         , 2026.</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Daphne Zohar</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Executive Officer and Director</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Each individual whose signature appears below hereby constitutes and appoints Daphne Zohar and Lauren A. White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(or any Registration Statement for the same offering that is to be effective upon filing pursuant to Rule 462(b) under the Securities Act of 1933),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9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and Power of Attorney has been signed by the following person in the capacities and on the date indicated.</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45"/>
        </w:trPr>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1"/>
                <w:szCs w:val="21"/>
                <w:color w:val="auto"/>
              </w:rPr>
            </w:pPr>
          </w:p>
        </w:tc>
        <w:tc>
          <w:tcPr>
            <w:tcW w:w="478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18"/>
        </w:trPr>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8"/>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Daphne Zohar</w:t>
            </w:r>
          </w:p>
        </w:tc>
        <w:tc>
          <w:tcPr>
            <w:tcW w:w="1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54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260" w:type="dxa"/>
            <w:vAlign w:val="bottom"/>
          </w:tcPr>
          <w:p>
            <w:pPr>
              <w:jc w:val="center"/>
              <w:ind w:left="28"/>
              <w:spacing w:after="0"/>
              <w:rPr>
                <w:sz w:val="20"/>
                <w:szCs w:val="20"/>
                <w:color w:val="auto"/>
              </w:rPr>
            </w:pPr>
            <w:r>
              <w:rPr>
                <w:rFonts w:ascii="Times New Roman" w:cs="Times New Roman" w:eastAsia="Times New Roman" w:hAnsi="Times New Roman"/>
                <w:sz w:val="4"/>
                <w:szCs w:val="4"/>
                <w:color w:val="auto"/>
                <w:w w:val="98"/>
              </w:rPr>
              <w:t> </w:t>
            </w: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 2026</w:t>
            </w:r>
          </w:p>
        </w:tc>
      </w:tr>
      <w:tr>
        <w:trPr>
          <w:trHeight w:val="427"/>
        </w:trPr>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w:t>
            </w:r>
            <w:r>
              <w:rPr>
                <w:rFonts w:ascii="Times New Roman" w:cs="Times New Roman" w:eastAsia="Times New Roman" w:hAnsi="Times New Roman"/>
                <w:sz w:val="18"/>
                <w:szCs w:val="18"/>
                <w:i w:val="1"/>
                <w:iCs w:val="1"/>
                <w:color w:val="auto"/>
              </w:rPr>
              <w:t>Principal Financial Officer and</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8"/>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Lauren A. White</w:t>
            </w:r>
          </w:p>
        </w:tc>
        <w:tc>
          <w:tcPr>
            <w:tcW w:w="1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tc>
        <w:tc>
          <w:tcPr>
            <w:tcW w:w="54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260" w:type="dxa"/>
            <w:vAlign w:val="bottom"/>
          </w:tcPr>
          <w:p>
            <w:pPr>
              <w:jc w:val="center"/>
              <w:ind w:left="28"/>
              <w:spacing w:after="0"/>
              <w:rPr>
                <w:sz w:val="20"/>
                <w:szCs w:val="20"/>
                <w:color w:val="auto"/>
              </w:rPr>
            </w:pPr>
            <w:r>
              <w:rPr>
                <w:rFonts w:ascii="Times New Roman" w:cs="Times New Roman" w:eastAsia="Times New Roman" w:hAnsi="Times New Roman"/>
                <w:sz w:val="4"/>
                <w:szCs w:val="4"/>
                <w:color w:val="auto"/>
                <w:w w:val="98"/>
              </w:rPr>
              <w:t> </w:t>
            </w: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 2026</w:t>
            </w:r>
          </w:p>
        </w:tc>
      </w:tr>
      <w:tr>
        <w:trPr>
          <w:trHeight w:val="427"/>
        </w:trPr>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8"/>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Steven M. Paul, M.D.</w:t>
            </w:r>
          </w:p>
        </w:tc>
        <w:tc>
          <w:tcPr>
            <w:tcW w:w="1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and Chairman</w:t>
            </w:r>
          </w:p>
        </w:tc>
        <w:tc>
          <w:tcPr>
            <w:tcW w:w="54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260" w:type="dxa"/>
            <w:vAlign w:val="bottom"/>
          </w:tcPr>
          <w:p>
            <w:pPr>
              <w:jc w:val="center"/>
              <w:ind w:left="28"/>
              <w:spacing w:after="0"/>
              <w:rPr>
                <w:sz w:val="20"/>
                <w:szCs w:val="20"/>
                <w:color w:val="auto"/>
              </w:rPr>
            </w:pPr>
            <w:r>
              <w:rPr>
                <w:rFonts w:ascii="Times New Roman" w:cs="Times New Roman" w:eastAsia="Times New Roman" w:hAnsi="Times New Roman"/>
                <w:sz w:val="4"/>
                <w:szCs w:val="4"/>
                <w:color w:val="auto"/>
                <w:w w:val="98"/>
              </w:rPr>
              <w:t> </w:t>
            </w: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 2026</w:t>
            </w:r>
          </w:p>
        </w:tc>
      </w:tr>
      <w:tr>
        <w:trPr>
          <w:trHeight w:val="427"/>
        </w:trPr>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8"/>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Robert J. Hombach</w:t>
            </w:r>
          </w:p>
        </w:tc>
        <w:tc>
          <w:tcPr>
            <w:tcW w:w="1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54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260" w:type="dxa"/>
            <w:vAlign w:val="bottom"/>
          </w:tcPr>
          <w:p>
            <w:pPr>
              <w:jc w:val="center"/>
              <w:ind w:left="28"/>
              <w:spacing w:after="0"/>
              <w:rPr>
                <w:sz w:val="20"/>
                <w:szCs w:val="20"/>
                <w:color w:val="auto"/>
              </w:rPr>
            </w:pPr>
            <w:r>
              <w:rPr>
                <w:rFonts w:ascii="Times New Roman" w:cs="Times New Roman" w:eastAsia="Times New Roman" w:hAnsi="Times New Roman"/>
                <w:sz w:val="4"/>
                <w:szCs w:val="4"/>
                <w:color w:val="auto"/>
                <w:w w:val="98"/>
              </w:rPr>
              <w:t> </w:t>
            </w: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 2026</w:t>
            </w:r>
          </w:p>
        </w:tc>
      </w:tr>
      <w:tr>
        <w:trPr>
          <w:trHeight w:val="427"/>
        </w:trPr>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8"/>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Eric Elenko, Ph.D.</w:t>
            </w:r>
          </w:p>
        </w:tc>
        <w:tc>
          <w:tcPr>
            <w:tcW w:w="1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54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260" w:type="dxa"/>
            <w:vAlign w:val="bottom"/>
          </w:tcPr>
          <w:p>
            <w:pPr>
              <w:jc w:val="center"/>
              <w:ind w:left="28"/>
              <w:spacing w:after="0"/>
              <w:rPr>
                <w:sz w:val="20"/>
                <w:szCs w:val="20"/>
                <w:color w:val="auto"/>
              </w:rPr>
            </w:pPr>
            <w:r>
              <w:rPr>
                <w:rFonts w:ascii="Times New Roman" w:cs="Times New Roman" w:eastAsia="Times New Roman" w:hAnsi="Times New Roman"/>
                <w:sz w:val="4"/>
                <w:szCs w:val="4"/>
                <w:color w:val="auto"/>
                <w:w w:val="98"/>
              </w:rPr>
              <w:t> </w:t>
            </w: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 2026</w:t>
            </w:r>
          </w:p>
        </w:tc>
      </w:tr>
      <w:tr>
        <w:trPr>
          <w:trHeight w:val="427"/>
        </w:trPr>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8"/>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James I. Healy, M.D., Ph.D.</w:t>
            </w:r>
          </w:p>
        </w:tc>
        <w:tc>
          <w:tcPr>
            <w:tcW w:w="1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54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260" w:type="dxa"/>
            <w:vAlign w:val="bottom"/>
          </w:tcPr>
          <w:p>
            <w:pPr>
              <w:jc w:val="center"/>
              <w:ind w:left="28"/>
              <w:spacing w:after="0"/>
              <w:rPr>
                <w:sz w:val="20"/>
                <w:szCs w:val="20"/>
                <w:color w:val="auto"/>
              </w:rPr>
            </w:pPr>
            <w:r>
              <w:rPr>
                <w:rFonts w:ascii="Times New Roman" w:cs="Times New Roman" w:eastAsia="Times New Roman" w:hAnsi="Times New Roman"/>
                <w:sz w:val="4"/>
                <w:szCs w:val="4"/>
                <w:color w:val="auto"/>
                <w:w w:val="98"/>
              </w:rPr>
              <w:t> </w:t>
            </w: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 2026</w:t>
            </w:r>
          </w:p>
        </w:tc>
      </w:tr>
    </w:tbl>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140"/>
          </w:cols>
          <w:pgMar w:left="320" w:top="455" w:right="439" w:bottom="1440" w:gutter="0" w:footer="0" w:header="0"/>
        </w:sectPr>
      </w:pPr>
    </w:p>
    <w:bookmarkStart w:id="280" w:name="page281"/>
    <w:bookmarkEnd w:id="280"/>
    <w:tbl>
      <w:tblPr>
        <w:tblLayout w:type="fixed"/>
        <w:tblInd w:w="0" w:type="dxa"/>
        <w:tblCellMar>
          <w:top w:w="0" w:type="dxa"/>
          <w:left w:w="0" w:type="dxa"/>
          <w:bottom w:w="0" w:type="dxa"/>
          <w:right w:w="0" w:type="dxa"/>
        </w:tblCellMar>
      </w:tblPr>
      <w:tr>
        <w:trPr>
          <w:trHeight w:val="207"/>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554"/>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0" w:type="dxa"/>
            <w:vAlign w:val="bottom"/>
            <w:gridSpan w:val="2"/>
          </w:tcPr>
          <w:p>
            <w:pPr>
              <w:ind w:left="2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18"/>
        </w:trPr>
        <w:tc>
          <w:tcPr>
            <w:tcW w:w="120" w:type="dxa"/>
            <w:vAlign w:val="bottom"/>
          </w:tcPr>
          <w:p>
            <w:pPr>
              <w:spacing w:after="0"/>
              <w:rPr>
                <w:sz w:val="24"/>
                <w:szCs w:val="24"/>
                <w:color w:val="auto"/>
              </w:rPr>
            </w:pPr>
          </w:p>
        </w:tc>
        <w:tc>
          <w:tcPr>
            <w:tcW w:w="38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4"/>
                <w:szCs w:val="24"/>
                <w:color w:val="auto"/>
              </w:rPr>
            </w:pPr>
          </w:p>
        </w:tc>
        <w:tc>
          <w:tcPr>
            <w:tcW w:w="4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28"/>
        </w:trPr>
        <w:tc>
          <w:tcPr>
            <w:tcW w:w="1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Nelsen</w:t>
            </w:r>
          </w:p>
        </w:tc>
        <w:tc>
          <w:tcPr>
            <w:tcW w:w="1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54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260" w:type="dxa"/>
            <w:vAlign w:val="bottom"/>
          </w:tcPr>
          <w:p>
            <w:pPr>
              <w:jc w:val="center"/>
              <w:ind w:left="28"/>
              <w:spacing w:after="0"/>
              <w:rPr>
                <w:sz w:val="20"/>
                <w:szCs w:val="20"/>
                <w:color w:val="auto"/>
              </w:rPr>
            </w:pPr>
            <w:r>
              <w:rPr>
                <w:rFonts w:ascii="Times New Roman" w:cs="Times New Roman" w:eastAsia="Times New Roman" w:hAnsi="Times New Roman"/>
                <w:sz w:val="4"/>
                <w:szCs w:val="4"/>
                <w:color w:val="auto"/>
                <w:w w:val="98"/>
              </w:rPr>
              <w:t> </w:t>
            </w: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 2026</w:t>
            </w:r>
          </w:p>
        </w:tc>
      </w:tr>
      <w:tr>
        <w:trPr>
          <w:trHeight w:val="427"/>
        </w:trPr>
        <w:tc>
          <w:tcPr>
            <w:tcW w:w="120" w:type="dxa"/>
            <w:vAlign w:val="bottom"/>
          </w:tcPr>
          <w:p>
            <w:pPr>
              <w:spacing w:after="0"/>
              <w:rPr>
                <w:sz w:val="24"/>
                <w:szCs w:val="24"/>
                <w:color w:val="auto"/>
              </w:rPr>
            </w:pPr>
          </w:p>
        </w:tc>
        <w:tc>
          <w:tcPr>
            <w:tcW w:w="3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8"/>
        </w:trPr>
        <w:tc>
          <w:tcPr>
            <w:tcW w:w="1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Pitts, Ph.D.</w:t>
            </w:r>
          </w:p>
        </w:tc>
        <w:tc>
          <w:tcPr>
            <w:tcW w:w="1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54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260" w:type="dxa"/>
            <w:vAlign w:val="bottom"/>
          </w:tcPr>
          <w:p>
            <w:pPr>
              <w:jc w:val="center"/>
              <w:ind w:left="28"/>
              <w:spacing w:after="0"/>
              <w:rPr>
                <w:sz w:val="20"/>
                <w:szCs w:val="20"/>
                <w:color w:val="auto"/>
              </w:rPr>
            </w:pPr>
            <w:r>
              <w:rPr>
                <w:rFonts w:ascii="Times New Roman" w:cs="Times New Roman" w:eastAsia="Times New Roman" w:hAnsi="Times New Roman"/>
                <w:sz w:val="4"/>
                <w:szCs w:val="4"/>
                <w:color w:val="auto"/>
                <w:w w:val="98"/>
              </w:rPr>
              <w:t> </w:t>
            </w: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 2026</w:t>
            </w:r>
          </w:p>
        </w:tc>
      </w:tr>
      <w:tr>
        <w:trPr>
          <w:trHeight w:val="427"/>
        </w:trPr>
        <w:tc>
          <w:tcPr>
            <w:tcW w:w="120" w:type="dxa"/>
            <w:vAlign w:val="bottom"/>
          </w:tcPr>
          <w:p>
            <w:pPr>
              <w:spacing w:after="0"/>
              <w:rPr>
                <w:sz w:val="24"/>
                <w:szCs w:val="24"/>
                <w:color w:val="auto"/>
              </w:rPr>
            </w:pPr>
          </w:p>
        </w:tc>
        <w:tc>
          <w:tcPr>
            <w:tcW w:w="3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8"/>
        </w:trPr>
        <w:tc>
          <w:tcPr>
            <w:tcW w:w="1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Sandra E. Peterson</w:t>
            </w:r>
          </w:p>
        </w:tc>
        <w:tc>
          <w:tcPr>
            <w:tcW w:w="1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54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260" w:type="dxa"/>
            <w:vAlign w:val="bottom"/>
          </w:tcPr>
          <w:p>
            <w:pPr>
              <w:jc w:val="center"/>
              <w:ind w:left="28"/>
              <w:spacing w:after="0"/>
              <w:rPr>
                <w:sz w:val="20"/>
                <w:szCs w:val="20"/>
                <w:color w:val="auto"/>
              </w:rPr>
            </w:pPr>
            <w:r>
              <w:rPr>
                <w:rFonts w:ascii="Times New Roman" w:cs="Times New Roman" w:eastAsia="Times New Roman" w:hAnsi="Times New Roman"/>
                <w:sz w:val="4"/>
                <w:szCs w:val="4"/>
                <w:color w:val="auto"/>
                <w:w w:val="98"/>
              </w:rPr>
              <w:t> </w:t>
            </w: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 2026</w:t>
            </w:r>
          </w:p>
        </w:tc>
      </w:tr>
      <w:tr>
        <w:trPr>
          <w:trHeight w:val="427"/>
        </w:trPr>
        <w:tc>
          <w:tcPr>
            <w:tcW w:w="120" w:type="dxa"/>
            <w:vAlign w:val="bottom"/>
          </w:tcPr>
          <w:p>
            <w:pPr>
              <w:spacing w:after="0"/>
              <w:rPr>
                <w:sz w:val="24"/>
                <w:szCs w:val="24"/>
                <w:color w:val="auto"/>
              </w:rPr>
            </w:pPr>
          </w:p>
        </w:tc>
        <w:tc>
          <w:tcPr>
            <w:tcW w:w="3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8"/>
        </w:trPr>
        <w:tc>
          <w:tcPr>
            <w:tcW w:w="1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Denice Torres, J.D.</w:t>
            </w:r>
          </w:p>
        </w:tc>
        <w:tc>
          <w:tcPr>
            <w:tcW w:w="1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54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260" w:type="dxa"/>
            <w:vAlign w:val="bottom"/>
          </w:tcPr>
          <w:p>
            <w:pPr>
              <w:jc w:val="center"/>
              <w:ind w:left="28"/>
              <w:spacing w:after="0"/>
              <w:rPr>
                <w:sz w:val="20"/>
                <w:szCs w:val="20"/>
                <w:color w:val="auto"/>
              </w:rPr>
            </w:pPr>
            <w:r>
              <w:rPr>
                <w:rFonts w:ascii="Times New Roman" w:cs="Times New Roman" w:eastAsia="Times New Roman" w:hAnsi="Times New Roman"/>
                <w:sz w:val="4"/>
                <w:szCs w:val="4"/>
                <w:color w:val="auto"/>
                <w:w w:val="98"/>
              </w:rPr>
              <w:t> </w:t>
            </w: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 2026</w:t>
            </w:r>
          </w:p>
        </w:tc>
      </w:tr>
      <w:tr>
        <w:trPr>
          <w:trHeight w:val="427"/>
        </w:trPr>
        <w:tc>
          <w:tcPr>
            <w:tcW w:w="120" w:type="dxa"/>
            <w:vAlign w:val="bottom"/>
          </w:tcPr>
          <w:p>
            <w:pPr>
              <w:spacing w:after="0"/>
              <w:rPr>
                <w:sz w:val="24"/>
                <w:szCs w:val="24"/>
                <w:color w:val="auto"/>
              </w:rPr>
            </w:pPr>
          </w:p>
        </w:tc>
        <w:tc>
          <w:tcPr>
            <w:tcW w:w="3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8"/>
        </w:trPr>
        <w:tc>
          <w:tcPr>
            <w:tcW w:w="1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Wheadon, M.D.</w:t>
            </w:r>
          </w:p>
        </w:tc>
        <w:tc>
          <w:tcPr>
            <w:tcW w:w="1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54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260" w:type="dxa"/>
            <w:vAlign w:val="bottom"/>
          </w:tcPr>
          <w:p>
            <w:pPr>
              <w:jc w:val="center"/>
              <w:ind w:left="28"/>
              <w:spacing w:after="0"/>
              <w:rPr>
                <w:sz w:val="20"/>
                <w:szCs w:val="20"/>
                <w:color w:val="auto"/>
              </w:rPr>
            </w:pPr>
            <w:r>
              <w:rPr>
                <w:rFonts w:ascii="Times New Roman" w:cs="Times New Roman" w:eastAsia="Times New Roman" w:hAnsi="Times New Roman"/>
                <w:sz w:val="4"/>
                <w:szCs w:val="4"/>
                <w:color w:val="auto"/>
                <w:w w:val="98"/>
              </w:rPr>
              <w:t> </w:t>
            </w: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 2026</w:t>
            </w:r>
          </w:p>
        </w:tc>
      </w:tr>
      <w:tr>
        <w:trPr>
          <w:trHeight w:val="427"/>
        </w:trPr>
        <w:tc>
          <w:tcPr>
            <w:tcW w:w="120" w:type="dxa"/>
            <w:vAlign w:val="bottom"/>
          </w:tcPr>
          <w:p>
            <w:pPr>
              <w:spacing w:after="0"/>
              <w:rPr>
                <w:sz w:val="24"/>
                <w:szCs w:val="24"/>
                <w:color w:val="auto"/>
              </w:rPr>
            </w:pPr>
          </w:p>
        </w:tc>
        <w:tc>
          <w:tcPr>
            <w:tcW w:w="3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8"/>
        </w:trPr>
        <w:tc>
          <w:tcPr>
            <w:tcW w:w="1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Lyne, LLB</w:t>
            </w:r>
          </w:p>
        </w:tc>
        <w:tc>
          <w:tcPr>
            <w:tcW w:w="1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54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260" w:type="dxa"/>
            <w:vAlign w:val="bottom"/>
          </w:tcPr>
          <w:p>
            <w:pPr>
              <w:jc w:val="center"/>
              <w:ind w:left="28"/>
              <w:spacing w:after="0"/>
              <w:rPr>
                <w:sz w:val="20"/>
                <w:szCs w:val="20"/>
                <w:color w:val="auto"/>
              </w:rPr>
            </w:pPr>
            <w:r>
              <w:rPr>
                <w:rFonts w:ascii="Times New Roman" w:cs="Times New Roman" w:eastAsia="Times New Roman" w:hAnsi="Times New Roman"/>
                <w:sz w:val="4"/>
                <w:szCs w:val="4"/>
                <w:color w:val="auto"/>
                <w:w w:val="98"/>
              </w:rPr>
              <w:t> </w:t>
            </w: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 2026</w:t>
            </w:r>
          </w:p>
        </w:tc>
      </w:tr>
    </w:tbl>
    <w:p>
      <w:pPr>
        <w:spacing w:after="0" w:line="1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140"/>
          </w:cols>
          <w:pgMar w:left="320" w:top="446" w:right="439" w:bottom="1440" w:gutter="0" w:footer="0" w:header="0"/>
        </w:sectPr>
      </w:pPr>
    </w:p>
    <w:bookmarkStart w:id="281" w:name="page282"/>
    <w:bookmarkEnd w:id="281"/>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25" w:lineRule="exact"/>
        <w:rPr>
          <w:sz w:val="20"/>
          <w:szCs w:val="20"/>
          <w:color w:val="auto"/>
        </w:rPr>
      </w:pPr>
    </w:p>
    <w:p>
      <w:pPr>
        <w:jc w:val="center"/>
        <w:ind w:left="1040" w:right="2040"/>
        <w:spacing w:after="0" w:line="262" w:lineRule="auto"/>
        <w:rPr>
          <w:sz w:val="20"/>
          <w:szCs w:val="20"/>
          <w:color w:val="auto"/>
        </w:rPr>
      </w:pPr>
      <w:r>
        <w:rPr>
          <w:rFonts w:ascii="Times New Roman" w:cs="Times New Roman" w:eastAsia="Times New Roman" w:hAnsi="Times New Roman"/>
          <w:sz w:val="18"/>
          <w:szCs w:val="18"/>
          <w:b w:val="1"/>
          <w:bCs w:val="1"/>
          <w:color w:val="auto"/>
        </w:rPr>
        <w:t>CERTAIN INFORMATION CONTAINED IN THIS EXHIBIT, MARKED BY [***], HAS BEEN EXCLUDED FROM THIS EXHIBIT BECAUSE THE REGISTRANT HAS DETERMINED THAT IT IS BOTH NOT MATERIAL AND IS THE TYPE THAT THE REGISTRANT TREATS AS PRIVATE OR CONFIDENTIAL.</w:t>
      </w:r>
    </w:p>
    <w:p>
      <w:pPr>
        <w:spacing w:after="0" w:line="18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ASSET TRANSFER AGREEMENT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by and between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SEAPORT THERAPEUTICS, INC., on the one hand,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PURETECH HEALTH LLC,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PURETECH LYT, INC., on the other hand</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Dated as of April 8, 2024</w:t>
      </w:r>
    </w:p>
    <w:p>
      <w:pPr>
        <w:sectPr>
          <w:pgSz w:w="11900" w:h="16838" w:orient="portrait"/>
          <w:cols w:equalWidth="0" w:num="1">
            <w:col w:w="10020"/>
          </w:cols>
          <w:pgMar w:left="1440" w:top="117" w:right="439" w:bottom="1440" w:gutter="0" w:footer="0" w:header="0"/>
        </w:sectPr>
      </w:pPr>
    </w:p>
    <w:bookmarkStart w:id="282" w:name="page283"/>
    <w:bookmarkEnd w:id="282"/>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tc>
      </w:tr>
      <w:tr>
        <w:trPr>
          <w:trHeight w:val="432"/>
        </w:trPr>
        <w:tc>
          <w:tcPr>
            <w:tcW w:w="720" w:type="dxa"/>
            <w:vAlign w:val="bottom"/>
          </w:tcPr>
          <w:p>
            <w:pPr>
              <w:spacing w:after="0"/>
              <w:rPr>
                <w:sz w:val="24"/>
                <w:szCs w:val="24"/>
                <w:color w:val="auto"/>
              </w:rPr>
            </w:pPr>
          </w:p>
        </w:tc>
        <w:tc>
          <w:tcPr>
            <w:tcW w:w="734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960" w:type="dxa"/>
            <w:vAlign w:val="bottom"/>
          </w:tcPr>
          <w:p>
            <w:pPr>
              <w:spacing w:after="0"/>
              <w:rPr>
                <w:sz w:val="24"/>
                <w:szCs w:val="24"/>
                <w:color w:val="auto"/>
              </w:rPr>
            </w:pPr>
          </w:p>
        </w:tc>
      </w:tr>
      <w:tr>
        <w:trPr>
          <w:trHeight w:val="408"/>
        </w:trPr>
        <w:tc>
          <w:tcPr>
            <w:tcW w:w="7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TRANSFER OF ASSETS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Transfer of Assets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Excluded Assets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Assumption of Liabilities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Retained Liabilities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Consideration</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Closing; Closing Deliveries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1.7</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Consents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1.8</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Wrong Pockets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REPRESENTATIONS AND WARRANTIES OF PURETECH</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Organization and Good Standing</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Authority; No Conflict; Required Filings and Consents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Taxes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Intellectual Property</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Property</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Environmental Matters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Litigation</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Compliance With Laws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2.10</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Affiliate Transactions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2.11</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Suppliers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2.12</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Brokers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2.13</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2.14</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Data Privacy and Security</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2.15</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 OF SEAPORT</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Organization, Standing and Power</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Authority; No Conflict; Required Filings and Consents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Brokers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Capitalization</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Valid Issuance of Shares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Governmental Consents and Filings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Independent Investigation</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ADDITIONAL AGREEMENTS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Access to Information</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Further Assurances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Matters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Ownership Transfer</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4.6</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PureTech License</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4.7</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Protection and Maintenance of Transferred Patents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4.8</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Services Agreement</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20"/>
          </w:cols>
          <w:pgMar w:left="440" w:top="266" w:right="439" w:bottom="1440" w:gutter="0" w:footer="0" w:header="0"/>
        </w:sectPr>
      </w:pPr>
    </w:p>
    <w:bookmarkStart w:id="283" w:name="page284"/>
    <w:bookmarkEnd w:id="283"/>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CONFIDENTIALITY</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Confidentiality</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Disclosure</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5.3</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Terms of this Agreement</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INDEMNIFICATION</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 by PureTech</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 by Seaport</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6.3</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 Claims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6.4</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Survival</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6.5</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Limitations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6.6</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Due Diligence</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6.7</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 Payments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DEFINED TERMS; INTERPRETATION</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Definitions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Interpretation</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MISCELLANEOUS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8.2</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Entire Agreement; Amendment</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8.3</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Third-Party Beneficiaries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8.4</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Assignment</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8.5</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8.6</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Counterparts and Signature</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8.7</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Governing Law</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8.8</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Remedies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8.9</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Submission to Jurisdiction</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8.10</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Fees and Expenses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8.11</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Disclosure Schedule</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8.12</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Waiver</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284" w:name="page285"/>
    <w:bookmarkEnd w:id="28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Schedules:</w:t>
            </w:r>
          </w:p>
        </w:tc>
        <w:tc>
          <w:tcPr>
            <w:tcW w:w="2500" w:type="dxa"/>
            <w:vAlign w:val="bottom"/>
          </w:tcPr>
          <w:p>
            <w:pPr>
              <w:spacing w:after="0"/>
              <w:rPr>
                <w:sz w:val="17"/>
                <w:szCs w:val="17"/>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26"/>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1.1(a)</w:t>
            </w:r>
          </w:p>
        </w:tc>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Transferred Intellectual Property</w:t>
            </w:r>
          </w:p>
        </w:tc>
      </w:tr>
      <w:tr>
        <w:trPr>
          <w:trHeight w:val="216"/>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1.1(b)</w:t>
            </w:r>
          </w:p>
        </w:tc>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Transferred Contracts</w:t>
            </w:r>
          </w:p>
        </w:tc>
      </w:tr>
      <w:tr>
        <w:trPr>
          <w:trHeight w:val="216"/>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1.1 (c)</w:t>
            </w:r>
          </w:p>
        </w:tc>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r>
      <w:tr>
        <w:trPr>
          <w:trHeight w:val="216"/>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1.1(d)</w:t>
            </w:r>
          </w:p>
        </w:tc>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Regulatory Applications</w:t>
            </w:r>
          </w:p>
        </w:tc>
      </w:tr>
      <w:tr>
        <w:trPr>
          <w:trHeight w:val="216"/>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1.1(h)</w:t>
            </w:r>
          </w:p>
        </w:tc>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r>
      <w:tr>
        <w:trPr>
          <w:trHeight w:val="216"/>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1.2(j)</w:t>
            </w:r>
          </w:p>
        </w:tc>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Excluded Assets</w:t>
            </w:r>
          </w:p>
        </w:tc>
      </w:tr>
      <w:tr>
        <w:trPr>
          <w:trHeight w:val="216"/>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1.3</w:t>
            </w:r>
          </w:p>
        </w:tc>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Assumed Liabilities</w:t>
            </w:r>
          </w:p>
        </w:tc>
      </w:tr>
      <w:tr>
        <w:trPr>
          <w:trHeight w:val="216"/>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1.6(b)(iii)</w:t>
            </w:r>
          </w:p>
        </w:tc>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Required Consents</w:t>
            </w:r>
          </w:p>
        </w:tc>
      </w:tr>
      <w:tr>
        <w:trPr>
          <w:trHeight w:val="234"/>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7.1</w:t>
            </w:r>
          </w:p>
        </w:tc>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Excluded Contracts</w:t>
            </w:r>
          </w:p>
        </w:tc>
      </w:tr>
      <w:tr>
        <w:trPr>
          <w:trHeight w:val="324"/>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Disclosure Schedule</w:t>
            </w:r>
          </w:p>
        </w:tc>
        <w:tc>
          <w:tcPr>
            <w:tcW w:w="2500" w:type="dxa"/>
            <w:vAlign w:val="bottom"/>
          </w:tcPr>
          <w:p>
            <w:pPr>
              <w:spacing w:after="0"/>
              <w:rPr>
                <w:sz w:val="24"/>
                <w:szCs w:val="24"/>
                <w:color w:val="auto"/>
              </w:rPr>
            </w:pPr>
          </w:p>
        </w:tc>
      </w:tr>
      <w:tr>
        <w:trPr>
          <w:trHeight w:val="283"/>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Exhibits:</w:t>
            </w:r>
          </w:p>
        </w:tc>
        <w:tc>
          <w:tcPr>
            <w:tcW w:w="2500" w:type="dxa"/>
            <w:vAlign w:val="bottom"/>
          </w:tcPr>
          <w:p>
            <w:pPr>
              <w:spacing w:after="0"/>
              <w:rPr>
                <w:sz w:val="24"/>
                <w:szCs w:val="24"/>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26"/>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A</w:t>
            </w:r>
          </w:p>
        </w:tc>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Trademark Assignment</w:t>
            </w:r>
          </w:p>
        </w:tc>
      </w:tr>
      <w:tr>
        <w:trPr>
          <w:trHeight w:val="216"/>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w:t>
            </w:r>
          </w:p>
        </w:tc>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Patent Assignment</w:t>
            </w:r>
          </w:p>
        </w:tc>
      </w:tr>
      <w:tr>
        <w:trPr>
          <w:trHeight w:val="216"/>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w:t>
            </w:r>
          </w:p>
        </w:tc>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Services Agreement</w:t>
            </w:r>
          </w:p>
        </w:tc>
      </w:tr>
      <w:tr>
        <w:trPr>
          <w:trHeight w:val="216"/>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w:t>
            </w:r>
          </w:p>
        </w:tc>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PureTech Representation Letter</w:t>
            </w:r>
          </w:p>
        </w:tc>
      </w:tr>
      <w:tr>
        <w:trPr>
          <w:trHeight w:val="234"/>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w:t>
            </w:r>
          </w:p>
        </w:tc>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of PureTech License</w:t>
            </w:r>
          </w:p>
        </w:tc>
      </w:tr>
    </w:tbl>
    <w:p>
      <w:pPr>
        <w:sectPr>
          <w:pgSz w:w="11900" w:h="16838" w:orient="portrait"/>
          <w:cols w:equalWidth="0" w:num="1">
            <w:col w:w="11020"/>
          </w:cols>
          <w:pgMar w:left="440" w:top="266" w:right="439" w:bottom="1440" w:gutter="0" w:footer="0" w:header="0"/>
        </w:sectPr>
      </w:pPr>
    </w:p>
    <w:bookmarkStart w:id="285" w:name="page286"/>
    <w:bookmarkEnd w:id="28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TABLE OF DEFINED TERMS</w:t>
            </w:r>
          </w:p>
        </w:tc>
        <w:tc>
          <w:tcPr>
            <w:tcW w:w="0" w:type="dxa"/>
            <w:vAlign w:val="bottom"/>
          </w:tcPr>
          <w:p>
            <w:pPr>
              <w:spacing w:after="0"/>
              <w:rPr>
                <w:sz w:val="1"/>
                <w:szCs w:val="1"/>
                <w:color w:val="auto"/>
              </w:rPr>
            </w:pPr>
          </w:p>
        </w:tc>
      </w:tr>
      <w:tr>
        <w:trPr>
          <w:trHeight w:val="392"/>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w w:val="94"/>
              </w:rPr>
              <w:t>Terms</w:t>
            </w:r>
          </w:p>
        </w:tc>
        <w:tc>
          <w:tcPr>
            <w:tcW w:w="3160" w:type="dxa"/>
            <w:vAlign w:val="bottom"/>
          </w:tcPr>
          <w:p>
            <w:pPr>
              <w:spacing w:after="0"/>
              <w:rPr>
                <w:sz w:val="24"/>
                <w:szCs w:val="24"/>
                <w:color w:val="auto"/>
              </w:rPr>
            </w:pPr>
          </w:p>
        </w:tc>
        <w:tc>
          <w:tcPr>
            <w:tcW w:w="320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rPr>
              <w:t>Reference in Agreement</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5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Additional Transfer Documents</w:t>
            </w:r>
          </w:p>
        </w:tc>
        <w:tc>
          <w:tcPr>
            <w:tcW w:w="680" w:type="dxa"/>
            <w:vAlign w:val="bottom"/>
            <w:vMerge w:val="continue"/>
          </w:tcPr>
          <w:p>
            <w:pPr>
              <w:spacing w:after="0"/>
              <w:rPr>
                <w:sz w:val="16"/>
                <w:szCs w:val="16"/>
                <w:color w:val="auto"/>
              </w:rPr>
            </w:pPr>
          </w:p>
        </w:tc>
        <w:tc>
          <w:tcPr>
            <w:tcW w:w="1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1.6(b)(i)(D)</w:t>
            </w: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Affiliate</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32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Ancillary Agreements</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Assumed Liabilities</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1.3</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Available</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Books and Records</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w:t>
            </w:r>
          </w:p>
        </w:tc>
        <w:tc>
          <w:tcPr>
            <w:tcW w:w="32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Day</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Claim Notice</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Claimed Amount</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32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1.6(a)</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Code</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32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3.4(a)</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Confidential Information</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1.5</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Controlled Affiliate</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Controlling Party</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Damages</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6.1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Security Incident</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Consent</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1.7</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Item</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1.7</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Disclosure Schedule</w:t>
            </w:r>
          </w:p>
        </w:tc>
        <w:tc>
          <w:tcPr>
            <w:tcW w:w="32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Article II</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Claims</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Environmental Law</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Excluded Assets</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1.2</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Excluded Contract</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Fundamental Reps</w:t>
            </w:r>
          </w:p>
        </w:tc>
        <w:tc>
          <w:tcPr>
            <w:tcW w:w="32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6.4(a)</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GAAP</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Governmental Entity</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Hazardous Material</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Identified Product Concept</w:t>
            </w:r>
          </w:p>
        </w:tc>
        <w:tc>
          <w:tcPr>
            <w:tcW w:w="32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4.7(a)</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Indebtedness</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Indemnified Party</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Indemnifying Party</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Information Privacy and Security Laws</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Insurance Policies</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IRS</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 or Laws</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019"/>
          </w:cols>
          <w:pgMar w:left="440" w:top="266" w:right="1440" w:bottom="1440" w:gutter="0" w:footer="0" w:header="0"/>
        </w:sectPr>
      </w:pPr>
    </w:p>
    <w:bookmarkStart w:id="286" w:name="page287"/>
    <w:bookmarkEnd w:id="28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3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TABLE OF DEFINED TERMS</w:t>
            </w:r>
          </w:p>
        </w:tc>
      </w:tr>
      <w:tr>
        <w:trPr>
          <w:trHeight w:val="234"/>
        </w:trPr>
        <w:tc>
          <w:tcPr>
            <w:tcW w:w="3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(continued)</w:t>
            </w:r>
          </w:p>
        </w:tc>
      </w:tr>
      <w:tr>
        <w:trPr>
          <w:trHeight w:val="297"/>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Terms</w:t>
            </w:r>
          </w:p>
        </w:tc>
        <w:tc>
          <w:tcPr>
            <w:tcW w:w="3240" w:type="dxa"/>
            <w:vAlign w:val="bottom"/>
            <w:gridSpan w:val="3"/>
          </w:tcPr>
          <w:p>
            <w:pPr>
              <w:ind w:left="720"/>
              <w:spacing w:after="0"/>
              <w:rPr>
                <w:sz w:val="20"/>
                <w:szCs w:val="20"/>
                <w:color w:val="auto"/>
              </w:rPr>
            </w:pPr>
            <w:r>
              <w:rPr>
                <w:rFonts w:ascii="Times New Roman" w:cs="Times New Roman" w:eastAsia="Times New Roman" w:hAnsi="Times New Roman"/>
                <w:sz w:val="14"/>
                <w:szCs w:val="14"/>
                <w:color w:val="auto"/>
              </w:rPr>
              <w:t>Reference in Agreement</w:t>
            </w:r>
          </w:p>
        </w:tc>
      </w:tr>
      <w:tr>
        <w:trPr>
          <w:trHeight w:val="191"/>
        </w:trPr>
        <w:tc>
          <w:tcPr>
            <w:tcW w:w="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82"/>
              </w:rPr>
              <w:t>Legal</w:t>
            </w:r>
          </w:p>
        </w:tc>
        <w:tc>
          <w:tcPr>
            <w:tcW w:w="31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Proceeding</w:t>
            </w:r>
          </w:p>
        </w:tc>
        <w:tc>
          <w:tcPr>
            <w:tcW w:w="720" w:type="dxa"/>
            <w:vAlign w:val="bottom"/>
          </w:tcPr>
          <w:p>
            <w:pPr>
              <w:spacing w:after="0"/>
              <w:rPr>
                <w:sz w:val="16"/>
                <w:szCs w:val="16"/>
                <w:color w:val="auto"/>
              </w:rPr>
            </w:pPr>
          </w:p>
        </w:tc>
        <w:tc>
          <w:tcPr>
            <w:tcW w:w="14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6"/>
                <w:szCs w:val="16"/>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Liability</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Lien or Liens</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Major European Market</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Monash</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Monash License</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Seaport Employees</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Party</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Non-CNS Indications</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Order</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Ordinary Course of Business</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Organizational Documents</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Party or Parties</w:t>
            </w:r>
          </w:p>
        </w:tc>
        <w:tc>
          <w:tcPr>
            <w:tcW w:w="32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Permits</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Personal Data</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Pre-Closing Tax Period</w:t>
            </w:r>
          </w:p>
        </w:tc>
        <w:tc>
          <w:tcPr>
            <w:tcW w:w="32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4.4(a)</w:t>
            </w: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32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3.4(a)</w:t>
            </w: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Processing or Processed</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Approval</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IND</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License Agreement</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Licensee</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PureTech</w:t>
            </w:r>
          </w:p>
        </w:tc>
        <w:tc>
          <w:tcPr>
            <w:tcW w:w="32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PureTech Benefit Arrangement</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PureTech Data</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PureTech Employee Liabilities</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PureTech Indemnified Party or Parties</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6.2</w:t>
            </w:r>
          </w:p>
        </w:tc>
        <w:tc>
          <w:tcPr>
            <w:tcW w:w="110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PureTech License</w:t>
            </w:r>
          </w:p>
        </w:tc>
        <w:tc>
          <w:tcPr>
            <w:tcW w:w="32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4.7(a)</w:t>
            </w: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PureTech License Request Notice</w:t>
            </w:r>
          </w:p>
        </w:tc>
        <w:tc>
          <w:tcPr>
            <w:tcW w:w="32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4.7(a)</w:t>
            </w: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PureTech Registrations</w:t>
            </w:r>
          </w:p>
        </w:tc>
        <w:tc>
          <w:tcPr>
            <w:tcW w:w="32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2.4(b)</w:t>
            </w: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PureTech’s Knowledge</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Regulatory Authority</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Regulatory Applications</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Regulatory Documentation</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Release</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Representatives</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Required Consents</w:t>
            </w:r>
          </w:p>
        </w:tc>
        <w:tc>
          <w:tcPr>
            <w:tcW w:w="32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1.6(b)(iii)</w:t>
            </w: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Liabilities</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tcPr>
          <w:p>
            <w:pPr>
              <w:spacing w:after="0"/>
              <w:rPr>
                <w:sz w:val="18"/>
                <w:szCs w:val="18"/>
                <w:color w:val="auto"/>
              </w:rPr>
            </w:pPr>
          </w:p>
        </w:tc>
      </w:tr>
      <w:tr>
        <w:trPr>
          <w:trHeight w:val="234"/>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Tax Liabilities</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20"/>
                <w:szCs w:val="20"/>
                <w:color w:val="auto"/>
              </w:rPr>
            </w:pPr>
          </w:p>
        </w:tc>
      </w:tr>
    </w:tbl>
    <w:p>
      <w:pPr>
        <w:sectPr>
          <w:pgSz w:w="11900" w:h="16838" w:orient="portrait"/>
          <w:cols w:equalWidth="0" w:num="1">
            <w:col w:w="10019"/>
          </w:cols>
          <w:pgMar w:left="440" w:top="266" w:right="1440" w:bottom="1440" w:gutter="0" w:footer="0" w:header="0"/>
        </w:sectPr>
      </w:pPr>
    </w:p>
    <w:bookmarkStart w:id="287" w:name="page288"/>
    <w:bookmarkEnd w:id="28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3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TABLE OF DEFINED TERMS</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(continued)</w:t>
            </w:r>
          </w:p>
        </w:tc>
        <w:tc>
          <w:tcPr>
            <w:tcW w:w="0" w:type="dxa"/>
            <w:vAlign w:val="bottom"/>
          </w:tcPr>
          <w:p>
            <w:pPr>
              <w:spacing w:after="0"/>
              <w:rPr>
                <w:sz w:val="1"/>
                <w:szCs w:val="1"/>
                <w:color w:val="auto"/>
              </w:rPr>
            </w:pPr>
          </w:p>
        </w:tc>
      </w:tr>
      <w:tr>
        <w:trPr>
          <w:trHeight w:val="297"/>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w w:val="94"/>
              </w:rPr>
              <w:t>Terms</w:t>
            </w:r>
          </w:p>
        </w:tc>
        <w:tc>
          <w:tcPr>
            <w:tcW w:w="3040" w:type="dxa"/>
            <w:vAlign w:val="bottom"/>
          </w:tcPr>
          <w:p>
            <w:pPr>
              <w:spacing w:after="0"/>
              <w:rPr>
                <w:sz w:val="24"/>
                <w:szCs w:val="24"/>
                <w:color w:val="auto"/>
              </w:rPr>
            </w:pPr>
          </w:p>
        </w:tc>
        <w:tc>
          <w:tcPr>
            <w:tcW w:w="3320" w:type="dxa"/>
            <w:vAlign w:val="bottom"/>
            <w:gridSpan w:val="3"/>
          </w:tcPr>
          <w:p>
            <w:pPr>
              <w:ind w:left="800"/>
              <w:spacing w:after="0"/>
              <w:rPr>
                <w:sz w:val="20"/>
                <w:szCs w:val="20"/>
                <w:color w:val="auto"/>
              </w:rPr>
            </w:pPr>
            <w:r>
              <w:rPr>
                <w:rFonts w:ascii="Times New Roman" w:cs="Times New Roman" w:eastAsia="Times New Roman" w:hAnsi="Times New Roman"/>
                <w:sz w:val="14"/>
                <w:szCs w:val="14"/>
                <w:color w:val="auto"/>
              </w:rPr>
              <w:t>Reference in Agreement</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4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Royalty Term</w:t>
            </w:r>
          </w:p>
        </w:tc>
        <w:tc>
          <w:tcPr>
            <w:tcW w:w="800" w:type="dxa"/>
            <w:vAlign w:val="bottom"/>
            <w:vMerge w:val="continue"/>
          </w:tcPr>
          <w:p>
            <w:pPr>
              <w:spacing w:after="0"/>
              <w:rPr>
                <w:sz w:val="16"/>
                <w:szCs w:val="16"/>
                <w:color w:val="auto"/>
              </w:rPr>
            </w:pPr>
          </w:p>
        </w:tc>
        <w:tc>
          <w:tcPr>
            <w:tcW w:w="1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7.1</w:t>
            </w: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Seaport</w:t>
            </w:r>
          </w:p>
        </w:tc>
        <w:tc>
          <w:tcPr>
            <w:tcW w:w="33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Seaport Glyph Products</w:t>
            </w:r>
          </w:p>
        </w:tc>
        <w:tc>
          <w:tcPr>
            <w:tcW w:w="22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Seaport Indemnified Party or Parties</w:t>
            </w:r>
          </w:p>
        </w:tc>
        <w:tc>
          <w:tcPr>
            <w:tcW w:w="22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6.1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Survival Date</w:t>
            </w:r>
          </w:p>
        </w:tc>
        <w:tc>
          <w:tcPr>
            <w:tcW w:w="22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6.4</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Returns</w:t>
            </w:r>
          </w:p>
        </w:tc>
        <w:tc>
          <w:tcPr>
            <w:tcW w:w="22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w:t>
            </w:r>
          </w:p>
        </w:tc>
        <w:tc>
          <w:tcPr>
            <w:tcW w:w="22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Territory</w:t>
            </w:r>
          </w:p>
        </w:tc>
        <w:tc>
          <w:tcPr>
            <w:tcW w:w="22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Party</w:t>
            </w:r>
          </w:p>
        </w:tc>
        <w:tc>
          <w:tcPr>
            <w:tcW w:w="22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Party Action</w:t>
            </w:r>
          </w:p>
        </w:tc>
        <w:tc>
          <w:tcPr>
            <w:tcW w:w="22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 Assignment</w:t>
            </w:r>
          </w:p>
        </w:tc>
        <w:tc>
          <w:tcPr>
            <w:tcW w:w="33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1.6(b)(i)(A)</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22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Transferred Assets</w:t>
            </w:r>
          </w:p>
        </w:tc>
        <w:tc>
          <w:tcPr>
            <w:tcW w:w="22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Transferred Contracts</w:t>
            </w:r>
          </w:p>
        </w:tc>
        <w:tc>
          <w:tcPr>
            <w:tcW w:w="33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1.1(a)</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Transferred Intellectual Property</w:t>
            </w:r>
          </w:p>
        </w:tc>
        <w:tc>
          <w:tcPr>
            <w:tcW w:w="33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1.1(b)</w:t>
            </w:r>
          </w:p>
        </w:tc>
        <w:tc>
          <w:tcPr>
            <w:tcW w:w="0" w:type="dxa"/>
            <w:vAlign w:val="bottom"/>
          </w:tcPr>
          <w:p>
            <w:pPr>
              <w:spacing w:after="0"/>
              <w:rPr>
                <w:sz w:val="1"/>
                <w:szCs w:val="1"/>
                <w:color w:val="auto"/>
              </w:rPr>
            </w:pPr>
          </w:p>
        </w:tc>
      </w:tr>
      <w:tr>
        <w:trPr>
          <w:trHeight w:val="234"/>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Valid Claim</w:t>
            </w:r>
          </w:p>
        </w:tc>
        <w:tc>
          <w:tcPr>
            <w:tcW w:w="22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019"/>
          </w:cols>
          <w:pgMar w:left="440" w:top="266" w:right="1440" w:bottom="1440" w:gutter="0" w:footer="0" w:header="0"/>
        </w:sectPr>
      </w:pPr>
    </w:p>
    <w:bookmarkStart w:id="288" w:name="page289"/>
    <w:bookmarkEnd w:id="2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ASSET TRANSFER AGREEMENT</w:t>
      </w:r>
    </w:p>
    <w:p>
      <w:pPr>
        <w:spacing w:after="0" w:line="229"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THIS ASSET TRANSFER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entered into as of April 8, 2024, by and among SEAPORT THERAPEUTICS, INC., a Delaware corporation (“</w:t>
      </w:r>
      <w:r>
        <w:rPr>
          <w:rFonts w:ascii="Times New Roman" w:cs="Times New Roman" w:eastAsia="Times New Roman" w:hAnsi="Times New Roman"/>
          <w:sz w:val="17"/>
          <w:szCs w:val="17"/>
          <w:u w:val="single" w:color="auto"/>
          <w:color w:val="auto"/>
        </w:rPr>
        <w:t>Seaport</w:t>
      </w:r>
      <w:r>
        <w:rPr>
          <w:rFonts w:ascii="Times New Roman" w:cs="Times New Roman" w:eastAsia="Times New Roman" w:hAnsi="Times New Roman"/>
          <w:sz w:val="17"/>
          <w:szCs w:val="17"/>
          <w:color w:val="auto"/>
        </w:rPr>
        <w:t>”), on the one hand, and PURETECH HEALTH LLC, a Delaware limited liability company (“</w:t>
      </w:r>
      <w:r>
        <w:rPr>
          <w:rFonts w:ascii="Times New Roman" w:cs="Times New Roman" w:eastAsia="Times New Roman" w:hAnsi="Times New Roman"/>
          <w:sz w:val="17"/>
          <w:szCs w:val="17"/>
          <w:u w:val="single" w:color="auto"/>
          <w:color w:val="auto"/>
        </w:rPr>
        <w:t>PureTech Health</w:t>
      </w:r>
      <w:r>
        <w:rPr>
          <w:rFonts w:ascii="Times New Roman" w:cs="Times New Roman" w:eastAsia="Times New Roman" w:hAnsi="Times New Roman"/>
          <w:sz w:val="17"/>
          <w:szCs w:val="17"/>
          <w:color w:val="auto"/>
        </w:rPr>
        <w:t>”) and PURETECH LYT, INC. a Delaware corporation and a wholly-owned subsidiary of PureTech Health (“</w:t>
      </w:r>
      <w:r>
        <w:rPr>
          <w:rFonts w:ascii="Times New Roman" w:cs="Times New Roman" w:eastAsia="Times New Roman" w:hAnsi="Times New Roman"/>
          <w:sz w:val="17"/>
          <w:szCs w:val="17"/>
          <w:u w:val="single" w:color="auto"/>
          <w:color w:val="auto"/>
        </w:rPr>
        <w:t>PureTech LYT</w:t>
      </w:r>
      <w:r>
        <w:rPr>
          <w:rFonts w:ascii="Times New Roman" w:cs="Times New Roman" w:eastAsia="Times New Roman" w:hAnsi="Times New Roman"/>
          <w:sz w:val="17"/>
          <w:szCs w:val="17"/>
          <w:color w:val="auto"/>
        </w:rPr>
        <w:t>” and together with PureTech Health, “</w:t>
      </w:r>
      <w:r>
        <w:rPr>
          <w:rFonts w:ascii="Times New Roman" w:cs="Times New Roman" w:eastAsia="Times New Roman" w:hAnsi="Times New Roman"/>
          <w:sz w:val="17"/>
          <w:szCs w:val="17"/>
          <w:u w:val="single" w:color="auto"/>
          <w:color w:val="auto"/>
        </w:rPr>
        <w:t>PureTech</w:t>
      </w:r>
      <w:r>
        <w:rPr>
          <w:rFonts w:ascii="Times New Roman" w:cs="Times New Roman" w:eastAsia="Times New Roman" w:hAnsi="Times New Roman"/>
          <w:sz w:val="17"/>
          <w:szCs w:val="17"/>
          <w:color w:val="auto"/>
        </w:rPr>
        <w:t>”), on the other hand. Seaport and PureTech are also referred to herein individually as a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and collectively as the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WHEREAS, PureTech desires to transfer and assign to Seaport, and Seaport desires to acquire from PureTech certain assets and rights of PureTech related to the Glyph Technology (as defined below), subject to the assumption by Seaport of certain liabilities, upon the terms and subject to the conditions set forth in this Agreement.</w:t>
      </w:r>
    </w:p>
    <w:p>
      <w:pPr>
        <w:spacing w:after="0" w:line="176" w:lineRule="exact"/>
        <w:rPr>
          <w:sz w:val="20"/>
          <w:szCs w:val="20"/>
          <w:color w:val="auto"/>
        </w:rPr>
      </w:pPr>
    </w:p>
    <w:p>
      <w:pPr>
        <w:ind w:right="100" w:firstLine="440"/>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foregoing and the respective representations, warranties, covenants and agreements set forth below, and for other good and valuable consideration, the receipt and sufficiency of which are hereby acknowledged, the Parties hereby agree as follows:</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TRANSFER OF ASSETS</w:t>
      </w:r>
    </w:p>
    <w:p>
      <w:pPr>
        <w:spacing w:after="0" w:line="229"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Transfer of Assets</w:t>
      </w:r>
      <w:r>
        <w:rPr>
          <w:rFonts w:ascii="Times New Roman" w:cs="Times New Roman" w:eastAsia="Times New Roman" w:hAnsi="Times New Roman"/>
          <w:sz w:val="18"/>
          <w:szCs w:val="18"/>
          <w:color w:val="auto"/>
        </w:rPr>
        <w:t>. Upon the terms and subject to the conditions set forth herein, at the Closing, PureTech shall contribute, convey, assign, transfer and deliver to Seaport, and Seaport shall acquire and accept from PureTech, all of PureTech’s right, title and interest in, to and under the Transferred Assets, free and clear of any Liens. The contribution, assignment, transfer and delivery of the Transferred Assets by PureTech to Seaport is not revocable by PureTech. For purposes of this Agreement, the term “Transferred Assets” means all of the assets, rights and properties of PureTech existing as of the Closing related to the Glyph Technology or Products, including the following (but in each case excluding the Excluded Assets):</w:t>
      </w:r>
    </w:p>
    <w:p>
      <w:pPr>
        <w:spacing w:after="0" w:line="75" w:lineRule="exact"/>
        <w:rPr>
          <w:sz w:val="20"/>
          <w:szCs w:val="20"/>
          <w:color w:val="auto"/>
        </w:rPr>
      </w:pPr>
    </w:p>
    <w:p>
      <w:pPr>
        <w:ind w:right="580" w:firstLine="987"/>
        <w:spacing w:after="0" w:line="282" w:lineRule="auto"/>
        <w:tabs>
          <w:tab w:leader="none" w:pos="123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Intellectual Property that Covers, or that is necessary for the Utilization of, the Glyph Technology or Products, including the Transferred Patents set forth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Transferred Intellectual Property</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140" w:firstLine="987"/>
        <w:spacing w:after="0" w:line="261" w:lineRule="auto"/>
        <w:tabs>
          <w:tab w:leader="none" w:pos="124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rights under the Contracts set forth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to which PureTech is party and that relate exclusively or primarily to the Glyph Technology or Products (the “</w:t>
      </w:r>
      <w:r>
        <w:rPr>
          <w:rFonts w:ascii="Times New Roman" w:cs="Times New Roman" w:eastAsia="Times New Roman" w:hAnsi="Times New Roman"/>
          <w:sz w:val="18"/>
          <w:szCs w:val="18"/>
          <w:u w:val="single" w:color="auto"/>
          <w:color w:val="auto"/>
        </w:rPr>
        <w:t>Transferred Contracts</w:t>
      </w:r>
      <w:r>
        <w:rPr>
          <w:rFonts w:ascii="Times New Roman" w:cs="Times New Roman" w:eastAsia="Times New Roman" w:hAnsi="Times New Roman"/>
          <w:sz w:val="18"/>
          <w:szCs w:val="18"/>
          <w:color w:val="auto"/>
        </w:rPr>
        <w:t xml:space="preserve">”), including the Monash License but excluding any Excluded Contract (it being understood and agreed that, within [***] after the Closing Date, the Parties may, but shall not be obligated to, modify such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as mutually agreed in writing by the Parties to add to, delete from or modify the list of Contracts contained therein);</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Products (and all rights thereto), including all Inventory, including the items set forth on </w:t>
      </w:r>
      <w:r>
        <w:rPr>
          <w:rFonts w:ascii="Times New Roman" w:cs="Times New Roman" w:eastAsia="Times New Roman" w:hAnsi="Times New Roman"/>
          <w:sz w:val="18"/>
          <w:szCs w:val="18"/>
          <w:u w:val="single" w:color="auto"/>
          <w:color w:val="auto"/>
        </w:rPr>
        <w:t>Schedule 1.1(c)</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66" w:right="479" w:bottom="1440" w:gutter="0" w:footer="0" w:header="0"/>
        </w:sectPr>
      </w:pPr>
    </w:p>
    <w:bookmarkStart w:id="289" w:name="page290"/>
    <w:bookmarkEnd w:id="289"/>
    <w:p>
      <w:pPr>
        <w:ind w:left="1240" w:hanging="253"/>
        <w:spacing w:after="0"/>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all Product INDs, if any, and any other Regulatory Applications, including the items set forth on </w:t>
      </w:r>
      <w:r>
        <w:rPr>
          <w:rFonts w:ascii="Times New Roman" w:cs="Times New Roman" w:eastAsia="Times New Roman" w:hAnsi="Times New Roman"/>
          <w:sz w:val="18"/>
          <w:szCs w:val="18"/>
          <w:u w:val="single" w:color="auto"/>
          <w:color w:val="auto"/>
        </w:rPr>
        <w:t>Schedule 1.1(d)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Regulatory Documentation;</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Books and Records relating to Glyph Technology or Products;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and distributor lists related to the Glyph Technology or Products;</w:t>
      </w:r>
    </w:p>
    <w:p>
      <w:pPr>
        <w:spacing w:after="0" w:line="225" w:lineRule="exact"/>
        <w:rPr>
          <w:rFonts w:ascii="Times New Roman" w:cs="Times New Roman" w:eastAsia="Times New Roman" w:hAnsi="Times New Roman"/>
          <w:sz w:val="18"/>
          <w:szCs w:val="18"/>
          <w:color w:val="auto"/>
        </w:rPr>
      </w:pPr>
    </w:p>
    <w:p>
      <w:pPr>
        <w:ind w:right="240" w:firstLine="987"/>
        <w:spacing w:after="0" w:line="282" w:lineRule="auto"/>
        <w:tabs>
          <w:tab w:leader="none" w:pos="124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equipment and other assets, rights and properties of PureTech listed on </w:t>
      </w:r>
      <w:r>
        <w:rPr>
          <w:rFonts w:ascii="Times New Roman" w:cs="Times New Roman" w:eastAsia="Times New Roman" w:hAnsi="Times New Roman"/>
          <w:sz w:val="18"/>
          <w:szCs w:val="18"/>
          <w:u w:val="single" w:color="auto"/>
          <w:color w:val="auto"/>
        </w:rPr>
        <w:t>Schedule 1.1(h)</w:t>
      </w:r>
      <w:r>
        <w:rPr>
          <w:rFonts w:ascii="Times New Roman" w:cs="Times New Roman" w:eastAsia="Times New Roman" w:hAnsi="Times New Roman"/>
          <w:sz w:val="18"/>
          <w:szCs w:val="18"/>
          <w:color w:val="auto"/>
        </w:rPr>
        <w:t xml:space="preserve"> (and all associated warranties and service contracts, if any); and</w:t>
      </w:r>
    </w:p>
    <w:p>
      <w:pPr>
        <w:spacing w:after="0" w:line="16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goodwill associated with the Transferred Assets.</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Notwithstanding anything to the contrary in this Agreement, the Transferred Assets shall not include any of the Excluded Assets. For purposes of this Agreement, the term “Excluded Assets” means the following assets, rights and properties of PureTech:</w:t>
      </w:r>
    </w:p>
    <w:p>
      <w:pPr>
        <w:spacing w:after="0" w:line="54" w:lineRule="exact"/>
        <w:rPr>
          <w:sz w:val="20"/>
          <w:szCs w:val="20"/>
          <w:color w:val="auto"/>
        </w:rPr>
      </w:pPr>
    </w:p>
    <w:p>
      <w:pPr>
        <w:ind w:left="1240" w:hanging="253"/>
        <w:spacing w:after="0"/>
        <w:tabs>
          <w:tab w:leader="none" w:pos="12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short-term investments, deposits, bank accounts, and other cash equivalents, in each case as of the Closing;</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and loans receivable that are payable to PureTech;</w:t>
      </w:r>
    </w:p>
    <w:p>
      <w:pPr>
        <w:spacing w:after="0" w:line="225" w:lineRule="exact"/>
        <w:rPr>
          <w:rFonts w:ascii="Times New Roman" w:cs="Times New Roman" w:eastAsia="Times New Roman" w:hAnsi="Times New Roman"/>
          <w:sz w:val="18"/>
          <w:szCs w:val="18"/>
          <w:color w:val="auto"/>
        </w:rPr>
      </w:pPr>
    </w:p>
    <w:p>
      <w:pPr>
        <w:ind w:right="260" w:firstLine="987"/>
        <w:spacing w:after="0" w:line="266" w:lineRule="auto"/>
        <w:tabs>
          <w:tab w:leader="none" w:pos="123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Organizational Documents, qualifications to conduct business as a foreign entity, arrangements with registered agents relating to foreign qualifications, taxpayer and other identification numbers, seals, minute books, stock transfer books and other documents relating to the organization and existence of PureTech;</w:t>
      </w:r>
    </w:p>
    <w:p>
      <w:pPr>
        <w:spacing w:after="0" w:line="175" w:lineRule="exact"/>
        <w:rPr>
          <w:rFonts w:ascii="Times New Roman" w:cs="Times New Roman" w:eastAsia="Times New Roman" w:hAnsi="Times New Roman"/>
          <w:sz w:val="18"/>
          <w:szCs w:val="18"/>
          <w:color w:val="auto"/>
        </w:rPr>
      </w:pPr>
    </w:p>
    <w:p>
      <w:pPr>
        <w:ind w:right="320" w:firstLine="987"/>
        <w:spacing w:after="0" w:line="282" w:lineRule="auto"/>
        <w:tabs>
          <w:tab w:leader="none" w:pos="124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refunds and Tax deposits of PureTech attributable to any Pre-Closing Tax Period and all Tax books and records of PureTech and, for the avoidance of doubt, all tax attributes of PureTech including, without limitation, tax loss carryovers and tax credits;</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PureTech in and with respect to the assets associated with any PureTech Benefit Arrangement;</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rights of PureTech under the Excluded Contracts;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personnel records;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Insurance Policies;</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prepayments and prepaid expenses (including prepaid insurance premiums) under Contracts that are Excluded Contracts; and</w:t>
      </w:r>
    </w:p>
    <w:p>
      <w:pPr>
        <w:spacing w:after="0" w:line="225" w:lineRule="exact"/>
        <w:rPr>
          <w:rFonts w:ascii="Times New Roman" w:cs="Times New Roman" w:eastAsia="Times New Roman" w:hAnsi="Times New Roman"/>
          <w:sz w:val="18"/>
          <w:szCs w:val="18"/>
          <w:color w:val="auto"/>
        </w:rPr>
      </w:pPr>
    </w:p>
    <w:p>
      <w:pPr>
        <w:jc w:val="both"/>
        <w:ind w:firstLine="987"/>
        <w:spacing w:after="0" w:line="266" w:lineRule="auto"/>
        <w:tabs>
          <w:tab w:leader="none" w:pos="120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those assets listed on </w:t>
      </w:r>
      <w:r>
        <w:rPr>
          <w:rFonts w:ascii="Times New Roman" w:cs="Times New Roman" w:eastAsia="Times New Roman" w:hAnsi="Times New Roman"/>
          <w:sz w:val="18"/>
          <w:szCs w:val="18"/>
          <w:u w:val="single" w:color="auto"/>
          <w:color w:val="auto"/>
        </w:rPr>
        <w:t>Schedule 1.2(j)</w:t>
      </w:r>
      <w:r>
        <w:rPr>
          <w:rFonts w:ascii="Times New Roman" w:cs="Times New Roman" w:eastAsia="Times New Roman" w:hAnsi="Times New Roman"/>
          <w:sz w:val="18"/>
          <w:szCs w:val="18"/>
          <w:color w:val="auto"/>
        </w:rPr>
        <w:t xml:space="preserve"> (it being understood and agreed that, within [***] after the Closing Date, the Parties may, but shall not be obligated to, modify such </w:t>
      </w:r>
      <w:r>
        <w:rPr>
          <w:rFonts w:ascii="Times New Roman" w:cs="Times New Roman" w:eastAsia="Times New Roman" w:hAnsi="Times New Roman"/>
          <w:sz w:val="18"/>
          <w:szCs w:val="18"/>
          <w:u w:val="single" w:color="auto"/>
          <w:color w:val="auto"/>
        </w:rPr>
        <w:t>Schedule 1.2(j)</w:t>
      </w:r>
      <w:r>
        <w:rPr>
          <w:rFonts w:ascii="Times New Roman" w:cs="Times New Roman" w:eastAsia="Times New Roman" w:hAnsi="Times New Roman"/>
          <w:sz w:val="18"/>
          <w:szCs w:val="18"/>
          <w:color w:val="auto"/>
        </w:rPr>
        <w:t xml:space="preserve"> as mutually agreed in writing by the Parties to add to, delete from or modify the list of Excluded Assets contained therein).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90" w:name="page291"/>
    <w:bookmarkEnd w:id="290"/>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 </w:t>
      </w:r>
      <w:r>
        <w:rPr>
          <w:rFonts w:ascii="Times New Roman" w:cs="Times New Roman" w:eastAsia="Times New Roman" w:hAnsi="Times New Roman"/>
          <w:sz w:val="18"/>
          <w:szCs w:val="18"/>
          <w:u w:val="single" w:color="auto"/>
          <w:color w:val="auto"/>
        </w:rPr>
        <w:t>Assumption of Liabilities</w:t>
      </w:r>
      <w:r>
        <w:rPr>
          <w:rFonts w:ascii="Times New Roman" w:cs="Times New Roman" w:eastAsia="Times New Roman" w:hAnsi="Times New Roman"/>
          <w:sz w:val="18"/>
          <w:szCs w:val="18"/>
          <w:color w:val="auto"/>
        </w:rPr>
        <w:t>. Upon the terms and subject to the conditions set forth in this Agreement, at the Closing, Seaport shall assume and agree to perform, pay, satisfy or discharge when due, the Assumed Liabilities. For purposes of this Agreement, the term “Assumed Liabilities” means those Liabilities arising before the Closing set forth either on Schedule 1.3 or in the Services Agreement and any Liabilities arising on or after the Closing with respect to the Transferred Assets (including the Monash License), other than any Liability in respect of (a) any Liability that does not arise from or relate to the Transferred Assets, or (b) any breach or other violation of a Transferred Contract prior to the Closing.</w:t>
      </w:r>
    </w:p>
    <w:p>
      <w:pPr>
        <w:spacing w:after="0" w:line="183"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Retained Liabilities</w:t>
      </w:r>
      <w:r>
        <w:rPr>
          <w:rFonts w:ascii="Times New Roman" w:cs="Times New Roman" w:eastAsia="Times New Roman" w:hAnsi="Times New Roman"/>
          <w:sz w:val="18"/>
          <w:szCs w:val="18"/>
          <w:color w:val="auto"/>
        </w:rPr>
        <w:t>. Notwithstanding anything to the contrary in this Agreement, the Assumed Liabilities shall not include, and Seaport does not hereby and shall not assume or in any way undertake to perform, pay, satisfy or discharge, the Retained Liabilities, all of which shall be retained by and performed, paid, satisfied or discharged by PureTech as and when due. For purposes of this Agreement, the term “Retained Liabilities” means all Liabilities other than the Assumed Liabilities, including all Transaction Costs, Indebtedness, Retained Tax Liabilities, and all pre-Closing PureTech Employee Liabilities (except as set forth in the Services Agreement) and all other Liabilities in respect of the Products arising prior to the Closing (except to the extent expressly set forth in Section 1.3).</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As consideration for the Transferred Assets, Seaport will provide PureTech the following to PureTech:</w:t>
      </w:r>
    </w:p>
    <w:p>
      <w:pPr>
        <w:spacing w:after="0" w:line="117" w:lineRule="exact"/>
        <w:rPr>
          <w:sz w:val="20"/>
          <w:szCs w:val="20"/>
          <w:color w:val="auto"/>
        </w:rPr>
      </w:pPr>
    </w:p>
    <w:p>
      <w:pPr>
        <w:ind w:firstLine="987"/>
        <w:spacing w:after="0" w:line="282" w:lineRule="auto"/>
        <w:tabs>
          <w:tab w:leader="none" w:pos="123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at Closing</w:t>
      </w:r>
      <w:r>
        <w:rPr>
          <w:rFonts w:ascii="Times New Roman" w:cs="Times New Roman" w:eastAsia="Times New Roman" w:hAnsi="Times New Roman"/>
          <w:sz w:val="18"/>
          <w:szCs w:val="18"/>
          <w:color w:val="auto"/>
        </w:rPr>
        <w:t>. Seaport shall issue and deliver to PureTech LYT for the benefit of PureTech LYT and PureTech Health 40,000,000 shares of Seaport’s Series A-l Preferred Stock and 949,000 shares of Seaport’s Common Stock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Post-Closing.</w:t>
      </w:r>
    </w:p>
    <w:p>
      <w:pPr>
        <w:spacing w:after="0" w:line="225"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Royalty Payments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1979"/>
        <w:spacing w:after="0" w:line="282" w:lineRule="auto"/>
        <w:tabs>
          <w:tab w:leader="none" w:pos="2277"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Rate</w:t>
      </w:r>
      <w:r>
        <w:rPr>
          <w:rFonts w:ascii="Times New Roman" w:cs="Times New Roman" w:eastAsia="Times New Roman" w:hAnsi="Times New Roman"/>
          <w:sz w:val="18"/>
          <w:szCs w:val="18"/>
          <w:color w:val="auto"/>
        </w:rPr>
        <w:t>. During the Royalty Term for each Seaport Glyph Product, Seaport will make tiered royalty payments to PureTech in respect of Annual Net Sales, on a Product-by-Product basis, at the following royalty rates:</w:t>
      </w:r>
    </w:p>
    <w:p>
      <w:pPr>
        <w:spacing w:after="0" w:line="182"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Annual Net Sales of such Seaport Glyph Product any Calendar Year</w:t>
            </w:r>
          </w:p>
        </w:tc>
        <w:tc>
          <w:tcPr>
            <w:tcW w:w="228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Royalty Rate</w:t>
            </w:r>
          </w:p>
        </w:tc>
        <w:tc>
          <w:tcPr>
            <w:tcW w:w="0" w:type="dxa"/>
            <w:vAlign w:val="bottom"/>
          </w:tcPr>
          <w:p>
            <w:pPr>
              <w:spacing w:after="0"/>
              <w:rPr>
                <w:sz w:val="1"/>
                <w:szCs w:val="1"/>
                <w:color w:val="auto"/>
              </w:rPr>
            </w:pPr>
          </w:p>
        </w:tc>
      </w:tr>
      <w:tr>
        <w:trPr>
          <w:trHeight w:val="20"/>
        </w:trPr>
        <w:tc>
          <w:tcPr>
            <w:tcW w:w="64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Portion of Annual Net Sales less than US $500 million</w:t>
            </w: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gridSpan w:val="2"/>
            <w:vMerge w:val="continue"/>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8"/>
        </w:trPr>
        <w:tc>
          <w:tcPr>
            <w:tcW w:w="64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Portion of Annual Net Sales equal to or greater than US$500 million up to US</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billion</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8"/>
        </w:trPr>
        <w:tc>
          <w:tcPr>
            <w:tcW w:w="64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Portion of Annual Net Sales equal to or greater than US$1 billion up to US</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$2.5 billion</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8"/>
        </w:trPr>
        <w:tc>
          <w:tcPr>
            <w:tcW w:w="64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Portion of Annual Net Sales equal to or greater than US$2.5 billion up to US</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$3.5 billion</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Portion of Annual Net Sales equal to or greater than US $3.5 billion</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65"/>
        </w:trPr>
        <w:tc>
          <w:tcPr>
            <w:tcW w:w="420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3</w:t>
            </w: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70" w:right="499" w:bottom="1440" w:gutter="0" w:footer="0" w:header="0"/>
        </w:sectPr>
      </w:pPr>
    </w:p>
    <w:bookmarkStart w:id="291" w:name="page292"/>
    <w:bookmarkEnd w:id="291"/>
    <w:p>
      <w:pPr>
        <w:ind w:right="60" w:firstLine="1979"/>
        <w:spacing w:after="0" w:line="256" w:lineRule="auto"/>
        <w:tabs>
          <w:tab w:leader="none" w:pos="2268"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Calculation; Reports; Payment</w:t>
      </w:r>
      <w:r>
        <w:rPr>
          <w:rFonts w:ascii="Times New Roman" w:cs="Times New Roman" w:eastAsia="Times New Roman" w:hAnsi="Times New Roman"/>
          <w:sz w:val="18"/>
          <w:szCs w:val="18"/>
          <w:color w:val="auto"/>
        </w:rPr>
        <w:t>. Royalties on Annual Net Sales of each Seaport Glyph Product in a Calendar Year during the Royalty Term will be paid at the rate applicable to the portion of Net Sales within each of the Annual Net Sales tiers during such Calendar Year. Each payment of royalties shall be accompanied by a statement of the amount of Net Sales invoiced during the applicable Calendar Quarter, containing reasonable detail on a Seaport Glyph Product-by-Seaport Glyph Product and country-by-country basis regarding the calculation of the royalties and the underlying sales data. Royalties will be paid to PureTech within [***] days after the end of the Calendar Quarter in which the corresponding Net Sales was received.</w:t>
      </w:r>
    </w:p>
    <w:p>
      <w:pPr>
        <w:spacing w:after="0" w:line="187"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Net Income under Product License Agreements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300" w:firstLine="1979"/>
        <w:spacing w:after="0" w:line="256" w:lineRule="auto"/>
        <w:tabs>
          <w:tab w:leader="none" w:pos="2277"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CNS Products</w:t>
      </w:r>
      <w:r>
        <w:rPr>
          <w:rFonts w:ascii="Times New Roman" w:cs="Times New Roman" w:eastAsia="Times New Roman" w:hAnsi="Times New Roman"/>
          <w:sz w:val="18"/>
          <w:szCs w:val="18"/>
          <w:color w:val="auto"/>
        </w:rPr>
        <w:t>. If Seaport or any of its Controlled Affiliates receives Net Income from a Third Party under a Product License Agreement with respect to any Product directed primarily to CNS Indications (each, a “</w:t>
      </w:r>
      <w:r>
        <w:rPr>
          <w:rFonts w:ascii="Times New Roman" w:cs="Times New Roman" w:eastAsia="Times New Roman" w:hAnsi="Times New Roman"/>
          <w:sz w:val="18"/>
          <w:szCs w:val="18"/>
          <w:u w:val="single" w:color="auto"/>
          <w:color w:val="auto"/>
        </w:rPr>
        <w:t>CNS Product</w:t>
      </w:r>
      <w:r>
        <w:rPr>
          <w:rFonts w:ascii="Times New Roman" w:cs="Times New Roman" w:eastAsia="Times New Roman" w:hAnsi="Times New Roman"/>
          <w:sz w:val="18"/>
          <w:szCs w:val="18"/>
          <w:color w:val="auto"/>
        </w:rPr>
        <w:t xml:space="preserve">”), or if Seaport or any of its Controlled Affiliates sells or spins out a Controlled Affiliate to a Third Party that has the right to receive Net Income under a Product License Agreement with respect to any CNS Product, then Seaport will pay (or cause to be paid by its Controlled Affiliate) to PureTech an amount equal to [***]. Amounts payable under this </w:t>
      </w:r>
      <w:r>
        <w:rPr>
          <w:rFonts w:ascii="Times New Roman" w:cs="Times New Roman" w:eastAsia="Times New Roman" w:hAnsi="Times New Roman"/>
          <w:sz w:val="18"/>
          <w:szCs w:val="18"/>
          <w:u w:val="single" w:color="auto"/>
          <w:color w:val="auto"/>
        </w:rPr>
        <w:t>Section 1.5(b)(ii)(A)</w:t>
      </w:r>
      <w:r>
        <w:rPr>
          <w:rFonts w:ascii="Times New Roman" w:cs="Times New Roman" w:eastAsia="Times New Roman" w:hAnsi="Times New Roman"/>
          <w:sz w:val="18"/>
          <w:szCs w:val="18"/>
          <w:color w:val="auto"/>
        </w:rPr>
        <w:t xml:space="preserve"> will be paid to PureTech at the same time as the corresponding payment is made to Monash or, if no such payment is due to Monash, within [***] days after receipt by Seaport or its Controlled Affiliates of such Net Income.</w:t>
      </w:r>
    </w:p>
    <w:p>
      <w:pPr>
        <w:spacing w:after="0" w:line="187" w:lineRule="exact"/>
        <w:rPr>
          <w:rFonts w:ascii="Times New Roman" w:cs="Times New Roman" w:eastAsia="Times New Roman" w:hAnsi="Times New Roman"/>
          <w:sz w:val="18"/>
          <w:szCs w:val="18"/>
          <w:color w:val="auto"/>
        </w:rPr>
      </w:pPr>
    </w:p>
    <w:p>
      <w:pPr>
        <w:ind w:firstLine="1979"/>
        <w:spacing w:after="0" w:line="261" w:lineRule="auto"/>
        <w:tabs>
          <w:tab w:leader="none" w:pos="2268"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Non-CNS Products</w:t>
      </w:r>
      <w:r>
        <w:rPr>
          <w:rFonts w:ascii="Times New Roman" w:cs="Times New Roman" w:eastAsia="Times New Roman" w:hAnsi="Times New Roman"/>
          <w:sz w:val="18"/>
          <w:szCs w:val="18"/>
          <w:color w:val="auto"/>
        </w:rPr>
        <w:t>. If Seaport or any of its Controlled Affiliates receives Net Income from a Third Party under a Product License Agreement with respect to any Product directed primarily to Non-CNS Indications (each, a “</w:t>
      </w:r>
      <w:r>
        <w:rPr>
          <w:rFonts w:ascii="Times New Roman" w:cs="Times New Roman" w:eastAsia="Times New Roman" w:hAnsi="Times New Roman"/>
          <w:sz w:val="18"/>
          <w:szCs w:val="18"/>
          <w:u w:val="single" w:color="auto"/>
          <w:color w:val="auto"/>
        </w:rPr>
        <w:t>Non-CNS Product</w:t>
      </w:r>
      <w:r>
        <w:rPr>
          <w:rFonts w:ascii="Times New Roman" w:cs="Times New Roman" w:eastAsia="Times New Roman" w:hAnsi="Times New Roman"/>
          <w:sz w:val="18"/>
          <w:szCs w:val="18"/>
          <w:color w:val="auto"/>
        </w:rPr>
        <w:t>”), then Seaport will pay (or cause to be paid by its Controlled Affiliate) to PureTech an amount equal to [***] percent [***] of such Net Income. Amounts payable under this Section 1.5(b)(ii)(B) will be paid to PureTech at the same time as the required Net Income payment is made to Monash.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292" w:name="page293"/>
    <w:bookmarkEnd w:id="292"/>
    <w:p>
      <w:pPr>
        <w:ind w:right="240" w:firstLine="1428"/>
        <w:spacing w:after="0" w:line="282" w:lineRule="auto"/>
        <w:tabs>
          <w:tab w:leader="none" w:pos="174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Milestone Payments</w:t>
      </w:r>
      <w:r>
        <w:rPr>
          <w:rFonts w:ascii="Times New Roman" w:cs="Times New Roman" w:eastAsia="Times New Roman" w:hAnsi="Times New Roman"/>
          <w:sz w:val="18"/>
          <w:szCs w:val="18"/>
          <w:color w:val="auto"/>
        </w:rPr>
        <w:t>. Seaport shall pay to PureTech the following one-time milestone payments upon the first achievement of the following milestones by the first Seaport Glyph Product to achieve such milestones:</w:t>
      </w:r>
    </w:p>
    <w:p>
      <w:pPr>
        <w:spacing w:after="0" w:line="182"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5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First Product Milestones</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subject dosed in the first Phase III clinical trial:</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Commercial Sale in the United States: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Commercial Sale in a Major European Market: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Commercial Sale in Japan: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Seaport shall pay to PureTech the following one-time milestone payments upon the first achievement of the following milestones by the second or any subsequent Seaport Glyph Product to achieve such milestones:</w:t>
      </w:r>
    </w:p>
    <w:p>
      <w:pPr>
        <w:spacing w:after="0" w:line="182"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5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Subsequent Product Milestones</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subject dosed in the first Phase III clinical trial:</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Commercial Sale in the United States: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Commercial Sale in a Major European Market: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Commercial Sale in Japan: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Seaport shall pay to PureTech any amounts due under this </w:t>
      </w:r>
      <w:r>
        <w:rPr>
          <w:rFonts w:ascii="Times New Roman" w:cs="Times New Roman" w:eastAsia="Times New Roman" w:hAnsi="Times New Roman"/>
          <w:sz w:val="18"/>
          <w:szCs w:val="18"/>
          <w:u w:val="single" w:color="auto"/>
          <w:color w:val="auto"/>
        </w:rPr>
        <w:t>Section 1.5(b)(iii)</w:t>
      </w:r>
      <w:r>
        <w:rPr>
          <w:rFonts w:ascii="Times New Roman" w:cs="Times New Roman" w:eastAsia="Times New Roman" w:hAnsi="Times New Roman"/>
          <w:sz w:val="18"/>
          <w:szCs w:val="18"/>
          <w:color w:val="auto"/>
        </w:rPr>
        <w:t xml:space="preserve"> on [***] basis, within [***] days after the end of each Calendar Quarter.</w:t>
      </w:r>
    </w:p>
    <w:p>
      <w:pPr>
        <w:spacing w:after="0" w:line="225" w:lineRule="exact"/>
        <w:rPr>
          <w:sz w:val="20"/>
          <w:szCs w:val="20"/>
          <w:color w:val="auto"/>
        </w:rPr>
      </w:pPr>
    </w:p>
    <w:p>
      <w:pPr>
        <w:ind w:left="1740" w:hanging="312"/>
        <w:spacing w:after="0"/>
        <w:tabs>
          <w:tab w:leader="none" w:pos="174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Generally.</w:t>
      </w:r>
    </w:p>
    <w:p>
      <w:pPr>
        <w:spacing w:after="0" w:line="225" w:lineRule="exact"/>
        <w:rPr>
          <w:rFonts w:ascii="Times New Roman" w:cs="Times New Roman" w:eastAsia="Times New Roman" w:hAnsi="Times New Roman"/>
          <w:sz w:val="18"/>
          <w:szCs w:val="18"/>
          <w:color w:val="auto"/>
        </w:rPr>
      </w:pPr>
    </w:p>
    <w:p>
      <w:pPr>
        <w:ind w:right="420" w:firstLine="1428"/>
        <w:spacing w:after="0" w:line="266" w:lineRule="auto"/>
        <w:tabs>
          <w:tab w:leader="none" w:pos="1647"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All cash payments to PureTech under this Agreement shall be made by wire transfer of immediately available funds into an account designated by PureTech. Each cash payment should reference this Agreement and identify the obligation under this Agreement that the payment satisfies.</w:t>
      </w:r>
    </w:p>
    <w:p>
      <w:pPr>
        <w:spacing w:after="0" w:line="175" w:lineRule="exact"/>
        <w:rPr>
          <w:rFonts w:ascii="Times New Roman" w:cs="Times New Roman" w:eastAsia="Times New Roman" w:hAnsi="Times New Roman"/>
          <w:sz w:val="18"/>
          <w:szCs w:val="18"/>
          <w:color w:val="auto"/>
        </w:rPr>
      </w:pPr>
    </w:p>
    <w:p>
      <w:pPr>
        <w:ind w:firstLine="1428"/>
        <w:spacing w:after="0" w:line="261" w:lineRule="auto"/>
        <w:tabs>
          <w:tab w:leader="none" w:pos="1697"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in U.S, Dollars</w:t>
      </w:r>
      <w:r>
        <w:rPr>
          <w:rFonts w:ascii="Times New Roman" w:cs="Times New Roman" w:eastAsia="Times New Roman" w:hAnsi="Times New Roman"/>
          <w:sz w:val="18"/>
          <w:szCs w:val="18"/>
          <w:color w:val="auto"/>
        </w:rPr>
        <w:t>. All cash payments due under this Agreement shall be payable in United States dollars, without deduction, defense, offset or counterclaim for any reason. Conversion of foreign currency to U.S. dollars shall be made at the conversion rate existing in the United States (as reported in The Wall Street Journal) for the last working day of the applicable calendar quarter to which such payment relates. Such payments shall be without deduction of exchange, collection or other charges.</w:t>
      </w:r>
    </w:p>
    <w:p>
      <w:pPr>
        <w:spacing w:after="0" w:line="179" w:lineRule="exact"/>
        <w:rPr>
          <w:rFonts w:ascii="Times New Roman" w:cs="Times New Roman" w:eastAsia="Times New Roman" w:hAnsi="Times New Roman"/>
          <w:sz w:val="18"/>
          <w:szCs w:val="18"/>
          <w:color w:val="auto"/>
        </w:rPr>
      </w:pPr>
    </w:p>
    <w:p>
      <w:pPr>
        <w:ind w:right="220" w:firstLine="1428"/>
        <w:spacing w:after="0" w:line="282" w:lineRule="auto"/>
        <w:tabs>
          <w:tab w:leader="none" w:pos="1747"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Late Payments</w:t>
      </w:r>
      <w:r>
        <w:rPr>
          <w:rFonts w:ascii="Times New Roman" w:cs="Times New Roman" w:eastAsia="Times New Roman" w:hAnsi="Times New Roman"/>
          <w:sz w:val="18"/>
          <w:szCs w:val="18"/>
          <w:color w:val="auto"/>
        </w:rPr>
        <w:t>. Any payments by Seaport that are not paid on or before the date such payments are due under this Agreement shall bear interest at [***] percent [***] per month or the maximum amount permitted by Law, whichever is less.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293" w:name="page294"/>
    <w:bookmarkEnd w:id="29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1.6 </w:t>
      </w:r>
      <w:r>
        <w:rPr>
          <w:rFonts w:ascii="Times New Roman" w:cs="Times New Roman" w:eastAsia="Times New Roman" w:hAnsi="Times New Roman"/>
          <w:sz w:val="18"/>
          <w:szCs w:val="18"/>
          <w:u w:val="single" w:color="auto"/>
          <w:color w:val="auto"/>
        </w:rPr>
        <w:t>Closing; Closing Deliveries.</w:t>
      </w:r>
    </w:p>
    <w:p>
      <w:pPr>
        <w:spacing w:after="0" w:line="225" w:lineRule="exact"/>
        <w:rPr>
          <w:sz w:val="20"/>
          <w:szCs w:val="20"/>
          <w:color w:val="auto"/>
        </w:rPr>
      </w:pPr>
    </w:p>
    <w:p>
      <w:pPr>
        <w:ind w:right="500" w:firstLine="987"/>
        <w:spacing w:after="0" w:line="282" w:lineRule="auto"/>
        <w:tabs>
          <w:tab w:leader="none" w:pos="123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shall take place on the date hereof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remotely by electronic exchange of documents and signatures. The Closing shall be effective as of 12:00:01 a.m. Eastern Time on the Closing Date.</w:t>
      </w:r>
    </w:p>
    <w:p>
      <w:pPr>
        <w:spacing w:after="0" w:line="161"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Deliveries by PureTech</w:t>
      </w:r>
      <w:r>
        <w:rPr>
          <w:rFonts w:ascii="Times New Roman" w:cs="Times New Roman" w:eastAsia="Times New Roman" w:hAnsi="Times New Roman"/>
          <w:sz w:val="18"/>
          <w:szCs w:val="18"/>
          <w:color w:val="auto"/>
        </w:rPr>
        <w:t>. Upon the terms and subject to the conditions contained herein, at the Closing, PureTech shall deliver (or cause to be delivered) to Seaport (or one or more of its subsidiaries designated by Seaport) the following:</w:t>
      </w:r>
    </w:p>
    <w:p>
      <w:pPr>
        <w:spacing w:after="0" w:line="53"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Conveyance Documents.</w:t>
      </w:r>
    </w:p>
    <w:p>
      <w:pPr>
        <w:spacing w:after="0" w:line="225" w:lineRule="exact"/>
        <w:rPr>
          <w:rFonts w:ascii="Times New Roman" w:cs="Times New Roman" w:eastAsia="Times New Roman" w:hAnsi="Times New Roman"/>
          <w:sz w:val="18"/>
          <w:szCs w:val="18"/>
          <w:color w:val="auto"/>
        </w:rPr>
      </w:pPr>
    </w:p>
    <w:p>
      <w:pPr>
        <w:ind w:left="2280" w:hanging="301"/>
        <w:spacing w:after="0"/>
        <w:tabs>
          <w:tab w:leader="none" w:pos="2280"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Trademark Assignment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Trademark Assignment</w:t>
      </w:r>
      <w:r>
        <w:rPr>
          <w:rFonts w:ascii="Times New Roman" w:cs="Times New Roman" w:eastAsia="Times New Roman" w:hAnsi="Times New Roman"/>
          <w:sz w:val="18"/>
          <w:szCs w:val="18"/>
          <w:color w:val="auto"/>
        </w:rPr>
        <w:t>”), duly executed by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PureTech;</w:t>
      </w:r>
    </w:p>
    <w:p>
      <w:pPr>
        <w:spacing w:after="0" w:line="206" w:lineRule="exact"/>
        <w:rPr>
          <w:rFonts w:ascii="Times New Roman" w:cs="Times New Roman" w:eastAsia="Times New Roman" w:hAnsi="Times New Roman"/>
          <w:sz w:val="18"/>
          <w:szCs w:val="18"/>
          <w:color w:val="auto"/>
        </w:rPr>
      </w:pPr>
    </w:p>
    <w:p>
      <w:pPr>
        <w:ind w:left="2260" w:hanging="281"/>
        <w:spacing w:after="0"/>
        <w:tabs>
          <w:tab w:leader="none" w:pos="2260"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Patent Assignment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Patent Assignment</w:t>
      </w:r>
      <w:r>
        <w:rPr>
          <w:rFonts w:ascii="Times New Roman" w:cs="Times New Roman" w:eastAsia="Times New Roman" w:hAnsi="Times New Roman"/>
          <w:sz w:val="18"/>
          <w:szCs w:val="18"/>
          <w:color w:val="auto"/>
        </w:rPr>
        <w:t>”), duly executed by PureTech;</w:t>
      </w:r>
    </w:p>
    <w:p>
      <w:pPr>
        <w:spacing w:after="0" w:line="225" w:lineRule="exact"/>
        <w:rPr>
          <w:rFonts w:ascii="Times New Roman" w:cs="Times New Roman" w:eastAsia="Times New Roman" w:hAnsi="Times New Roman"/>
          <w:sz w:val="18"/>
          <w:szCs w:val="18"/>
          <w:color w:val="auto"/>
        </w:rPr>
      </w:pPr>
    </w:p>
    <w:p>
      <w:pPr>
        <w:ind w:left="2260" w:hanging="281"/>
        <w:spacing w:after="0"/>
        <w:tabs>
          <w:tab w:leader="none" w:pos="2260"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Transition Services Agreement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Services Agreement</w:t>
      </w:r>
      <w:r>
        <w:rPr>
          <w:rFonts w:ascii="Times New Roman" w:cs="Times New Roman" w:eastAsia="Times New Roman" w:hAnsi="Times New Roman"/>
          <w:sz w:val="18"/>
          <w:szCs w:val="18"/>
          <w:color w:val="auto"/>
        </w:rPr>
        <w:t>”), duly executed by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PureTech;</w:t>
      </w:r>
    </w:p>
    <w:p>
      <w:pPr>
        <w:spacing w:after="0" w:line="206" w:lineRule="exact"/>
        <w:rPr>
          <w:rFonts w:ascii="Times New Roman" w:cs="Times New Roman" w:eastAsia="Times New Roman" w:hAnsi="Times New Roman"/>
          <w:sz w:val="18"/>
          <w:szCs w:val="18"/>
          <w:color w:val="auto"/>
        </w:rPr>
      </w:pPr>
    </w:p>
    <w:p>
      <w:pPr>
        <w:ind w:right="180" w:firstLine="1979"/>
        <w:spacing w:after="0" w:line="266" w:lineRule="auto"/>
        <w:tabs>
          <w:tab w:leader="none" w:pos="2278"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instruments of transfer, conveyance and assignment as Seaport may reasonably request in order to effect the sale, transfer, conveyance and assignment to Seaport of all right, title and interest in and to the Transferred Assets free and clear of all Liens (the “</w:t>
      </w:r>
      <w:r>
        <w:rPr>
          <w:rFonts w:ascii="Times New Roman" w:cs="Times New Roman" w:eastAsia="Times New Roman" w:hAnsi="Times New Roman"/>
          <w:sz w:val="18"/>
          <w:szCs w:val="18"/>
          <w:u w:val="single" w:color="auto"/>
          <w:color w:val="auto"/>
        </w:rPr>
        <w:t>Additional Transfer Documents</w:t>
      </w:r>
      <w:r>
        <w:rPr>
          <w:rFonts w:ascii="Times New Roman" w:cs="Times New Roman" w:eastAsia="Times New Roman" w:hAnsi="Times New Roman"/>
          <w:sz w:val="18"/>
          <w:szCs w:val="18"/>
          <w:color w:val="auto"/>
        </w:rPr>
        <w:t>”), in each case duly executed by PureTech;</w:t>
      </w:r>
    </w:p>
    <w:p>
      <w:pPr>
        <w:spacing w:after="0" w:line="175" w:lineRule="exact"/>
        <w:rPr>
          <w:rFonts w:ascii="Times New Roman" w:cs="Times New Roman" w:eastAsia="Times New Roman" w:hAnsi="Times New Roman"/>
          <w:sz w:val="18"/>
          <w:szCs w:val="18"/>
          <w:color w:val="auto"/>
        </w:rPr>
      </w:pPr>
    </w:p>
    <w:p>
      <w:pPr>
        <w:ind w:right="240" w:firstLine="1428"/>
        <w:spacing w:after="0" w:line="282" w:lineRule="auto"/>
        <w:tabs>
          <w:tab w:leader="none" w:pos="1697"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PureTech Representation Letter</w:t>
      </w:r>
      <w:r>
        <w:rPr>
          <w:rFonts w:ascii="Times New Roman" w:cs="Times New Roman" w:eastAsia="Times New Roman" w:hAnsi="Times New Roman"/>
          <w:sz w:val="18"/>
          <w:szCs w:val="18"/>
          <w:color w:val="auto"/>
        </w:rPr>
        <w:t xml:space="preserve">. A PureTech Representation Letter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duly executed by PureTech Health and PureTech LYT;</w:t>
      </w:r>
    </w:p>
    <w:p>
      <w:pPr>
        <w:spacing w:after="0" w:line="161"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Required Consents</w:t>
      </w:r>
      <w:r>
        <w:rPr>
          <w:rFonts w:ascii="Times New Roman" w:cs="Times New Roman" w:eastAsia="Times New Roman" w:hAnsi="Times New Roman"/>
          <w:sz w:val="17"/>
          <w:szCs w:val="17"/>
          <w:color w:val="auto"/>
        </w:rPr>
        <w:t xml:space="preserve">. Evidence that all the consents set forth in </w:t>
      </w:r>
      <w:r>
        <w:rPr>
          <w:rFonts w:ascii="Times New Roman" w:cs="Times New Roman" w:eastAsia="Times New Roman" w:hAnsi="Times New Roman"/>
          <w:sz w:val="17"/>
          <w:szCs w:val="17"/>
          <w:u w:val="single" w:color="auto"/>
          <w:color w:val="auto"/>
        </w:rPr>
        <w:t>Schedule 1.6(b)(iii)</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Required Consents</w:t>
      </w:r>
      <w:r>
        <w:rPr>
          <w:rFonts w:ascii="Times New Roman" w:cs="Times New Roman" w:eastAsia="Times New Roman" w:hAnsi="Times New Roman"/>
          <w:sz w:val="17"/>
          <w:szCs w:val="17"/>
          <w:color w:val="auto"/>
        </w:rPr>
        <w:t>”) have been obtained</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or made, as applicable;</w:t>
      </w:r>
    </w:p>
    <w:p>
      <w:pPr>
        <w:spacing w:after="0" w:line="206" w:lineRule="exact"/>
        <w:rPr>
          <w:rFonts w:ascii="Times New Roman" w:cs="Times New Roman" w:eastAsia="Times New Roman" w:hAnsi="Times New Roman"/>
          <w:sz w:val="17"/>
          <w:szCs w:val="17"/>
          <w:color w:val="auto"/>
        </w:rPr>
      </w:pPr>
    </w:p>
    <w:p>
      <w:pPr>
        <w:ind w:right="20" w:firstLine="1428"/>
        <w:spacing w:after="0" w:line="282" w:lineRule="auto"/>
        <w:tabs>
          <w:tab w:leader="none" w:pos="1737"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IRS Form W-9</w:t>
      </w:r>
      <w:r>
        <w:rPr>
          <w:rFonts w:ascii="Times New Roman" w:cs="Times New Roman" w:eastAsia="Times New Roman" w:hAnsi="Times New Roman"/>
          <w:sz w:val="18"/>
          <w:szCs w:val="18"/>
          <w:color w:val="auto"/>
        </w:rPr>
        <w:t>. An IRS Form W-9 duly executed by PureTech (or PureTech’s owner, if PureTech is a disregarded entity for U.S. federal income tax purposes) certifying that such PureTech is a U.S. person;</w:t>
      </w:r>
    </w:p>
    <w:p>
      <w:pPr>
        <w:spacing w:after="0" w:line="16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Monash Consent</w:t>
      </w:r>
      <w:r>
        <w:rPr>
          <w:rFonts w:ascii="Times New Roman" w:cs="Times New Roman" w:eastAsia="Times New Roman" w:hAnsi="Times New Roman"/>
          <w:sz w:val="17"/>
          <w:szCs w:val="17"/>
          <w:color w:val="auto"/>
        </w:rPr>
        <w:t>. That certain Consent To Release Upon Assignment relating to the Monash License, duly executed by PureTech</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Health;</w:t>
      </w:r>
    </w:p>
    <w:p>
      <w:pPr>
        <w:spacing w:after="0" w:line="206" w:lineRule="exact"/>
        <w:rPr>
          <w:rFonts w:ascii="Times New Roman" w:cs="Times New Roman" w:eastAsia="Times New Roman" w:hAnsi="Times New Roman"/>
          <w:sz w:val="17"/>
          <w:szCs w:val="17"/>
          <w:color w:val="auto"/>
        </w:rPr>
      </w:pPr>
    </w:p>
    <w:p>
      <w:pPr>
        <w:ind w:left="1740" w:hanging="312"/>
        <w:spacing w:after="0"/>
        <w:tabs>
          <w:tab w:leader="none" w:pos="174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The Books and Records relating to Glyph Technology or Products [***]; and</w:t>
      </w:r>
    </w:p>
    <w:p>
      <w:pPr>
        <w:spacing w:after="0" w:line="225" w:lineRule="exact"/>
        <w:rPr>
          <w:rFonts w:ascii="Times New Roman" w:cs="Times New Roman" w:eastAsia="Times New Roman" w:hAnsi="Times New Roman"/>
          <w:sz w:val="18"/>
          <w:szCs w:val="18"/>
          <w:color w:val="auto"/>
        </w:rPr>
      </w:pPr>
    </w:p>
    <w:p>
      <w:pPr>
        <w:ind w:firstLine="1428"/>
        <w:spacing w:after="0" w:line="266" w:lineRule="auto"/>
        <w:tabs>
          <w:tab w:leader="none" w:pos="1787"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Documents</w:t>
      </w:r>
      <w:r>
        <w:rPr>
          <w:rFonts w:ascii="Times New Roman" w:cs="Times New Roman" w:eastAsia="Times New Roman" w:hAnsi="Times New Roman"/>
          <w:sz w:val="18"/>
          <w:szCs w:val="18"/>
          <w:color w:val="auto"/>
        </w:rPr>
        <w:t>. All other consents, certificates, documents, instruments and other items required to be delivered by PureTech pursuant to the Ancillary Agreements or that are reasonably necessary to give effect to the transactions contemplated hereby or to vest in Seaport good and valid title in and to the Transferred Assets free and clear of all Liens.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294" w:name="page295"/>
    <w:bookmarkEnd w:id="294"/>
    <w:p>
      <w:pPr>
        <w:ind w:left="1240" w:hanging="253"/>
        <w:spacing w:after="0"/>
        <w:tabs>
          <w:tab w:leader="none" w:pos="12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Deliveries by Seaport</w:t>
      </w:r>
      <w:r>
        <w:rPr>
          <w:rFonts w:ascii="Times New Roman" w:cs="Times New Roman" w:eastAsia="Times New Roman" w:hAnsi="Times New Roman"/>
          <w:sz w:val="18"/>
          <w:szCs w:val="18"/>
          <w:color w:val="auto"/>
        </w:rPr>
        <w:t>. Upon the terms and subject to the conditions contained herein, at the Closing, Seaport shall deliver to PureTech:</w:t>
      </w:r>
    </w:p>
    <w:p>
      <w:pPr>
        <w:spacing w:after="0" w:line="117" w:lineRule="exact"/>
        <w:rPr>
          <w:rFonts w:ascii="Times New Roman" w:cs="Times New Roman" w:eastAsia="Times New Roman" w:hAnsi="Times New Roman"/>
          <w:sz w:val="18"/>
          <w:szCs w:val="18"/>
          <w:color w:val="auto"/>
        </w:rPr>
      </w:pPr>
    </w:p>
    <w:p>
      <w:pPr>
        <w:ind w:right="200" w:firstLine="1428"/>
        <w:spacing w:after="0" w:line="282" w:lineRule="auto"/>
        <w:tabs>
          <w:tab w:leader="none" w:pos="1647"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Seaport shall cause the Shares to be transferred into a brokerage account in accordance with the deposit account instructions provided by PureTech to Seaport prior to the Closing Date;</w:t>
      </w:r>
    </w:p>
    <w:p>
      <w:pPr>
        <w:spacing w:after="0" w:line="161"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Services Agreement</w:t>
      </w:r>
      <w:r>
        <w:rPr>
          <w:rFonts w:ascii="Times New Roman" w:cs="Times New Roman" w:eastAsia="Times New Roman" w:hAnsi="Times New Roman"/>
          <w:sz w:val="18"/>
          <w:szCs w:val="18"/>
          <w:color w:val="auto"/>
        </w:rPr>
        <w:t>. The Services Agreement, duly executed by Seaport; and</w:t>
      </w:r>
    </w:p>
    <w:p>
      <w:pPr>
        <w:spacing w:after="0" w:line="225"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Monash Consent</w:t>
      </w:r>
      <w:r>
        <w:rPr>
          <w:rFonts w:ascii="Times New Roman" w:cs="Times New Roman" w:eastAsia="Times New Roman" w:hAnsi="Times New Roman"/>
          <w:sz w:val="18"/>
          <w:szCs w:val="18"/>
          <w:color w:val="auto"/>
        </w:rPr>
        <w:t>. That certain Consent To Release Upon Assignment relating to the Monash License, duly executed by Seaport.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Notwithstanding anything in this Agreement to the contrary, this Agreement shall not constitute an agreement to assign or transfer any contract, authorization, license or permit or any claim, right or benefit arising thereunder or resulting therefrom, if (x) an attempted assignment or transfer thereof, without the consent of a third party thereto or of the issuing Governmental Entity would constitute a breach thereof and (y) such consent is not obtained prior to the Closing (such contract, authorization, license or permit, claim, right or benefit, a “Deferred Item”). If an agreement to assign or transfer a Deferred Item, other than any Deferred Item that is the subject of a Required Consent (a “Deferred Consent”), is not obtained, or if an attempted assignment or transfer thereof would be ineffective or would affect the rights thereunder so that Seaport would not receive all such rights, then, in each such case, (i) the Deferred Item shall be withheld from sale pursuant to this Agreement, (ii) from and after the Closing, PureTech will use its Reasonable Commercial Efforts to obtain such consent as soon as practicable after the Closing, and (iii) until such Deferred Consent is obtained, PureTech shall provide to Seaport the benefits under such Deferred Item. In particular, in the event that any such Deferred Consent is not obtained prior to the Closing, then Seaport and PureTech shall enter into such arrangements (including subleasing or subcontracting if permitted) to provide to the Parties hereto substantially the same economic and operational equivalent of obtaining such Deferred Consent and assigning or transferring such contract, authorization, license or permit, including enforcement by PureTech for the benefit of Seaport of all claims or rights arising thereunder, and the performance by Seaport of the obligations thereunder.</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Wrong Pockets.</w:t>
      </w:r>
    </w:p>
    <w:p>
      <w:pPr>
        <w:spacing w:after="0" w:line="225" w:lineRule="exact"/>
        <w:rPr>
          <w:sz w:val="20"/>
          <w:szCs w:val="20"/>
          <w:color w:val="auto"/>
        </w:rPr>
      </w:pPr>
    </w:p>
    <w:p>
      <w:pPr>
        <w:ind w:right="760" w:firstLine="987"/>
        <w:spacing w:after="0" w:line="282" w:lineRule="auto"/>
        <w:tabs>
          <w:tab w:leader="none" w:pos="123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Closing, Seaport or any of its Controlled Affiliates possesses any Excluded Asset, Seaport shall, or shall cause its Controlled Affiliates to, transfer such asset to PureTech at no cost to PureTech.</w:t>
      </w:r>
    </w:p>
    <w:p>
      <w:pPr>
        <w:spacing w:after="0" w:line="161" w:lineRule="exact"/>
        <w:rPr>
          <w:rFonts w:ascii="Times New Roman" w:cs="Times New Roman" w:eastAsia="Times New Roman" w:hAnsi="Times New Roman"/>
          <w:sz w:val="18"/>
          <w:szCs w:val="18"/>
          <w:color w:val="auto"/>
        </w:rPr>
      </w:pPr>
    </w:p>
    <w:p>
      <w:pPr>
        <w:ind w:right="180" w:firstLine="987"/>
        <w:spacing w:after="0" w:line="282" w:lineRule="auto"/>
        <w:tabs>
          <w:tab w:leader="none" w:pos="124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Closing, PureTech or any of its Controlled Affiliates possesses any Transferred Asset, PureTech shall, or shall cause their Controlled Affiliates to, transfer such asset to Seaport at no cost to Seaport.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95" w:name="page296"/>
    <w:bookmarkEnd w:id="29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PURETECH</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PureTech represents and warrants to Seaport that the statements contained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are true and correct as of the date of this Agreement, except as set forth in the disclosure schedule delivered by PureTech to Seaport and dated as of the date of this Agreement (the “</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Organization and Good Standing</w:t>
      </w:r>
      <w:r>
        <w:rPr>
          <w:rFonts w:ascii="Times New Roman" w:cs="Times New Roman" w:eastAsia="Times New Roman" w:hAnsi="Times New Roman"/>
          <w:sz w:val="18"/>
          <w:szCs w:val="18"/>
          <w:color w:val="auto"/>
        </w:rPr>
        <w:t>. PureTech Health is a limited liability company and PureTech LYT is a corporation, in each case duly organized, validly existing and in good standing under the Laws of the State of Delaware. PureTech is duly qualified to conduct business and is in limited liability company or corporate and Tax good standing under the Laws of each jurisdiction in which the nature of PureTech’s businesses or the ownership or leasing of its properties requires such qualification or Tax good standing. PureTech has all requisite power and authority (corporate and other) to carry on the businesses in which it is engaged and to own and use the properties owned and used by it. PureTech has made available to Seaport complete and accurate copies of PureTech’s Organizational Documents. PureTech is not in default under or in violation of any provision of its Organizational Documents.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Authority; No Conflict; Required Filings and Consents.</w:t>
      </w:r>
    </w:p>
    <w:p>
      <w:pPr>
        <w:spacing w:after="0" w:line="225" w:lineRule="exact"/>
        <w:rPr>
          <w:sz w:val="20"/>
          <w:szCs w:val="20"/>
          <w:color w:val="auto"/>
        </w:rPr>
      </w:pPr>
    </w:p>
    <w:p>
      <w:pPr>
        <w:ind w:firstLine="987"/>
        <w:spacing w:after="0" w:line="255" w:lineRule="auto"/>
        <w:tabs>
          <w:tab w:leader="none" w:pos="123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PureTech has all requisite limited liability company or corporate power and authority to execute and deliver this Agreement and the Ancillary Agreements to which it is a party and to perform its obligations hereunder and thereunder. The execution and delivery by PureTech of this Agreement and the Ancillary Agreements to which it is a party and the performance by PureTech of this Agreement and the consummation by PureTech of the transactions contemplated hereby and thereby have been duly and validly authorized by all necessary limited liability company or corporate action on the part of PureTech. This Agreement and the Ancillary Agreements to which it is a party have been or will be as of the Closing Date duly and validly executed and delivered by PureTech and constitute or will constitute valid and binding obligations of PureTech, enforceable against it in accordance with its terms.</w:t>
      </w:r>
    </w:p>
    <w:p>
      <w:pPr>
        <w:spacing w:after="0" w:line="188"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execution and delivery by PureTech of this Agreement or any Ancillary Agreement to which it is a party, nor the performance by PureTech of its obligations hereunder or thereunder, nor the consummation by PureTech of the transactions contemplated hereby or thereby, will (i) conflict with or violate any provision of the Organizational Documents of PureTech, each as amended or restated to date, (ii) require any notice to or filing with, or any permit, authorization, consent or approval of, any Governmental Entity, (iii) except as set forth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of the Disclosure Schedule, conflict with, result in a breach of, constitute (with or without due notice or lapse of time or both) a default under, result in the acceleration of obligations under, create in any party the right to accelerate, terminate, modify or cancel, or require any notice, consent or waiver under, any contract, lease, sublease, license, sublicense, franchise, permit, indenture, agreement or mortgage for borrowed money, instrument of Indebtedness, Lien or other arrangement to which PureTech is a party or by which PureTech is bound or to which any of the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296" w:name="page297"/>
    <w:bookmarkEnd w:id="296"/>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assets of PureTech are subject, (iv) result in the imposition of any Lien upon any assets of PureTech (including any Transferred Asset) or (v) violate any Order applicable to PureTech or any of its properties or assets, except in the case of the foregoing clauses (iii) or (iv) for such notices, consents and waivers that, if not obtained or made, and such conflicts, breaches, defaults, accelerations, terminations, modifications, cancellations, Liens and violations that, individually or in the aggregate, have not been and would not reasonably be expected to be material to PureTech, the Products or the Transferred Assets.</w:t>
      </w:r>
    </w:p>
    <w:p>
      <w:pPr>
        <w:spacing w:after="0" w:line="183" w:lineRule="exact"/>
        <w:rPr>
          <w:sz w:val="20"/>
          <w:szCs w:val="20"/>
          <w:color w:val="auto"/>
        </w:rPr>
      </w:pPr>
    </w:p>
    <w:p>
      <w:pPr>
        <w:ind w:left="4" w:right="180" w:firstLine="987"/>
        <w:spacing w:after="0" w:line="266" w:lineRule="auto"/>
        <w:tabs>
          <w:tab w:leader="none" w:pos="12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license, permit, Order or authorization of, or registration, declaration, notice or filing with, any Governmental Entity is required in connection with the execution and delivery by PureTech of this Agreement or any Ancillary Agreement to which PureTech is a party, or the consummation by PureTech of the transactions contemplated by this Agreement or any Ancillary Agreement.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Taxes.</w:t>
      </w:r>
    </w:p>
    <w:p>
      <w:pPr>
        <w:spacing w:after="0" w:line="225" w:lineRule="exact"/>
        <w:rPr>
          <w:sz w:val="20"/>
          <w:szCs w:val="20"/>
          <w:color w:val="auto"/>
        </w:rPr>
      </w:pPr>
    </w:p>
    <w:p>
      <w:pPr>
        <w:ind w:left="4" w:right="180" w:firstLine="987"/>
        <w:spacing w:after="0" w:line="266" w:lineRule="auto"/>
        <w:tabs>
          <w:tab w:leader="none" w:pos="124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PureTech has properly filed on a timely basis all material Tax Returns that it was required to file, and all such Tax Returns are true, correct and complete in all material respects and were prepared in compliance with all applicable Laws. PureTech has paid on a timely basis all Taxes that were due and payable, whether or not shown on any Tax Return.</w:t>
      </w:r>
    </w:p>
    <w:p>
      <w:pPr>
        <w:spacing w:after="0" w:line="175" w:lineRule="exact"/>
        <w:rPr>
          <w:rFonts w:ascii="Times New Roman" w:cs="Times New Roman" w:eastAsia="Times New Roman" w:hAnsi="Times New Roman"/>
          <w:sz w:val="18"/>
          <w:szCs w:val="18"/>
          <w:color w:val="auto"/>
        </w:rPr>
      </w:pPr>
    </w:p>
    <w:p>
      <w:pPr>
        <w:ind w:left="4" w:right="80" w:firstLine="987"/>
        <w:spacing w:after="0" w:line="261" w:lineRule="auto"/>
        <w:tabs>
          <w:tab w:leader="none" w:pos="125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PureTech has duly withheld or collected all Taxes that PureTech is or was required by Law to withhold or collect and, to the extent required, has properly paid such Taxes to the appropriate Governmental Entity, and PureTech has complied with all information reporting and backup withholding requirements, including the maintenance of required records with respect thereto, in connection with amounts paid to PureTech employee, independent contractor, creditor, or other third party.</w:t>
      </w:r>
    </w:p>
    <w:p>
      <w:pPr>
        <w:spacing w:after="0" w:line="179" w:lineRule="exact"/>
        <w:rPr>
          <w:rFonts w:ascii="Times New Roman" w:cs="Times New Roman" w:eastAsia="Times New Roman" w:hAnsi="Times New Roman"/>
          <w:sz w:val="18"/>
          <w:szCs w:val="18"/>
          <w:color w:val="auto"/>
        </w:rPr>
      </w:pPr>
    </w:p>
    <w:p>
      <w:pPr>
        <w:ind w:left="4" w:right="80" w:firstLine="987"/>
        <w:spacing w:after="0" w:line="270" w:lineRule="auto"/>
        <w:tabs>
          <w:tab w:leader="none" w:pos="1240"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examination or audit or other action of or relating to any Tax Return of PureTech by any Governmental Entity is currently in progress or, to PureTech’s Knowledge, threatened or contemplated. No deficiencies for Taxes of PureTech have been claimed or proposed in writing or assessed by any Governmental Entity. PureTech has not been informed in writing by any jurisdiction in which PureTech did not file a Tax Return that the jurisdiction believes that PureTech was required to file any Tax Return that was not filed or is subject to Tax in such jurisdiction. PureTech has not</w:t>
      </w:r>
    </w:p>
    <w:p>
      <w:pPr>
        <w:spacing w:after="0" w:line="2" w:lineRule="exact"/>
        <w:rPr>
          <w:rFonts w:ascii="Times New Roman" w:cs="Times New Roman" w:eastAsia="Times New Roman" w:hAnsi="Times New Roman"/>
          <w:sz w:val="17"/>
          <w:szCs w:val="17"/>
          <w:color w:val="auto"/>
        </w:rPr>
      </w:pPr>
    </w:p>
    <w:p>
      <w:pPr>
        <w:ind w:left="4" w:right="340" w:hanging="4"/>
        <w:spacing w:after="0" w:line="250" w:lineRule="auto"/>
        <w:tabs>
          <w:tab w:leader="none" w:pos="21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waived any statute of limitations with respect to Taxes or agreed to extend the period for assessment or collection of any Taxes, which waiver or extension is still in effect, (ii) requested any extension of time within which to file any Tax Return, which Tax Return has not yet been filed, or</w:t>
      </w:r>
    </w:p>
    <w:p>
      <w:pPr>
        <w:ind w:left="324" w:hanging="324"/>
        <w:spacing w:after="0"/>
        <w:tabs>
          <w:tab w:leader="none" w:pos="32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or filed any power of attorney with any taxing authority, which is still in effect.</w:t>
      </w:r>
    </w:p>
    <w:p>
      <w:pPr>
        <w:spacing w:after="0" w:line="206" w:lineRule="exact"/>
        <w:rPr>
          <w:rFonts w:ascii="Times New Roman" w:cs="Times New Roman" w:eastAsia="Times New Roman" w:hAnsi="Times New Roman"/>
          <w:sz w:val="18"/>
          <w:szCs w:val="18"/>
          <w:color w:val="auto"/>
        </w:rPr>
      </w:pPr>
    </w:p>
    <w:p>
      <w:pPr>
        <w:ind w:left="5464" w:right="200" w:hanging="4473"/>
        <w:spacing w:after="0" w:line="454" w:lineRule="auto"/>
        <w:tabs>
          <w:tab w:leader="none" w:pos="1247"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with respect to Taxes upon any of the Acquired Assets, other than with respect to Taxes not yet due and payable. 9</w:t>
      </w:r>
    </w:p>
    <w:p>
      <w:pPr>
        <w:sectPr>
          <w:pgSz w:w="11900" w:h="16838" w:orient="portrait"/>
          <w:cols w:equalWidth="0" w:num="1">
            <w:col w:w="10944"/>
          </w:cols>
          <w:pgMar w:left="436" w:top="270" w:right="519" w:bottom="1440" w:gutter="0" w:footer="0" w:header="0"/>
        </w:sectPr>
      </w:pPr>
    </w:p>
    <w:bookmarkStart w:id="297" w:name="page298"/>
    <w:bookmarkEnd w:id="297"/>
    <w:p>
      <w:pPr>
        <w:ind w:left="1240" w:hanging="253"/>
        <w:spacing w:after="0"/>
        <w:tabs>
          <w:tab w:leader="none" w:pos="12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None of the Acquired Assets are United States real property interests within the meaning of Section 897(c)( 1) of the Code.</w:t>
      </w:r>
    </w:p>
    <w:p>
      <w:pPr>
        <w:spacing w:after="0" w:line="225" w:lineRule="exact"/>
        <w:rPr>
          <w:rFonts w:ascii="Times New Roman" w:cs="Times New Roman" w:eastAsia="Times New Roman" w:hAnsi="Times New Roman"/>
          <w:sz w:val="18"/>
          <w:szCs w:val="18"/>
          <w:color w:val="auto"/>
        </w:rPr>
      </w:pPr>
    </w:p>
    <w:p>
      <w:pPr>
        <w:ind w:right="200" w:firstLine="987"/>
        <w:spacing w:after="0" w:line="282" w:lineRule="auto"/>
        <w:tabs>
          <w:tab w:leader="none" w:pos="121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Acquired Assets include an interest in any joint venture, partnership, or other arrangement that is treated as a partnership for federal income Tax purposes.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Intellectual Property.</w:t>
      </w:r>
    </w:p>
    <w:p>
      <w:pPr>
        <w:spacing w:after="0" w:line="225" w:lineRule="exact"/>
        <w:rPr>
          <w:sz w:val="20"/>
          <w:szCs w:val="20"/>
          <w:color w:val="auto"/>
        </w:rPr>
      </w:pPr>
    </w:p>
    <w:p>
      <w:pPr>
        <w:ind w:right="20" w:firstLine="987"/>
        <w:spacing w:after="0" w:line="258" w:lineRule="auto"/>
        <w:tabs>
          <w:tab w:leader="none" w:pos="123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Transferred Intellectual Property constitutes all Intellectual Property used by PureTech in, or developed by PureTech during, the conduct or operation of the Glyph Technology or Products, as currently conducted and operated, as conducted and operated since [***], and as currently planned by PureTech to be conducted and operated in the future. PureTech is the sole and exclusive owner or exclusive licensee of, and has good title to, all of the Transferred Intellectual Property, free and clear of all Liens, and PureTech has the right to transfer all right, title and interest in all Transferred Intellectual Property to Seaport.</w:t>
      </w:r>
    </w:p>
    <w:p>
      <w:pPr>
        <w:spacing w:after="0" w:line="183"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Monash License, no Intellectual Property used in or related to the Glyph Technology or Products is licensed by PureTech from any third party. PureTech has not licensed or granted any rights under or to the Transferred Intellectual Property to any third party in effect as of the date hereof. All registrations and applications for Transferred Intellectual Property (the “</w:t>
      </w:r>
      <w:r>
        <w:rPr>
          <w:rFonts w:ascii="Times New Roman" w:cs="Times New Roman" w:eastAsia="Times New Roman" w:hAnsi="Times New Roman"/>
          <w:sz w:val="18"/>
          <w:szCs w:val="18"/>
          <w:u w:val="single" w:color="auto"/>
          <w:color w:val="auto"/>
        </w:rPr>
        <w:t>PureTech Registrations</w:t>
      </w:r>
      <w:r>
        <w:rPr>
          <w:rFonts w:ascii="Times New Roman" w:cs="Times New Roman" w:eastAsia="Times New Roman" w:hAnsi="Times New Roman"/>
          <w:sz w:val="18"/>
          <w:szCs w:val="18"/>
          <w:color w:val="auto"/>
        </w:rPr>
        <w:t xml:space="preserve">”) are listed on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of the Disclosure Schedule and all such PureTech Registrations have been duly filed or registered (as applicable) with the applicable Governmental Entity and properly maintained in all material respects, including the timely submission of all necessary filings and payment of fees in accordance with the legal and administrative requirements in the appropriate jurisdictions, and have not lapsed or expired. To PureTech’s Knowledge, all PureTech Registrations are valid and enforceable.</w:t>
      </w:r>
    </w:p>
    <w:p>
      <w:pPr>
        <w:spacing w:after="0" w:line="188" w:lineRule="exact"/>
        <w:rPr>
          <w:rFonts w:ascii="Times New Roman" w:cs="Times New Roman" w:eastAsia="Times New Roman" w:hAnsi="Times New Roman"/>
          <w:sz w:val="18"/>
          <w:szCs w:val="18"/>
          <w:color w:val="auto"/>
        </w:rPr>
      </w:pPr>
    </w:p>
    <w:p>
      <w:pPr>
        <w:ind w:right="20" w:firstLine="987"/>
        <w:spacing w:after="0" w:line="256" w:lineRule="auto"/>
        <w:tabs>
          <w:tab w:leader="none" w:pos="123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PureTech has a policy that requires each Person employed or retained by PureTech as a consultant or independent contractor who contributed to the creation or development of any of the Transferred Intellectual Property to enter into a valid and enforceable written agreement covering confidentiality and assignment of inventions and pursuant to which the rights to such contributions are assigned to PureTech, and PureTech has secured such agreements, a form of which has been furnished to Seaport, and agrees to assign to Seaport the ownership of any Glyph IP under such agreements. No current or former employee, officer, director, stockholder, consultant or independent contractor of PureTech has any right, title, claim or interest in, to or under any Transferred Intellectual Property that has not been exclusively assigned and transferred to PureTech.</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Contracts.</w:t>
      </w:r>
    </w:p>
    <w:p>
      <w:pPr>
        <w:spacing w:after="0" w:line="225" w:lineRule="exact"/>
        <w:rPr>
          <w:sz w:val="20"/>
          <w:szCs w:val="20"/>
          <w:color w:val="auto"/>
        </w:rPr>
      </w:pPr>
    </w:p>
    <w:p>
      <w:pPr>
        <w:ind w:right="80" w:firstLine="987"/>
        <w:spacing w:after="0" w:line="282" w:lineRule="auto"/>
        <w:tabs>
          <w:tab w:leader="none" w:pos="123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of the Disclosure Schedule lists each of the Contracts that relate to the Transferred Assets and to which PureTech or any Controlled Affiliate is a party.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98" w:name="page299"/>
    <w:bookmarkEnd w:id="298"/>
    <w:p>
      <w:pPr>
        <w:ind w:firstLine="987"/>
        <w:spacing w:after="0" w:line="254" w:lineRule="auto"/>
        <w:tabs>
          <w:tab w:leader="none" w:pos="124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PureTech has delivered to Seaport a complete and accurate copies of each Transferred Contract (as amended to date). With respect to each Transferred Contract: (x) the Transferred Contract is legal, valid, binding and enforceable and in full force and effect against PureTech or any Controlled Affiliate that is the party thereto and, to PureTech’s Knowledge, against each other party thereto; (y) the Transferred Contract will continue to be legal, valid, binding and enforceable and in full force and effect against PureTech or any Controlled Affiliate that is the party thereto and, to PureTech’s Knowledge, against each other party thereto immediately following the Closing in accordance with the terms thereof as in effect immediately prior to the Closing; and (z) neither PureTech, any Controlled Affiliate nor, to the Knowledge of PureTech, any other party, is, in any material respect, in breach or violation of, or default under, any such Transferred Contract, and no event has occurred, is pending or, to the Knowledge of PureTech, is threatened, which, after the giving of notice, with lapse of time, or otherwise, would constitute any such breach or default by PureTech, any Controlled Affiliate or, to the Knowledge of PureTech, any other party under such Transferred Contract.</w:t>
      </w:r>
    </w:p>
    <w:p>
      <w:pPr>
        <w:spacing w:after="0" w:line="188"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None of the Transferred Assets include owned real property, leased real property, subleased real property or other real property occupancy agreement.</w:t>
      </w:r>
    </w:p>
    <w:p>
      <w:pPr>
        <w:spacing w:after="0" w:line="162" w:lineRule="exact"/>
        <w:rPr>
          <w:sz w:val="20"/>
          <w:szCs w:val="20"/>
          <w:color w:val="auto"/>
        </w:rPr>
      </w:pPr>
    </w:p>
    <w:p>
      <w:pPr>
        <w:ind w:right="180" w:firstLine="440"/>
        <w:spacing w:after="0" w:line="277" w:lineRule="auto"/>
        <w:rPr>
          <w:sz w:val="20"/>
          <w:szCs w:val="20"/>
          <w:color w:val="auto"/>
        </w:rPr>
      </w:pPr>
      <w:r>
        <w:rPr>
          <w:rFonts w:ascii="Times New Roman" w:cs="Times New Roman" w:eastAsia="Times New Roman" w:hAnsi="Times New Roman"/>
          <w:sz w:val="17"/>
          <w:szCs w:val="17"/>
          <w:color w:val="auto"/>
        </w:rPr>
        <w:t xml:space="preserve">2.7 </w:t>
      </w:r>
      <w:r>
        <w:rPr>
          <w:rFonts w:ascii="Times New Roman" w:cs="Times New Roman" w:eastAsia="Times New Roman" w:hAnsi="Times New Roman"/>
          <w:sz w:val="17"/>
          <w:szCs w:val="17"/>
          <w:u w:val="single" w:color="auto"/>
          <w:color w:val="auto"/>
        </w:rPr>
        <w:t>Environmental Matters</w:t>
      </w:r>
      <w:r>
        <w:rPr>
          <w:rFonts w:ascii="Times New Roman" w:cs="Times New Roman" w:eastAsia="Times New Roman" w:hAnsi="Times New Roman"/>
          <w:sz w:val="17"/>
          <w:szCs w:val="17"/>
          <w:color w:val="auto"/>
        </w:rPr>
        <w:t>. To PureTech’s Knowledge, PureTech and each Controlled Affiliate of PureTech is, and at all times has been, in substantial compliance with all applicable Environmental Laws relating to the Transferred Assets and the Products, which compliance includes obtaining, maintaining and complying with all permits, licenses, approvals, and authorizations required under Environmental Laws in connection with the Products. To PureTech’s Knowledge, none of PureTech or its Controlled Affiliate is subject to any Liability arising from the Release or threatened Release of any Hazardous Materials into the environment or any failure to comply with any Environmental Law relating to the Transferred Assets.</w:t>
      </w:r>
    </w:p>
    <w:p>
      <w:pPr>
        <w:spacing w:after="0" w:line="168" w:lineRule="exact"/>
        <w:rPr>
          <w:sz w:val="20"/>
          <w:szCs w:val="20"/>
          <w:color w:val="auto"/>
        </w:rPr>
      </w:pPr>
    </w:p>
    <w:p>
      <w:pPr>
        <w:ind w:right="160" w:firstLine="440"/>
        <w:spacing w:after="0" w:line="277" w:lineRule="auto"/>
        <w:rPr>
          <w:sz w:val="20"/>
          <w:szCs w:val="20"/>
          <w:color w:val="auto"/>
        </w:rPr>
      </w:pPr>
      <w:r>
        <w:rPr>
          <w:rFonts w:ascii="Times New Roman" w:cs="Times New Roman" w:eastAsia="Times New Roman" w:hAnsi="Times New Roman"/>
          <w:sz w:val="17"/>
          <w:szCs w:val="17"/>
          <w:color w:val="auto"/>
        </w:rPr>
        <w:t xml:space="preserve">2.8 </w:t>
      </w:r>
      <w:r>
        <w:rPr>
          <w:rFonts w:ascii="Times New Roman" w:cs="Times New Roman" w:eastAsia="Times New Roman" w:hAnsi="Times New Roman"/>
          <w:sz w:val="17"/>
          <w:szCs w:val="17"/>
          <w:u w:val="single" w:color="auto"/>
          <w:color w:val="auto"/>
        </w:rPr>
        <w:t>Litigation</w:t>
      </w:r>
      <w:r>
        <w:rPr>
          <w:rFonts w:ascii="Times New Roman" w:cs="Times New Roman" w:eastAsia="Times New Roman" w:hAnsi="Times New Roman"/>
          <w:sz w:val="17"/>
          <w:szCs w:val="17"/>
          <w:color w:val="auto"/>
        </w:rPr>
        <w:t>. There is no Legal Proceeding pending or, to PureTech’s Knowledge, threatened against PureTech or its Controlled Affiliates relating to the Transferred Assets. There are no judgments or outstanding Orders against or with respect to any of the Transferred Assets, the Products, PureTech or its Controlled Affiliates or any current or former officers, directors, employees, consultants, agents or stockholders of PureTech or its Controlled Affiliates (in their respective capacities as such). There is no Legal Proceeding initiated by PureTech or its Controlled Affiliates, or which PureTech or its Controlled Affiliates has commenced preparations to initiate, against any other Person relating to the Transferred Assets.</w:t>
      </w:r>
    </w:p>
    <w:p>
      <w:pPr>
        <w:spacing w:after="0" w:line="168"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To PureTech’s Knowledge, PureTech and each Controlled Affiliate of PureTech has been and is in compliance in all material respects, is not in material violation of and has not received any written notice alleging any material violation with respect to, any applicable Law with respect to the Products or the Transferred Assets.</w:t>
      </w:r>
    </w:p>
    <w:p>
      <w:pPr>
        <w:spacing w:after="0" w:line="176"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No Affiliate of PureTech other than Seaport, directly or indirectly, (a) owns any property or right, tangible or intangible, which is used in the Products, (b) has any claim or cause of action against PureTech or any Controlled Affiliate relating to the Transferred Assets, or (c) is a party to any Contract relating to the Transferred Assets.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99" w:name="page300"/>
    <w:bookmarkEnd w:id="299"/>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2.11 </w:t>
      </w:r>
      <w:r>
        <w:rPr>
          <w:rFonts w:ascii="Times New Roman" w:cs="Times New Roman" w:eastAsia="Times New Roman" w:hAnsi="Times New Roman"/>
          <w:sz w:val="18"/>
          <w:szCs w:val="18"/>
          <w:u w:val="single" w:color="auto"/>
          <w:color w:val="auto"/>
        </w:rPr>
        <w:t>Suppliers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of the Disclosure Schedule sets forth a list of [***]. No supplier set forth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of the Disclosure Schedule has indicated in writing within the past year that it will stop, decrease the rate of, or modify in any material respect the pricing, terms or conditions with respect to, supplying materials, products or services, as applicable, to PureTech relating to the Products, other than any such modifications or adjustments set forth in the Contract relating thereto.</w:t>
      </w:r>
    </w:p>
    <w:p>
      <w:pPr>
        <w:spacing w:after="0" w:line="180" w:lineRule="exact"/>
        <w:rPr>
          <w:sz w:val="20"/>
          <w:szCs w:val="20"/>
          <w:color w:val="auto"/>
        </w:rPr>
      </w:pPr>
    </w:p>
    <w:p>
      <w:pPr>
        <w:jc w:val="both"/>
        <w:ind w:right="5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No agent, broker, investment banker, financial advisor or other firm or Person is or shall be entitled, as a result of any action, agreement or commitment of PureTech or any of its Affiliates, to any broker’s, finder’s, financial advisor’s or other similar fee or commission in connection with any of the transactions contemplated by this Agreement.</w:t>
      </w:r>
    </w:p>
    <w:p>
      <w:pPr>
        <w:spacing w:after="0" w:line="176"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Assets</w:t>
      </w:r>
      <w:r>
        <w:rPr>
          <w:rFonts w:ascii="Times New Roman" w:cs="Times New Roman" w:eastAsia="Times New Roman" w:hAnsi="Times New Roman"/>
          <w:sz w:val="18"/>
          <w:szCs w:val="18"/>
          <w:color w:val="auto"/>
        </w:rPr>
        <w:t>. PureTech or its Controlled Affiliates, as applicable, are the sole, exclusive, true and lawful owners, licensees or lessees, as the case may be, of, and have good and marketable title to, or a valid and enforceable leasehold or license interest in or other legal, valid and enforceable right to use, all of the Transferred Assets, free of all Liens. Upon the Closing, Seaport will become the true and lawful owner, licensee or lessee, as the case may be, of, and will receive good and valid title to or a valid and enforceable leasehold or license interest in or other legal, valid and enforceable right to use, the Transferred Assets, free and clear of all Liens. No Transferred Asset is owned by any Person that is not PureTech or a Controlled Affiliate of PureTech.</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Data Privacy and Security.</w:t>
      </w:r>
    </w:p>
    <w:p>
      <w:pPr>
        <w:spacing w:after="0" w:line="225" w:lineRule="exact"/>
        <w:rPr>
          <w:sz w:val="20"/>
          <w:szCs w:val="20"/>
          <w:color w:val="auto"/>
        </w:rPr>
      </w:pPr>
    </w:p>
    <w:p>
      <w:pPr>
        <w:ind w:firstLine="987"/>
        <w:spacing w:after="0" w:line="266" w:lineRule="auto"/>
        <w:tabs>
          <w:tab w:leader="none" w:pos="123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PureTech’s Knowledge, PureTech and its Controlled Affiliates have for the past two years complied in all material respects with all applicable Information Privacy and Security Laws, all of PureTech Privacy Policies, and all their contractual obligations to any Person regarding privacy data security, or the Processing of Personal Data.</w:t>
      </w:r>
    </w:p>
    <w:p>
      <w:pPr>
        <w:spacing w:after="0" w:line="175" w:lineRule="exact"/>
        <w:rPr>
          <w:rFonts w:ascii="Times New Roman" w:cs="Times New Roman" w:eastAsia="Times New Roman" w:hAnsi="Times New Roman"/>
          <w:sz w:val="18"/>
          <w:szCs w:val="18"/>
          <w:color w:val="auto"/>
        </w:rPr>
      </w:pPr>
    </w:p>
    <w:p>
      <w:pPr>
        <w:ind w:right="360" w:firstLine="987"/>
        <w:spacing w:after="0" w:line="266" w:lineRule="auto"/>
        <w:tabs>
          <w:tab w:leader="none" w:pos="124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PureTech requires third parties that Process Personal Data on behalf of PureTech or its Controlled Affiliates to (i) comply with applicable Information Privacy and Security Laws; and (ii) take reasonable steps to protect and secure Personal Data from unauthorized access, use, disclosure or Processing.</w:t>
      </w:r>
    </w:p>
    <w:p>
      <w:pPr>
        <w:spacing w:after="0" w:line="175" w:lineRule="exact"/>
        <w:rPr>
          <w:rFonts w:ascii="Times New Roman" w:cs="Times New Roman" w:eastAsia="Times New Roman" w:hAnsi="Times New Roman"/>
          <w:sz w:val="18"/>
          <w:szCs w:val="18"/>
          <w:color w:val="auto"/>
        </w:rPr>
      </w:pPr>
    </w:p>
    <w:p>
      <w:pPr>
        <w:ind w:right="320" w:firstLine="987"/>
        <w:spacing w:after="0" w:line="258" w:lineRule="auto"/>
        <w:tabs>
          <w:tab w:leader="none" w:pos="123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PureTech and its Controlled Affiliates have not received any notice in writing of any claims, audits, investigations (including investigations by regulatory authorities or any data protection authorities), or allegations of violations of Information Privacy and Security Laws by PureTech or any Controlled Affiliate of PureTech or with respect to Personal Data Processed by, or under the control of, PureTech or any Controlled Affiliate of PureTech, and, to PureTech’s Knowledge, there are no facts or circumstances that could form the basis for any such claims, audits, investigations, or allegations.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300" w:name="page301"/>
    <w:bookmarkEnd w:id="300"/>
    <w:p>
      <w:pPr>
        <w:ind w:left="4" w:right="100" w:firstLine="987"/>
        <w:spacing w:after="0" w:line="261" w:lineRule="auto"/>
        <w:tabs>
          <w:tab w:leader="none" w:pos="125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PureTech’s Knowledge, for the past two years, PureTech and its Controlled Affiliates and no third party acting on their behalf each have not suffered or incurred a Data Security Incident relating to the Transferred Assets that would result in a material adverse effect on PureTech or such Controlled Affiliates. For the past two years, PureTech and its Controlled Affiliates has not been notified of, or been required to notify, any Person of any Data Security Incident relating to the Transferred Assets.</w:t>
      </w:r>
    </w:p>
    <w:p>
      <w:pPr>
        <w:spacing w:after="0" w:line="180" w:lineRule="exact"/>
        <w:rPr>
          <w:sz w:val="20"/>
          <w:szCs w:val="20"/>
          <w:color w:val="auto"/>
        </w:rPr>
      </w:pPr>
    </w:p>
    <w:p>
      <w:pPr>
        <w:ind w:left="4" w:right="140" w:firstLine="440"/>
        <w:spacing w:after="0" w:line="274" w:lineRule="auto"/>
        <w:rPr>
          <w:sz w:val="20"/>
          <w:szCs w:val="20"/>
          <w:color w:val="auto"/>
        </w:rPr>
      </w:pPr>
      <w:r>
        <w:rPr>
          <w:rFonts w:ascii="Times New Roman" w:cs="Times New Roman" w:eastAsia="Times New Roman" w:hAnsi="Times New Roman"/>
          <w:sz w:val="17"/>
          <w:szCs w:val="17"/>
          <w:color w:val="auto"/>
        </w:rPr>
        <w:t xml:space="preserve">2.15 </w:t>
      </w:r>
      <w:r>
        <w:rPr>
          <w:rFonts w:ascii="Times New Roman" w:cs="Times New Roman" w:eastAsia="Times New Roman" w:hAnsi="Times New Roman"/>
          <w:sz w:val="17"/>
          <w:szCs w:val="17"/>
          <w:u w:val="single" w:color="auto"/>
          <w:color w:val="auto"/>
        </w:rPr>
        <w:t>No Other Representations or Warranties</w:t>
      </w:r>
      <w:r>
        <w:rPr>
          <w:rFonts w:ascii="Times New Roman" w:cs="Times New Roman" w:eastAsia="Times New Roman" w:hAnsi="Times New Roman"/>
          <w:sz w:val="17"/>
          <w:szCs w:val="17"/>
          <w:color w:val="auto"/>
        </w:rPr>
        <w:t>. Except for the representations and warranties contained in this Article II, neither PureTech nor any other Person has made or makes any other express or implied representation or warranty, whether written or oral, on behalf of PureTech, including any representation or warranty as to the accuracy or completeness of any information regarding the Transferred Assets furnished or made available to Seaport and its Representatives or as to the future revenue, profitability or success of the Transferred Assets, or any representation or warranty arising from statute or otherwise in law. Unless the subject of any express representation and warranty set forth in this Article II, the Transferred Assets are being assigned and transferred by PureTech to Seaport as is, where is, without representation, warranty or recourse to PureTech.</w:t>
      </w:r>
    </w:p>
    <w:p>
      <w:pPr>
        <w:spacing w:after="0" w:line="38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REPRESENTATIONS AND WARRANTIES OF SEAPORT</w:t>
      </w:r>
    </w:p>
    <w:p>
      <w:pPr>
        <w:spacing w:after="0" w:line="229"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Seaport represents and warrants to PureTech that the statements contained in this Article III are true and correct as of the date of this Agreement and will be true and correct as of the Closing as though made as of the Closing:</w:t>
      </w:r>
    </w:p>
    <w:p>
      <w:pPr>
        <w:spacing w:after="0" w:line="54"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 Standing and Power</w:t>
      </w:r>
      <w:r>
        <w:rPr>
          <w:rFonts w:ascii="Times New Roman" w:cs="Times New Roman" w:eastAsia="Times New Roman" w:hAnsi="Times New Roman"/>
          <w:sz w:val="18"/>
          <w:szCs w:val="18"/>
          <w:color w:val="auto"/>
        </w:rPr>
        <w:t>. Seaport is a corporation duly organized, validly existing and in good standing under the Laws of the State of Delaware. Seaport has all requisite power and authority (corporate and other) to carry on the businesses in which it is engaged and to own and use the properties owned and used by it.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Authority; No Conflict; Required Filings and Consents.</w:t>
      </w:r>
    </w:p>
    <w:p>
      <w:pPr>
        <w:spacing w:after="0" w:line="225" w:lineRule="exact"/>
        <w:rPr>
          <w:sz w:val="20"/>
          <w:szCs w:val="20"/>
          <w:color w:val="auto"/>
        </w:rPr>
      </w:pPr>
    </w:p>
    <w:p>
      <w:pPr>
        <w:ind w:left="4" w:right="40" w:firstLine="987"/>
        <w:spacing w:after="0" w:line="261" w:lineRule="auto"/>
        <w:tabs>
          <w:tab w:leader="none" w:pos="124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Seaport has all requisite power and authority to execute and deliver this Agreement and to perform its obligations hereunder. The execution and delivery by Seaport of this Agreement and the consummation by Seaport of the transactions contemplated hereby have been duly and validly authorized by all necessary corporate action on the part of Seaport, This Agreement has been duly and validly executed and delivered by Seaport and constitutes a valid and binding obligation of Seaport, enforceable against it in accordance with its terms.</w:t>
      </w:r>
    </w:p>
    <w:p>
      <w:pPr>
        <w:spacing w:after="0" w:line="179" w:lineRule="exact"/>
        <w:rPr>
          <w:rFonts w:ascii="Times New Roman" w:cs="Times New Roman" w:eastAsia="Times New Roman" w:hAnsi="Times New Roman"/>
          <w:sz w:val="18"/>
          <w:szCs w:val="18"/>
          <w:color w:val="auto"/>
        </w:rPr>
      </w:pPr>
    </w:p>
    <w:p>
      <w:pPr>
        <w:ind w:left="4" w:right="140" w:firstLine="987"/>
        <w:spacing w:after="0" w:line="276" w:lineRule="auto"/>
        <w:tabs>
          <w:tab w:leader="none" w:pos="1250"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execution and delivery by Seaport of this Agreement, nor the performance by Seaport of its obligations hereunder, nor the consummation by Seaport of the transactions contemplated hereby, will (i) conflict with or violate any provision of the charter or By-laws of Seaport,</w:t>
      </w:r>
    </w:p>
    <w:p>
      <w:pPr>
        <w:ind w:left="4" w:right="140" w:hanging="4"/>
        <w:spacing w:after="0" w:line="255" w:lineRule="auto"/>
        <w:tabs>
          <w:tab w:leader="none" w:pos="26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on the part of Seaport any filing with, or permit, authorization, consent or approval of, any Governmental Entity, (iii) conflict with, result in breach of, constitute (with or without due notice or lapse of time or both) a default under, result in the acceleration of obligations under, create in any party any right to accelerate, terminate, modify or cancel, or</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301" w:name="page302"/>
    <w:bookmarkEnd w:id="301"/>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 any notice, consent or waiver under, any contract, lease, sublease, license, sublicense, franchise, permit, indenture, agreement or mortgage for borrowed money, instrument of Indebtedness, Lien or other agreement to which Seaport is a party or by which it is bound or to which any of its assets are subject, or (iv) violate any Order applicable to Seaport or any of its properties or assets, except in the case of the foregoing clauses (iii) and (iv) for such notices, consents and waivers that, if not obtained or made, and such conflicts, breaches, defaults, accelerations, terminations, modifications, cancellations and violations that, individually or in the aggregate, have not had and would not reasonably be expected to have a material adverse effect on the ability of Seaport to consummate the transactions contemplated by this Agreement.</w:t>
      </w:r>
    </w:p>
    <w:p>
      <w:pPr>
        <w:spacing w:after="0" w:line="187" w:lineRule="exact"/>
        <w:rPr>
          <w:sz w:val="20"/>
          <w:szCs w:val="20"/>
          <w:color w:val="auto"/>
        </w:rPr>
      </w:pPr>
    </w:p>
    <w:p>
      <w:pPr>
        <w:ind w:right="200" w:firstLine="987"/>
        <w:spacing w:after="0" w:line="266" w:lineRule="auto"/>
        <w:tabs>
          <w:tab w:leader="none" w:pos="123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license, permit, Order or authorization of, or registration, declaration, notice or filing with, any Governmental Entity is required by or with respect to Seaport in connection with the execution and delivery of this Agreement by Seaport or the consummation by Seaport of the transactions contemplated by this Agreement.</w:t>
      </w:r>
    </w:p>
    <w:p>
      <w:pPr>
        <w:spacing w:after="0" w:line="176" w:lineRule="exact"/>
        <w:rPr>
          <w:sz w:val="20"/>
          <w:szCs w:val="20"/>
          <w:color w:val="auto"/>
        </w:rPr>
      </w:pPr>
    </w:p>
    <w:p>
      <w:pPr>
        <w:jc w:val="both"/>
        <w:ind w:right="6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No agent, broker, investment banker, financial advisor or other firm or Person is or shall be entitled, as a result of any action, agreement or commitment of Seaport or any of its Affiliates, to any broker’s, finder’s, financial advisor’s or other similar fee or commission in connection with any of the transactions contemplated by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Capitalization.</w:t>
      </w:r>
    </w:p>
    <w:p>
      <w:pPr>
        <w:spacing w:after="0" w:line="225" w:lineRule="exact"/>
        <w:rPr>
          <w:sz w:val="20"/>
          <w:szCs w:val="20"/>
          <w:color w:val="auto"/>
        </w:rPr>
      </w:pPr>
    </w:p>
    <w:p>
      <w:pPr>
        <w:ind w:left="1240" w:hanging="253"/>
        <w:spacing w:after="0"/>
        <w:tabs>
          <w:tab w:leader="none" w:pos="12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of Seaport consists, immediately prior to the Closing, of:</w:t>
      </w:r>
    </w:p>
    <w:p>
      <w:pPr>
        <w:spacing w:after="0" w:line="117" w:lineRule="exact"/>
        <w:rPr>
          <w:rFonts w:ascii="Times New Roman" w:cs="Times New Roman" w:eastAsia="Times New Roman" w:hAnsi="Times New Roman"/>
          <w:sz w:val="18"/>
          <w:szCs w:val="18"/>
          <w:color w:val="auto"/>
        </w:rPr>
      </w:pPr>
    </w:p>
    <w:p>
      <w:pPr>
        <w:ind w:right="820" w:firstLine="1428"/>
        <w:spacing w:after="0" w:line="282" w:lineRule="auto"/>
        <w:tabs>
          <w:tab w:leader="none" w:pos="1647"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common stock, [***] par value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 shares of which are issued and outstanding immediately prior to the Closing.</w:t>
      </w:r>
    </w:p>
    <w:p>
      <w:pPr>
        <w:spacing w:after="0" w:line="161" w:lineRule="exact"/>
        <w:rPr>
          <w:rFonts w:ascii="Times New Roman" w:cs="Times New Roman" w:eastAsia="Times New Roman" w:hAnsi="Times New Roman"/>
          <w:sz w:val="18"/>
          <w:szCs w:val="18"/>
          <w:color w:val="auto"/>
        </w:rPr>
      </w:pPr>
    </w:p>
    <w:p>
      <w:pPr>
        <w:ind w:firstLine="1428"/>
        <w:spacing w:after="0" w:line="261" w:lineRule="auto"/>
        <w:tabs>
          <w:tab w:leader="none" w:pos="1697"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preferred stock, [***] par value per share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of which [***] shares have been designated Series A-l Preferred Stock, none of which are issued and outstanding immediately prior to the Closing. The rights, privileges and preferences of the Preferred Stock are as stated in the Amended and Restated Certificate of Incorporation of Seaport and as provided by the Delaware General Corporation Law.</w:t>
      </w:r>
    </w:p>
    <w:p>
      <w:pPr>
        <w:spacing w:after="0" w:line="179" w:lineRule="exact"/>
        <w:rPr>
          <w:rFonts w:ascii="Times New Roman" w:cs="Times New Roman" w:eastAsia="Times New Roman" w:hAnsi="Times New Roman"/>
          <w:sz w:val="18"/>
          <w:szCs w:val="18"/>
          <w:color w:val="auto"/>
        </w:rPr>
      </w:pPr>
    </w:p>
    <w:p>
      <w:pPr>
        <w:ind w:right="280" w:firstLine="1428"/>
        <w:spacing w:after="0" w:line="282" w:lineRule="auto"/>
        <w:tabs>
          <w:tab w:leader="none" w:pos="1747"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outstanding shares of capital stock have been duly authorized, are fully paid and nonassessable and were issued in compliance with all applicable federal and state securities laws.</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Seaport has obtained valid waivers of any rights of all other Persons to purchase any of the Shares covered by this Agreement.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Valid Issuance of Shares</w:t>
      </w:r>
      <w:r>
        <w:rPr>
          <w:rFonts w:ascii="Times New Roman" w:cs="Times New Roman" w:eastAsia="Times New Roman" w:hAnsi="Times New Roman"/>
          <w:sz w:val="18"/>
          <w:szCs w:val="18"/>
          <w:color w:val="auto"/>
        </w:rPr>
        <w:t>. The Shares, when issued, sold and delivered in accordance with the terms and for the consideration set forth in this Agreement, will be validly issued, fully paid and nonassessable and free of restrictions on transfer other than restrictions on transfer under applicable state and federal securities laws and liens or encumbrances created by or imposed by PureTech. Subject to the filings described in Section 3.6 below, the Shares will be issued in compliance with all applicable federal and state securities laws.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70" w:right="499" w:bottom="1440" w:gutter="0" w:footer="0" w:header="0"/>
        </w:sectPr>
      </w:pPr>
    </w:p>
    <w:bookmarkStart w:id="302" w:name="page303"/>
    <w:bookmarkEnd w:id="302"/>
    <w:p>
      <w:pPr>
        <w:jc w:val="both"/>
        <w:ind w:right="8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3.6 </w:t>
      </w:r>
      <w:r>
        <w:rPr>
          <w:rFonts w:ascii="Times New Roman" w:cs="Times New Roman" w:eastAsia="Times New Roman" w:hAnsi="Times New Roman"/>
          <w:sz w:val="17"/>
          <w:szCs w:val="17"/>
          <w:u w:val="single" w:color="auto"/>
          <w:color w:val="auto"/>
        </w:rPr>
        <w:t>Governmental Consents and Filings</w:t>
      </w:r>
      <w:r>
        <w:rPr>
          <w:rFonts w:ascii="Times New Roman" w:cs="Times New Roman" w:eastAsia="Times New Roman" w:hAnsi="Times New Roman"/>
          <w:sz w:val="17"/>
          <w:szCs w:val="17"/>
          <w:color w:val="auto"/>
        </w:rPr>
        <w:t>. No consent, approval, order or authorization of, or registration, qualification, designation, declaration or filing with, any federal, state or local governmental authority is required on the part of Seaport in connection with the consummation of the transactions contemplated by this Agreement, except for filings pursuant to applicable securities laws, which have been made or will be made in a timely manner.</w:t>
      </w:r>
    </w:p>
    <w:p>
      <w:pPr>
        <w:spacing w:after="0" w:line="15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Independent Investigation</w:t>
      </w:r>
      <w:r>
        <w:rPr>
          <w:rFonts w:ascii="Times New Roman" w:cs="Times New Roman" w:eastAsia="Times New Roman" w:hAnsi="Times New Roman"/>
          <w:sz w:val="18"/>
          <w:szCs w:val="18"/>
          <w:color w:val="auto"/>
        </w:rPr>
        <w:t>. Seaport has conducted its own independent investigation, review and analysis of the business, results of operations, prospects, and condition (financial or otherwise) of the Transferred Assets and the Products, and acknowledges that it has been provided adequate access to the personnel, properties, assets, premises, books and records, and other documents and data of PureTech for such purpose. Seaport acknowledges and agrees that (a) in making its decision to enter into this Agreement and to consummate the transactions contemplated hereby, Seaport has relied solely upon its own investigation and the express representations and warranties of PureTech set forth in Article II of this Agreement; and (b) neither Seaport nor any other Person has made any representation or warranty as to the Transferred Assets, the Products or this Agreement, except as expressly set forth in Article II of this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AGREEMENTS</w:t>
      </w:r>
    </w:p>
    <w:p>
      <w:pPr>
        <w:spacing w:after="0" w:line="22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xml:space="preserve">. For [***] after Net Sales is invoiced or Net Income is received, Seaport shall keep complete and accurate records pertaining to the applicable revenue invoiced or received, in sufficient detail to permit PureTech to confirm the accuracy of all payments made hereunder. PureTech shall have the right to cause an independent, certified public accountant to audit such records to confirm Seaport’s payments pursuant to </w:t>
      </w:r>
      <w:r>
        <w:rPr>
          <w:rFonts w:ascii="Times New Roman" w:cs="Times New Roman" w:eastAsia="Times New Roman" w:hAnsi="Times New Roman"/>
          <w:sz w:val="18"/>
          <w:szCs w:val="18"/>
          <w:u w:val="single" w:color="auto"/>
          <w:color w:val="auto"/>
        </w:rPr>
        <w:t>Section 1.5(b)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auditor shall execute a confidentiality agreement with Seaport in customary form and shall only disclose to PureTech whether Seaport paid PureTech the correct amounts pursuant to Section 1.5(b) during the audit period and if not, any information necessary to explain the source of the discrepancy . If such audit determines that Seaport paid PureTech less than the amount properly due and such determination is not subject to a good faith dispute, then Seaport shall promptly pay to PureTech an amount equal to such underpayment, and if the amount underpaid exceeds the lesser of [***] or [***] percent [***] of the amount actually due over the audited period, Seaport shall also reimburse PureTech for the reasonable costs of such audit (including the fees and expenses of the certified public accountant). In the event such audit determines that Seaport paid PureTech more than the amount properly due in respect of any quarter, then PureTech shall promptly issue a refund to Seaport of such overpayment. Such audits may be exercised [***] and [***] with respect each payment period, within [***] after the payment period to which such records relate, upon reasonable advance notice to Seaport and during normal business hours.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303" w:name="page304"/>
    <w:bookmarkEnd w:id="303"/>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of Seaport and PureTech shall use their respective commercially reasonable efforts to take all actions necessary or appropriate to consummate the transactions contemplated by this Agreement and cause the fulfillment at the earliest practicable date of all of the conditions to the other Party’s obligations to consummate the transactions contemplated by this Agreement, including the delivery of any and all documents, certificates and agreements. In case at any time after the Closing, any further action is necessary or desirable to carry out the purposes of this Agreement, each of the Parties will cooperate with the other and take such further action (including the execution and delivery of such further instruments and documents) as any other Party reasonably may request.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Tax Matters.</w:t>
      </w:r>
    </w:p>
    <w:p>
      <w:pPr>
        <w:spacing w:after="0" w:line="225" w:lineRule="exact"/>
        <w:rPr>
          <w:sz w:val="20"/>
          <w:szCs w:val="20"/>
          <w:color w:val="auto"/>
        </w:rPr>
      </w:pPr>
    </w:p>
    <w:p>
      <w:pPr>
        <w:jc w:val="both"/>
        <w:ind w:right="120" w:firstLine="987"/>
        <w:spacing w:after="0" w:line="261" w:lineRule="auto"/>
        <w:tabs>
          <w:tab w:leader="none" w:pos="123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PureTech shall be responsible for and shall pay all Taxes of PureTech for all periods and all Taxes that relate to the Transferred Assets that were incurred in or are attributable to any taxable period (or portion thereof) ending on or before the Closing Date. PureTech shall prepare and file their Tax Returns for all periods and all Tax Returns that relate to the Transferred Assets for any Taxable periods ending on or before the Closing Date. Such returns will be prepared and filed in accordance with applicable Law and in a manner consistent with past practices.</w:t>
      </w:r>
    </w:p>
    <w:p>
      <w:pPr>
        <w:spacing w:after="0" w:line="179" w:lineRule="exact"/>
        <w:rPr>
          <w:rFonts w:ascii="Times New Roman" w:cs="Times New Roman" w:eastAsia="Times New Roman" w:hAnsi="Times New Roman"/>
          <w:sz w:val="18"/>
          <w:szCs w:val="18"/>
          <w:color w:val="auto"/>
        </w:rPr>
      </w:pPr>
    </w:p>
    <w:p>
      <w:pPr>
        <w:ind w:right="80" w:firstLine="987"/>
        <w:spacing w:after="0" w:line="258" w:lineRule="auto"/>
        <w:tabs>
          <w:tab w:leader="none" w:pos="124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this Agreement or the Ancillary Agreements, all transfer, documentary, sales, use, stamp, registration and other such Taxes and fees (including any penalties and interest) incurred in connection with this Agreement and the Ancillary Agreements shall be borne [***] percent [***] by PureTech and [***] percent [***] by Seaport. The Party required by Law shall file all necessary Tax Returns and other documentation with respect to all such transfer, documentary, sales, use, stamp, registration and other Taxes and fees, and, if required by applicable Law, the other Party will join in the execution of any such Tax Returns and other documentation.</w:t>
      </w:r>
    </w:p>
    <w:p>
      <w:pPr>
        <w:spacing w:after="0" w:line="183" w:lineRule="exact"/>
        <w:rPr>
          <w:rFonts w:ascii="Times New Roman" w:cs="Times New Roman" w:eastAsia="Times New Roman" w:hAnsi="Times New Roman"/>
          <w:sz w:val="18"/>
          <w:szCs w:val="18"/>
          <w:color w:val="auto"/>
        </w:rPr>
      </w:pPr>
    </w:p>
    <w:p>
      <w:pPr>
        <w:ind w:firstLine="987"/>
        <w:spacing w:after="0" w:line="255" w:lineRule="auto"/>
        <w:tabs>
          <w:tab w:leader="none" w:pos="122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real property, personal property or similar Taxes applicable to the Transferred Assets for a taxable period that includes but does not end on the Closing Date shall be paid by Seaport or PureTech, as applicable, and such Taxes shall be apportioned between Seaport and PureTech based on the number of days in the portion of the taxable period that ends on the Closing Date (the “</w:t>
      </w:r>
      <w:r>
        <w:rPr>
          <w:rFonts w:ascii="Times New Roman" w:cs="Times New Roman" w:eastAsia="Times New Roman" w:hAnsi="Times New Roman"/>
          <w:sz w:val="18"/>
          <w:szCs w:val="18"/>
          <w:u w:val="single" w:color="auto"/>
          <w:color w:val="auto"/>
        </w:rPr>
        <w:t>Pre-Closing Tax Period</w:t>
      </w:r>
      <w:r>
        <w:rPr>
          <w:rFonts w:ascii="Times New Roman" w:cs="Times New Roman" w:eastAsia="Times New Roman" w:hAnsi="Times New Roman"/>
          <w:sz w:val="18"/>
          <w:szCs w:val="18"/>
          <w:color w:val="auto"/>
        </w:rPr>
        <w:t>”) and the number of days in the entire taxable period. PureTech shall pay Seaport an amount equal to any such Taxes payable by Seaport which are attributable to the Pre-Closing Tax Period, and Seaport shall pay PureTech an amount equal to any such Taxes payable by PureTech which are not attributable to the Pre-Closing Tax Period. Such payments shall be made on or prior to the Closing Date or, if later, on the date such Taxes are due (or thereafter, promptly after request by Seaport or PureTech if such Taxes are not identified by Seaport or PureTech on or prior to the Closing Date).</w:t>
      </w:r>
    </w:p>
    <w:p>
      <w:pPr>
        <w:spacing w:after="0" w:line="188" w:lineRule="exact"/>
        <w:rPr>
          <w:rFonts w:ascii="Times New Roman" w:cs="Times New Roman" w:eastAsia="Times New Roman" w:hAnsi="Times New Roman"/>
          <w:sz w:val="18"/>
          <w:szCs w:val="18"/>
          <w:color w:val="auto"/>
        </w:rPr>
      </w:pPr>
    </w:p>
    <w:p>
      <w:pPr>
        <w:ind w:right="260" w:firstLine="987"/>
        <w:spacing w:after="0" w:line="282" w:lineRule="auto"/>
        <w:tabs>
          <w:tab w:leader="none" w:pos="124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PureTech shall provide commercially reasonable cooperation with Seaport and make any filings reasonably and timely requested by Seaport to obtain any available Tax clearance certificates in connection with the transactions contemplated pursuant to this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304" w:name="page305"/>
    <w:bookmarkEnd w:id="304"/>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4.4 </w:t>
      </w:r>
      <w:r>
        <w:rPr>
          <w:rFonts w:ascii="Times New Roman" w:cs="Times New Roman" w:eastAsia="Times New Roman" w:hAnsi="Times New Roman"/>
          <w:sz w:val="18"/>
          <w:szCs w:val="18"/>
          <w:u w:val="single" w:color="auto"/>
          <w:color w:val="auto"/>
        </w:rPr>
        <w:t>Ownership Transfer</w:t>
      </w:r>
      <w:r>
        <w:rPr>
          <w:rFonts w:ascii="Times New Roman" w:cs="Times New Roman" w:eastAsia="Times New Roman" w:hAnsi="Times New Roman"/>
          <w:sz w:val="18"/>
          <w:szCs w:val="18"/>
          <w:color w:val="auto"/>
        </w:rPr>
        <w:t>. Promptly following Closing, to the extent necessary to transfer ownership to Seaport of all Regulatory Applications filed with Regulatory Authorities, the Parties shall execute and deliver to such Regulatory Authorities such documents as shall be required to accomplish such transfer.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PureTech License.</w:t>
      </w:r>
    </w:p>
    <w:p>
      <w:pPr>
        <w:spacing w:after="0" w:line="225" w:lineRule="exact"/>
        <w:rPr>
          <w:sz w:val="20"/>
          <w:szCs w:val="20"/>
          <w:color w:val="auto"/>
        </w:rPr>
      </w:pPr>
    </w:p>
    <w:p>
      <w:pPr>
        <w:ind w:right="60" w:firstLine="987"/>
        <w:spacing w:after="0" w:line="253" w:lineRule="auto"/>
        <w:tabs>
          <w:tab w:leader="none" w:pos="123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PureTech may from time to time request that Seaport grant it a license under the Glyph IP to Utilize products (excluding the Existing Products and any product within a Field Exception as defined under the Monash License so long as the Field Exception continues to be excluded from the Field as defined under the Monash License) directed to Non-CNS Indications by providing Seaport with written notice requesting such a license and identifying the specific products or product concepts (each, an “</w:t>
      </w:r>
      <w:r>
        <w:rPr>
          <w:rFonts w:ascii="Times New Roman" w:cs="Times New Roman" w:eastAsia="Times New Roman" w:hAnsi="Times New Roman"/>
          <w:sz w:val="18"/>
          <w:szCs w:val="18"/>
          <w:u w:val="single" w:color="auto"/>
          <w:color w:val="auto"/>
        </w:rPr>
        <w:t>Identified Product Concept</w:t>
      </w:r>
      <w:r>
        <w:rPr>
          <w:rFonts w:ascii="Times New Roman" w:cs="Times New Roman" w:eastAsia="Times New Roman" w:hAnsi="Times New Roman"/>
          <w:sz w:val="18"/>
          <w:szCs w:val="18"/>
          <w:color w:val="auto"/>
        </w:rPr>
        <w:t>”) that PureTech desires to Utilize (such notice, a “</w:t>
      </w:r>
      <w:r>
        <w:rPr>
          <w:rFonts w:ascii="Times New Roman" w:cs="Times New Roman" w:eastAsia="Times New Roman" w:hAnsi="Times New Roman"/>
          <w:sz w:val="18"/>
          <w:szCs w:val="18"/>
          <w:u w:val="single" w:color="auto"/>
          <w:color w:val="auto"/>
        </w:rPr>
        <w:t>PureTech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License Request Notice</w:t>
      </w:r>
      <w:r>
        <w:rPr>
          <w:rFonts w:ascii="Times New Roman" w:cs="Times New Roman" w:eastAsia="Times New Roman" w:hAnsi="Times New Roman"/>
          <w:sz w:val="18"/>
          <w:szCs w:val="18"/>
          <w:color w:val="auto"/>
        </w:rPr>
        <w:t>”). If PureTech provides such notice to Seaport and the Identified Product Concept(s) are Available, the Parties will enter into a license agreement pursuant to which Seaport will grant PureTech rights under the Glyph IP to Utilize such Identified Product Concept(s) for Non-CNS Indications (each, a “</w:t>
      </w:r>
      <w:r>
        <w:rPr>
          <w:rFonts w:ascii="Times New Roman" w:cs="Times New Roman" w:eastAsia="Times New Roman" w:hAnsi="Times New Roman"/>
          <w:sz w:val="18"/>
          <w:szCs w:val="18"/>
          <w:u w:val="single" w:color="auto"/>
          <w:color w:val="auto"/>
        </w:rPr>
        <w:t>PureTech License</w:t>
      </w:r>
      <w:r>
        <w:rPr>
          <w:rFonts w:ascii="Times New Roman" w:cs="Times New Roman" w:eastAsia="Times New Roman" w:hAnsi="Times New Roman"/>
          <w:sz w:val="18"/>
          <w:szCs w:val="18"/>
          <w:color w:val="auto"/>
        </w:rPr>
        <w:t xml:space="preserve">”). Each PureTech License will be substantially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with changes only to conform the Licensed Products definition to the Identified Product Concept(s) unless the Parties otherwise mutually agree. For the avoidance of doubt, PureTech will not be required to make any payment to Seaport under any PureTech License, other than those payments required to be made to Monash under the Monash License with respect to the Licensed Products or Identified Product Concept under such PureTech License. For clarity, the payment obligations set forth in Section 1.5(b) will not apply to any product commercialized by or on behalf of PureTech, PureTech’s Affiliates (other than Seaport and Seaport’s Controlled Affiliates) or any sublicensee of PureTech or PureTech’s Affiliates (other than Seaport and Seaport’s Controlled Affiliates). [***].</w:t>
      </w:r>
    </w:p>
    <w:p>
      <w:pPr>
        <w:spacing w:after="0" w:line="187" w:lineRule="exact"/>
        <w:rPr>
          <w:rFonts w:ascii="Times New Roman" w:cs="Times New Roman" w:eastAsia="Times New Roman" w:hAnsi="Times New Roman"/>
          <w:sz w:val="18"/>
          <w:szCs w:val="18"/>
          <w:color w:val="auto"/>
        </w:rPr>
      </w:pPr>
    </w:p>
    <w:p>
      <w:pPr>
        <w:ind w:right="40" w:firstLine="987"/>
        <w:spacing w:after="0" w:line="258" w:lineRule="auto"/>
        <w:tabs>
          <w:tab w:leader="none" w:pos="124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PureTech’s request and subject to a technology transfer plan agreed to between the Parties, Seaport will use good faith efforts to provide PureTech with services as necessary to transfer any know-how within the Glyph IP or any material data and information within the Transferred Assets related to the licensed Glyph IP to the extent reasonably required to enable PureTech to develop the Identified Product Concepts. PureTech will reimburse Seaport for its costs of providing such technology transfer on a reasonable fee-for-services basis based on market FTE rates for the applicable categories of Seaport personnel.</w:t>
      </w:r>
    </w:p>
    <w:p>
      <w:pPr>
        <w:spacing w:after="0" w:line="183"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PureTech’s request set forth in the PureTech License Request Notice, Seaport agrees to negotiate in good faith a license on commercially reasonable terms to any Intellectual Property other than the Glyph IP that: (i) is owned or controlled (with the ability to grant a license) by Seaport or any of its Controlled Affiliates; (ii) relates to the subject matter of the Glyph IP; and (iii) is necessary or reasonably useful for PureTech to Utilize the Identified Product Concept(s) for Non-CNS Indications.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305" w:name="page306"/>
    <w:bookmarkEnd w:id="30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 PureTech’s right to request a PureTech License pursuant to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will terminate upon a Change of Control of Seaport.</w:t>
      </w:r>
    </w:p>
    <w:p>
      <w:pPr>
        <w:spacing w:after="0" w:line="225"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Protection and Maintenance of Transferred Patents</w:t>
      </w:r>
      <w:r>
        <w:rPr>
          <w:rFonts w:ascii="Times New Roman" w:cs="Times New Roman" w:eastAsia="Times New Roman" w:hAnsi="Times New Roman"/>
          <w:sz w:val="18"/>
          <w:szCs w:val="18"/>
          <w:color w:val="auto"/>
        </w:rPr>
        <w:t>. After the Closing, Seaport will be solely responsible for all patent prosecution and maintenance activities with respect to the Transferred Patents, provided that, during the period in which PureTech’s right to request the PureTech License is in effect and continuing for any period in which any PureTech License is in effect: (i) Seaport will (a) provide PureTech with copies of all material filings and material formal correspondences relating to the Transferred Patents to and from the United States Patent and Trademark Office and any other patent office (including copies of each patent application, office action, response to office action, request for terminal disclaimer, and request for reissue or reexamination of any patent or patent application) at least [***] Business Days in advance of any material filing, (b) consider in good faith any input provided by PureTech regarding the prosecution and maintenance of the Transferred Patents, and (c) consult with PureTech prior to material decisions with respect to the prosecution and maintenance of the Transferred Patents; and (ii) to the extent that any Transferred Patents solely cover products subject to the PureTech License, the PureTech License will provide that PureTech will have the first right to prosecute and maintain such Transferred Patents. In addition, Seaport must obtain PureTech’s prior written consent to any decision regarding prosecution or enforcement of the Transferred Patents to the extent such decision would be reasonably likely to materially and adversely impact PureTech’s rights under this Agreement or any PureTech License. If PureTech does not respond to any materials provided by Seaport, any consent request, or any action or inaction suggested by Seaport with respect to prosecution and maintenance of the Transferred Patents within [***] Business Days, PureTech will be deemed not to have any comments regarding such information and materials and will be deemed to have provided consent to any such action or inaction.</w:t>
      </w:r>
    </w:p>
    <w:p>
      <w:pPr>
        <w:spacing w:after="0" w:line="19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Services Agreement</w:t>
      </w:r>
      <w:r>
        <w:rPr>
          <w:rFonts w:ascii="Times New Roman" w:cs="Times New Roman" w:eastAsia="Times New Roman" w:hAnsi="Times New Roman"/>
          <w:sz w:val="18"/>
          <w:szCs w:val="18"/>
          <w:color w:val="auto"/>
        </w:rPr>
        <w:t>. Pursuant to the Services Agreement, PureTech shall (and shall cause its Affiliates to, as applicable) provide services to Seaport and its Controlled Affiliates as set forth in the Services Agreement to transition the Transferred Assets to Seaport. All Intellectual Property to the extent directly related to the Glyph Technology invented, developed, generated, acquired or reduced to practice by or on behalf of PureTech as part of the services provided in connection with the Services Agreement will be owned by Seaport and shall constitute Glyph IP. PureTech agrees to assign to Seaport the ownership of any such Glyph IP invented, developed, generated, acquired or reduced to practice as part of the services provided in connection with the Services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CONFIDENTIALITY</w:t>
      </w:r>
    </w:p>
    <w:p>
      <w:pPr>
        <w:spacing w:after="0" w:line="229" w:lineRule="exact"/>
        <w:rPr>
          <w:sz w:val="20"/>
          <w:szCs w:val="20"/>
          <w:color w:val="auto"/>
        </w:rPr>
      </w:pPr>
    </w:p>
    <w:p>
      <w:pPr>
        <w:ind w:right="200" w:firstLine="440"/>
        <w:spacing w:after="0" w:line="289"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Except to the extent expressly authorized by this Agreement or otherwise agreed in writing by the other Party, each Party agrees that it shall keep confidential and shall not publish or otherwise disclose and shall not use for any purpose other than as provided for in this Agreement any Confidential Information of the other Party unless such Party can demonstrate by competent proof that such Confidential Information:</w:t>
      </w:r>
    </w:p>
    <w:p>
      <w:pPr>
        <w:spacing w:after="0" w:line="50" w:lineRule="exact"/>
        <w:rPr>
          <w:sz w:val="20"/>
          <w:szCs w:val="20"/>
          <w:color w:val="auto"/>
        </w:rPr>
      </w:pPr>
    </w:p>
    <w:p>
      <w:pPr>
        <w:ind w:right="320" w:firstLine="987"/>
        <w:spacing w:after="0" w:line="282" w:lineRule="auto"/>
        <w:tabs>
          <w:tab w:leader="none" w:pos="123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already known to it or its Controlled Affiliate, other than under an obligation of confidentiality, at the time of disclosure by the other Party or its Controlled Affiliate;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306" w:name="page307"/>
    <w:bookmarkEnd w:id="306"/>
    <w:p>
      <w:pPr>
        <w:ind w:left="1240" w:hanging="253"/>
        <w:spacing w:after="0"/>
        <w:tabs>
          <w:tab w:leader="none" w:pos="12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was generally available to the public or otherwise part of the public domain at the time of its disclosure to it or its Controlled Affiliate;</w:t>
      </w:r>
    </w:p>
    <w:p>
      <w:pPr>
        <w:spacing w:after="0" w:line="225" w:lineRule="exact"/>
        <w:rPr>
          <w:rFonts w:ascii="Times New Roman" w:cs="Times New Roman" w:eastAsia="Times New Roman" w:hAnsi="Times New Roman"/>
          <w:sz w:val="18"/>
          <w:szCs w:val="18"/>
          <w:color w:val="auto"/>
        </w:rPr>
      </w:pPr>
    </w:p>
    <w:p>
      <w:pPr>
        <w:ind w:right="260" w:firstLine="987"/>
        <w:spacing w:after="0" w:line="282" w:lineRule="auto"/>
        <w:tabs>
          <w:tab w:leader="none" w:pos="123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became generally available to the public or otherwise part of the public domain after its disclosure and other than through any act or omission of it or its Controlled Affiliate in breach of this Agreement;</w:t>
      </w:r>
    </w:p>
    <w:p>
      <w:pPr>
        <w:spacing w:after="0" w:line="161" w:lineRule="exact"/>
        <w:rPr>
          <w:rFonts w:ascii="Times New Roman" w:cs="Times New Roman" w:eastAsia="Times New Roman" w:hAnsi="Times New Roman"/>
          <w:sz w:val="18"/>
          <w:szCs w:val="18"/>
          <w:color w:val="auto"/>
        </w:rPr>
      </w:pPr>
    </w:p>
    <w:p>
      <w:pPr>
        <w:ind w:right="260" w:firstLine="987"/>
        <w:spacing w:after="0" w:line="282" w:lineRule="auto"/>
        <w:tabs>
          <w:tab w:leader="none" w:pos="124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disclosed to it without any obligation of confidentiality by a Third Party who had a legal right to make such disclosure and who did not obtain such information directly or indirectly from the other Party or its Controlled Affiliate; or</w:t>
      </w:r>
    </w:p>
    <w:p>
      <w:pPr>
        <w:spacing w:after="0" w:line="161" w:lineRule="exact"/>
        <w:rPr>
          <w:rFonts w:ascii="Times New Roman" w:cs="Times New Roman" w:eastAsia="Times New Roman" w:hAnsi="Times New Roman"/>
          <w:sz w:val="18"/>
          <w:szCs w:val="18"/>
          <w:color w:val="auto"/>
        </w:rPr>
      </w:pPr>
    </w:p>
    <w:p>
      <w:pPr>
        <w:ind w:right="120" w:firstLine="987"/>
        <w:spacing w:after="0" w:line="282" w:lineRule="auto"/>
        <w:tabs>
          <w:tab w:leader="none" w:pos="123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independently discovered or developed by it or its Controlled Affiliate without access to or aid, application or use of Confidential Information, as evidenced by a contemporaneous writing.</w:t>
      </w:r>
    </w:p>
    <w:p>
      <w:pPr>
        <w:spacing w:after="0" w:line="162"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Authorized Disclosure</w:t>
      </w:r>
      <w:r>
        <w:rPr>
          <w:rFonts w:ascii="Times New Roman" w:cs="Times New Roman" w:eastAsia="Times New Roman" w:hAnsi="Times New Roman"/>
          <w:sz w:val="18"/>
          <w:szCs w:val="18"/>
          <w:color w:val="auto"/>
        </w:rPr>
        <w:t>. A Party or its Controlled Affiliate may disclose Confidential Information of the other Party to the extent such disclosure is reasonably necessary to comply with applicable laws, governmental regulations or court orders. In the event such Party or its Controlled Affiliate is legally required to make a disclosure of Confidential Information, such Party shall give reasonable advance notice to the other Party of such required disclosure so that the other Party may seek a protective order or other measure preventing or limiting the required disclosure or if, as between the Parties, only the Party required to make such disclosure is permitted to seek such order or measure, so that the Party required to make such disclosure may reasonably consider doing so at the other Party’s request and expense.</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Terms of this Agreement</w:t>
      </w:r>
      <w:r>
        <w:rPr>
          <w:rFonts w:ascii="Times New Roman" w:cs="Times New Roman" w:eastAsia="Times New Roman" w:hAnsi="Times New Roman"/>
          <w:sz w:val="18"/>
          <w:szCs w:val="18"/>
          <w:color w:val="auto"/>
        </w:rPr>
        <w:t>. The Parties agree that the material financial terms of this Agreement shall be considered confidential information of both Parties and that each Party shall keep such terms confidential unless otherwise agreed by the Parties; provided, however, that either Party may disclose such terms in confidence to any bona fide potential or actual investor, lender, acquiror, licensee and other financial or commercial partner solely for the purpose of evaluating or participating in a potential or actual investment, loan, acquisition, license or collaboration. The Parties will consult with one another and use reasonable efforts to agree on the provisions of this Agreement to be redacted in any filings required to be made by either Party with the Securities and Exchange Commission or as otherwise required by law, provided that each Party shall have the right to make any required disclosures as it deems necessary in order to comply with applicable laws and regulations, the rules of any stock exchange and other legal requirements. Notwithstanding the foregoing, PureTech shall have the right to disclose publicly the following terms: right to receive development and commercial milestones, sublicense income and tiered royalties in the range of 3-5% of Net Sales.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307" w:name="page308"/>
    <w:bookmarkEnd w:id="30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Indemnification by PureTech</w:t>
      </w:r>
      <w:r>
        <w:rPr>
          <w:rFonts w:ascii="Times New Roman" w:cs="Times New Roman" w:eastAsia="Times New Roman" w:hAnsi="Times New Roman"/>
          <w:sz w:val="18"/>
          <w:szCs w:val="18"/>
          <w:color w:val="auto"/>
        </w:rPr>
        <w:t>. Subject to the terms and conditions of this Article VI, PureTech covenants and agrees to defend, indemnify and hold Seaport and its Controlled Affiliates, and each of Seaport’s and its Controlled Affiliates’ respective Representatives (individually, a “Seaport Indemnified Party” and collectively, the “Seaport Indemnified Parties”) harmless against, and compensate and reimburse Seaport Indemnified Parties for, any and all losses, damages, Liabilities, fines, fees, penalties, interest, awards, judgments and claims of any kind, including attorneys’ and consultants’ fees and expenses and other legal costs and expenses incurred in prosecution, investigation, remediation, defense or settlement (collectively, “Damages”) incurred or suffered by any Seaport Indemnified Party (regardless of whether such Damages relate to any Third Party Action) resulting from, relating to or constituting:</w:t>
      </w:r>
    </w:p>
    <w:p>
      <w:pPr>
        <w:spacing w:after="0" w:line="81" w:lineRule="exact"/>
        <w:rPr>
          <w:sz w:val="20"/>
          <w:szCs w:val="20"/>
          <w:color w:val="auto"/>
        </w:rPr>
      </w:pPr>
    </w:p>
    <w:p>
      <w:pPr>
        <w:ind w:right="40" w:firstLine="987"/>
        <w:spacing w:after="0" w:line="266" w:lineRule="auto"/>
        <w:tabs>
          <w:tab w:leader="none" w:pos="123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or inaccuracy in any representation or warranty of PureTech set forth in this Agreement, any Ancillary Agreement or any certificate delivered by or on behalf of PureTech in connection herewith, and any claim asserted by a third party against any Seaport Indemnified Party that, if meritorious, would constitute or give rise to any such breach;</w:t>
      </w:r>
    </w:p>
    <w:p>
      <w:pPr>
        <w:spacing w:after="0" w:line="175" w:lineRule="exact"/>
        <w:rPr>
          <w:rFonts w:ascii="Times New Roman" w:cs="Times New Roman" w:eastAsia="Times New Roman" w:hAnsi="Times New Roman"/>
          <w:sz w:val="18"/>
          <w:szCs w:val="18"/>
          <w:color w:val="auto"/>
        </w:rPr>
      </w:pPr>
    </w:p>
    <w:p>
      <w:pPr>
        <w:ind w:right="520" w:firstLine="987"/>
        <w:spacing w:after="0" w:line="282" w:lineRule="auto"/>
        <w:tabs>
          <w:tab w:leader="none" w:pos="124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perform any covenant or agreement of PureTech contained in this Agreement or any Ancillary Agreement or other instrument furnished by PureTech to Seaport pursuant to this Agreement or any Ancillary Agreement;</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Retained Liabilities; or</w:t>
      </w:r>
    </w:p>
    <w:p>
      <w:pPr>
        <w:spacing w:after="0" w:line="225" w:lineRule="exact"/>
        <w:rPr>
          <w:rFonts w:ascii="Times New Roman" w:cs="Times New Roman" w:eastAsia="Times New Roman" w:hAnsi="Times New Roman"/>
          <w:sz w:val="18"/>
          <w:szCs w:val="18"/>
          <w:color w:val="auto"/>
        </w:rPr>
      </w:pPr>
    </w:p>
    <w:p>
      <w:pPr>
        <w:ind w:right="160" w:firstLine="987"/>
        <w:spacing w:after="0" w:line="261" w:lineRule="auto"/>
        <w:tabs>
          <w:tab w:leader="none" w:pos="124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any Assumed Liability, any Liability (including any Liability related to Taxes) imposed upon Seaport or any of its Controlled Affiliates by reason of its status as transferee of, or successor to, the Products or the Transferred Assets (including any Liability imposed upon Seaport or any of its Controlled Affiliates as a result of the failure by PureTech to comply with its obligations under any applicable bulk transfers Laws or Tax clearance certificate requirements under applicable state Tax law).</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Indemnification by Seaport</w:t>
      </w:r>
      <w:r>
        <w:rPr>
          <w:rFonts w:ascii="Times New Roman" w:cs="Times New Roman" w:eastAsia="Times New Roman" w:hAnsi="Times New Roman"/>
          <w:sz w:val="18"/>
          <w:szCs w:val="18"/>
          <w:color w:val="auto"/>
        </w:rPr>
        <w:t>. Subject to the terms and conditions of this Article VI, from and after the Closing, Seaport shall defend, indemnify and hold PureTech and its Controlled Affiliates and each of PureTech’s and its Controlled Affiliates’ respective Representatives (individually, a “PureTech Indemnified Party” and collectively, the “PureTech Indemnified Parties”) harmless against, and compensate and reimburse PureTech Indemnified Parties for, any and all Damages incurred or suffered by any PureTech Indemnified Party (regardless of whether such Damages relate to any Third Party Action) resulting from, relating to or constituting:</w:t>
      </w:r>
    </w:p>
    <w:p>
      <w:pPr>
        <w:spacing w:after="0" w:line="75" w:lineRule="exact"/>
        <w:rPr>
          <w:sz w:val="20"/>
          <w:szCs w:val="20"/>
          <w:color w:val="auto"/>
        </w:rPr>
      </w:pPr>
    </w:p>
    <w:p>
      <w:pPr>
        <w:ind w:right="60" w:firstLine="987"/>
        <w:spacing w:after="0" w:line="266" w:lineRule="auto"/>
        <w:tabs>
          <w:tab w:leader="none" w:pos="123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or inaccuracy in any representation or warranty of Seaport contained in this Agreement, any Ancillary Agreement or any certificate delivered by or on behalf of Seaport in connection herewith, and any claim asserted by a third party against any PureTech Indemnified Party that, if meritorious, would constitute or give rise to any such breach;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6" w:right="459" w:bottom="1440" w:gutter="0" w:footer="0" w:header="0"/>
        </w:sectPr>
      </w:pPr>
    </w:p>
    <w:bookmarkStart w:id="308" w:name="page309"/>
    <w:bookmarkEnd w:id="308"/>
    <w:p>
      <w:pPr>
        <w:ind w:left="4" w:right="620" w:firstLine="987"/>
        <w:spacing w:after="0" w:line="282" w:lineRule="auto"/>
        <w:tabs>
          <w:tab w:leader="none" w:pos="125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failure to perform any covenant or agreement of Seaport contained in this Agreement or any Ancillary Agreement or other instrument furnished by Seaport to PureTech pursuant to this Agreement or any Ancillary Agreement;</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resulting from Seaport’s failure to comply with the terms of the Monash License from and after the Closing; or</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Assumed Liabilities.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Indemnification Claims.</w:t>
      </w:r>
    </w:p>
    <w:p>
      <w:pPr>
        <w:spacing w:after="0" w:line="225" w:lineRule="exact"/>
        <w:rPr>
          <w:sz w:val="20"/>
          <w:szCs w:val="20"/>
          <w:color w:val="auto"/>
        </w:rPr>
      </w:pPr>
    </w:p>
    <w:p>
      <w:pPr>
        <w:ind w:left="4" w:firstLine="987"/>
        <w:spacing w:after="0" w:line="266" w:lineRule="auto"/>
        <w:tabs>
          <w:tab w:leader="none" w:pos="1240"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Indemnified Party shall give written notification to the Indemnifying Party of the commencement of any Third Party Action. Such notification shall be given within 20 days after receipt by the Indemnified Party of notice of such Third Party Action, and shall describe in reasonable detail (to the extent then known by the Indemnified Party) the facts constituting the basis for such Third Party Action and the amount of the claimed damages. No delay or failure on the part of the Indemnified Party in so notifying the Indemnifying Party shall relieve the Indemnifying Party of any Liability hereunder except to the extent of the Indemnifying Party’s rights or defenses are prejudiced, or its Liability increased, as a result of such delay or failure. Following delivery of such notification, the Indemnifying Party shall have the right to assume control of the defense of such Third Party Action with counsel reasonably satisfactory to the Indemnified Party; provided, that, if the Indemnifying Party does not promptly undertake and diligently pursue the defense, the Indemnified Party shall have the right to assume sole control thereof upon delivery of written notice to the Indemnifying Party. The Indemnified Party may, upon written notice to the Indemnifying Party, participate in the defense thereof, at its own expense, through its counsel, who shall be reasonably acceptable to the Indemnifying Party (which right of participation shall be in addition to the right of the Non-controlling Party to be advised and make recommendations set forth below). The Controlling Party shall keep the Non-controlling Party advised of the status of such Third Party Action and the defense thereof and shall consider in good faith recommendations made by the Non-controlling Party with respect thereto. The Non-controlling Party shall furnish the Controlling Party with such information as it may have with respect to such Third Party Action (including copies of any summons, complaint or other pleading which may have been served on such party and any written claim, demand, invoice, billing or other document evidencing or asserting the same) and shall otherwise cooperate with and assist the Controlling Party in the defense of such Third Party Action. The fees and expenses of counsel to the Indemnified Party with respect to a Third Party Action shall be considered Damages for purposes of this Agreement if (i) the Indemnified Party controls the defense of such Third Party Action pursuant to the terms of this </w:t>
      </w:r>
      <w:r>
        <w:rPr>
          <w:rFonts w:ascii="Times New Roman" w:cs="Times New Roman" w:eastAsia="Times New Roman" w:hAnsi="Times New Roman"/>
          <w:sz w:val="17"/>
          <w:szCs w:val="17"/>
          <w:u w:val="single" w:color="auto"/>
          <w:color w:val="auto"/>
        </w:rPr>
        <w:t>Section 6.3(a)</w:t>
      </w:r>
      <w:r>
        <w:rPr>
          <w:rFonts w:ascii="Times New Roman" w:cs="Times New Roman" w:eastAsia="Times New Roman" w:hAnsi="Times New Roman"/>
          <w:sz w:val="17"/>
          <w:szCs w:val="17"/>
          <w:color w:val="auto"/>
        </w:rPr>
        <w:t xml:space="preserve"> or</w:t>
      </w:r>
    </w:p>
    <w:p>
      <w:pPr>
        <w:spacing w:after="0" w:line="7"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Indemnifying Party assumes control of such defense and the Indemnified Party reasonably concludes, based on independent legal</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4"/>
          </w:cols>
          <w:pgMar w:left="436" w:top="270" w:right="479" w:bottom="1440" w:gutter="0" w:footer="0" w:header="0"/>
        </w:sectPr>
      </w:pPr>
    </w:p>
    <w:bookmarkStart w:id="309" w:name="page310"/>
    <w:bookmarkEnd w:id="309"/>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advice, that the Indemnifying Party and the Indemnified Party have conflicting interests such that the Indemnifying Party would be prohibited under applicable legal ethics or disciplinary rules from representing the Indemnified Party in such Third Party Action. The Indemnifying Party shall not agree to any settlement of, or the entry of any judgment arising from, any Third Party Action without the prior written consent of the Indemnified Party, which shall not be unreasonably withheld, conditioned or delayed; provided that the consent of the Indemnified Party shall not be required if the Indemnifying Party agrees in writing to pay any amounts payable pursuant to such settlement or judgment and such settlement or judgment includes a complete release of the Indemnified Party from further Liability and has no other adverse effect on Seaport Indemnified Party. The Indemnified Party shall not agree to any settlement of, or the entry of any judgment arising from, any such Third Party Action without the prior written consent of the Indemnifying Party.</w:t>
      </w:r>
    </w:p>
    <w:p>
      <w:pPr>
        <w:spacing w:after="0" w:line="192" w:lineRule="exact"/>
        <w:rPr>
          <w:sz w:val="20"/>
          <w:szCs w:val="20"/>
          <w:color w:val="auto"/>
        </w:rPr>
      </w:pPr>
    </w:p>
    <w:p>
      <w:pPr>
        <w:ind w:left="1240" w:hanging="253"/>
        <w:spacing w:after="0"/>
        <w:tabs>
          <w:tab w:leader="none" w:pos="12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to seek indemnification under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the Indemnified Party shall deliver a Claim Notice to the Indemnifying Party.</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dispute under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be resolved in accordance with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Survival.</w:t>
      </w:r>
    </w:p>
    <w:p>
      <w:pPr>
        <w:spacing w:after="0" w:line="225" w:lineRule="exact"/>
        <w:rPr>
          <w:sz w:val="20"/>
          <w:szCs w:val="20"/>
          <w:color w:val="auto"/>
        </w:rPr>
      </w:pPr>
    </w:p>
    <w:p>
      <w:pPr>
        <w:ind w:firstLine="987"/>
        <w:spacing w:after="0" w:line="241" w:lineRule="auto"/>
        <w:tabs>
          <w:tab w:leader="none" w:pos="123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specified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or elsewhere in this Agreement, all provisions of this Agreement shall survive the Closing and the consummation of the transactions contemplated hereby and shall continue in full force and effect in accordance with their terms until the expiration of the applicable statute of limitations; provided, however, that, except with respect to claims based on fraud, intentional misrepresentation or willful breach, (i) the representations and warranties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(Taxes) shall expire on the [***] day after the relevant statute of limitations relating to any breach of any such representation or warranty has expired, (ii) the representations and warranties set forth in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(Organization and Good Standing), </w:t>
      </w:r>
      <w:r>
        <w:rPr>
          <w:rFonts w:ascii="Times New Roman" w:cs="Times New Roman" w:eastAsia="Times New Roman" w:hAnsi="Times New Roman"/>
          <w:sz w:val="18"/>
          <w:szCs w:val="18"/>
          <w:u w:val="single" w:color="auto"/>
          <w:color w:val="auto"/>
        </w:rPr>
        <w:t>2.2(a)</w:t>
      </w:r>
      <w:r>
        <w:rPr>
          <w:rFonts w:ascii="Times New Roman" w:cs="Times New Roman" w:eastAsia="Times New Roman" w:hAnsi="Times New Roman"/>
          <w:sz w:val="18"/>
          <w:szCs w:val="18"/>
          <w:color w:val="auto"/>
        </w:rPr>
        <w:t xml:space="preserve"> (Authority), </w:t>
      </w:r>
      <w:r>
        <w:rPr>
          <w:rFonts w:ascii="Times New Roman" w:cs="Times New Roman" w:eastAsia="Times New Roman" w:hAnsi="Times New Roman"/>
          <w:sz w:val="18"/>
          <w:szCs w:val="18"/>
          <w:u w:val="single" w:color="auto"/>
          <w:color w:val="auto"/>
        </w:rPr>
        <w:t>2.2(b)(i)</w:t>
      </w:r>
      <w:r>
        <w:rPr>
          <w:rFonts w:ascii="Times New Roman" w:cs="Times New Roman" w:eastAsia="Times New Roman" w:hAnsi="Times New Roman"/>
          <w:sz w:val="18"/>
          <w:szCs w:val="18"/>
          <w:color w:val="auto"/>
        </w:rPr>
        <w:t xml:space="preserve"> (No Conflict with Organizational Documents), </w:t>
      </w:r>
      <w:r>
        <w:rPr>
          <w:rFonts w:ascii="Times New Roman" w:cs="Times New Roman" w:eastAsia="Times New Roman" w:hAnsi="Times New Roman"/>
          <w:sz w:val="18"/>
          <w:szCs w:val="18"/>
          <w:u w:val="single" w:color="auto"/>
          <w:color w:val="auto"/>
        </w:rPr>
        <w:t>2.12</w:t>
      </w:r>
      <w:r>
        <w:rPr>
          <w:rFonts w:ascii="Times New Roman" w:cs="Times New Roman" w:eastAsia="Times New Roman" w:hAnsi="Times New Roman"/>
          <w:sz w:val="18"/>
          <w:szCs w:val="18"/>
          <w:color w:val="auto"/>
        </w:rPr>
        <w:t xml:space="preserve"> (Brokers), </w:t>
      </w:r>
      <w:r>
        <w:rPr>
          <w:rFonts w:ascii="Times New Roman" w:cs="Times New Roman" w:eastAsia="Times New Roman" w:hAnsi="Times New Roman"/>
          <w:sz w:val="18"/>
          <w:szCs w:val="18"/>
          <w:u w:val="single" w:color="auto"/>
          <w:color w:val="auto"/>
        </w:rPr>
        <w:t>3.1</w:t>
      </w:r>
      <w:r>
        <w:rPr>
          <w:rFonts w:ascii="Times New Roman" w:cs="Times New Roman" w:eastAsia="Times New Roman" w:hAnsi="Times New Roman"/>
          <w:sz w:val="18"/>
          <w:szCs w:val="18"/>
          <w:color w:val="auto"/>
        </w:rPr>
        <w:t xml:space="preserve"> (Organization, Standing and Power), </w:t>
      </w:r>
      <w:r>
        <w:rPr>
          <w:rFonts w:ascii="Times New Roman" w:cs="Times New Roman" w:eastAsia="Times New Roman" w:hAnsi="Times New Roman"/>
          <w:sz w:val="18"/>
          <w:szCs w:val="18"/>
          <w:u w:val="single" w:color="auto"/>
          <w:color w:val="auto"/>
        </w:rPr>
        <w:t>3.2(a)</w:t>
      </w:r>
      <w:r>
        <w:rPr>
          <w:rFonts w:ascii="Times New Roman" w:cs="Times New Roman" w:eastAsia="Times New Roman" w:hAnsi="Times New Roman"/>
          <w:sz w:val="18"/>
          <w:szCs w:val="18"/>
          <w:color w:val="auto"/>
        </w:rPr>
        <w:t xml:space="preserve"> (Authority), </w:t>
      </w:r>
      <w:r>
        <w:rPr>
          <w:rFonts w:ascii="Times New Roman" w:cs="Times New Roman" w:eastAsia="Times New Roman" w:hAnsi="Times New Roman"/>
          <w:sz w:val="18"/>
          <w:szCs w:val="18"/>
          <w:u w:val="single" w:color="auto"/>
          <w:color w:val="auto"/>
        </w:rPr>
        <w:t>3.2(b)(i)</w:t>
      </w:r>
      <w:r>
        <w:rPr>
          <w:rFonts w:ascii="Times New Roman" w:cs="Times New Roman" w:eastAsia="Times New Roman" w:hAnsi="Times New Roman"/>
          <w:sz w:val="18"/>
          <w:szCs w:val="18"/>
          <w:color w:val="auto"/>
        </w:rPr>
        <w:t xml:space="preserve"> (No Conflict with Organizational Documents), and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(Brokers) shall expire [***] years after the Closing Date (together, the foregoing clauses (i) and (ii), the “</w:t>
      </w:r>
      <w:r>
        <w:rPr>
          <w:rFonts w:ascii="Times New Roman" w:cs="Times New Roman" w:eastAsia="Times New Roman" w:hAnsi="Times New Roman"/>
          <w:sz w:val="18"/>
          <w:szCs w:val="18"/>
          <w:u w:val="single" w:color="auto"/>
          <w:color w:val="auto"/>
        </w:rPr>
        <w:t>Fundamental Reps</w:t>
      </w:r>
      <w:r>
        <w:rPr>
          <w:rFonts w:ascii="Times New Roman" w:cs="Times New Roman" w:eastAsia="Times New Roman" w:hAnsi="Times New Roman"/>
          <w:sz w:val="18"/>
          <w:szCs w:val="18"/>
          <w:color w:val="auto"/>
        </w:rPr>
        <w:t>”) and (iv) all other representations and warranties shall expire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anniversary of the Closing Date (the “</w:t>
      </w:r>
      <w:r>
        <w:rPr>
          <w:rFonts w:ascii="Times New Roman" w:cs="Times New Roman" w:eastAsia="Times New Roman" w:hAnsi="Times New Roman"/>
          <w:sz w:val="18"/>
          <w:szCs w:val="18"/>
          <w:u w:val="single" w:color="auto"/>
          <w:color w:val="auto"/>
        </w:rPr>
        <w:t>General Expiration Date</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color w:val="auto"/>
        </w:rPr>
      </w:pPr>
    </w:p>
    <w:p>
      <w:pPr>
        <w:ind w:right="40" w:firstLine="987"/>
        <w:spacing w:after="0" w:line="258" w:lineRule="auto"/>
        <w:tabs>
          <w:tab w:leader="none" w:pos="124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Seaport delivers to PureTech, before expiration of a representation, warranty, covenant or agreement, either a Claim Notice or an Expected Claim Notice based upon a breach of such representation, warranty, covenant or agreement then the applicable representation, warranty, covenant or agreement shall survive until, but only for purposes of, the resolution of the matter covered by such notice. If the legal proceeding or written claim with respect to which an Expected Claim Notice has been given is definitively withdrawn or resolved in favor of Seaport, Seaport shall promptly so notify PureTech.</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70" w:right="439" w:bottom="1440" w:gutter="0" w:footer="0" w:header="0"/>
        </w:sectPr>
      </w:pPr>
    </w:p>
    <w:bookmarkStart w:id="310" w:name="page311"/>
    <w:bookmarkEnd w:id="31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6.5 </w:t>
      </w:r>
      <w:r>
        <w:rPr>
          <w:rFonts w:ascii="Times New Roman" w:cs="Times New Roman" w:eastAsia="Times New Roman" w:hAnsi="Times New Roman"/>
          <w:sz w:val="18"/>
          <w:szCs w:val="18"/>
          <w:u w:val="single" w:color="auto"/>
          <w:color w:val="auto"/>
        </w:rPr>
        <w:t>Limitations.</w:t>
      </w:r>
    </w:p>
    <w:p>
      <w:pPr>
        <w:spacing w:after="0" w:line="225" w:lineRule="exact"/>
        <w:rPr>
          <w:sz w:val="20"/>
          <w:szCs w:val="20"/>
          <w:color w:val="auto"/>
        </w:rPr>
      </w:pPr>
    </w:p>
    <w:p>
      <w:pPr>
        <w:ind w:right="100" w:firstLine="987"/>
        <w:spacing w:after="0" w:line="258" w:lineRule="auto"/>
        <w:tabs>
          <w:tab w:leader="none" w:pos="123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this Agreement or in any other agreement executed in connection herewith, with respect to claims arising under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6.2(a)</w:t>
      </w:r>
      <w:r>
        <w:rPr>
          <w:rFonts w:ascii="Times New Roman" w:cs="Times New Roman" w:eastAsia="Times New Roman" w:hAnsi="Times New Roman"/>
          <w:sz w:val="18"/>
          <w:szCs w:val="18"/>
          <w:color w:val="auto"/>
        </w:rPr>
        <w:t xml:space="preserve">, the Indemnifying Party shall not be liable until all Damages suffered by the Indemnified Party equal [***] in the aggregate (at which point the Indemnifying Party shall become liable for Damages only in excess of that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limitations set forth in this </w:t>
      </w:r>
      <w:r>
        <w:rPr>
          <w:rFonts w:ascii="Times New Roman" w:cs="Times New Roman" w:eastAsia="Times New Roman" w:hAnsi="Times New Roman"/>
          <w:sz w:val="18"/>
          <w:szCs w:val="18"/>
          <w:u w:val="single" w:color="auto"/>
          <w:color w:val="auto"/>
        </w:rPr>
        <w:t>Section 6.5(a)</w:t>
      </w:r>
      <w:r>
        <w:rPr>
          <w:rFonts w:ascii="Times New Roman" w:cs="Times New Roman" w:eastAsia="Times New Roman" w:hAnsi="Times New Roman"/>
          <w:sz w:val="18"/>
          <w:szCs w:val="18"/>
          <w:color w:val="auto"/>
        </w:rPr>
        <w:t xml:space="preserve"> shall not apply to claims based on fraud, intentional misrepresentation or willful breach or the breach of or inaccuracy in any Fundamental Rep.</w:t>
      </w:r>
    </w:p>
    <w:p>
      <w:pPr>
        <w:spacing w:after="0" w:line="183"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except in the case of fraud, intentional misrepresentation, or willful breach, claims for which shall not be capped, the aggregate amount of Damages that may be recovered by Seaport Indemnified Parties under</w:t>
      </w:r>
    </w:p>
    <w:p>
      <w:pPr>
        <w:ind w:right="5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or by PureTech Indemnified Parties under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shall be (i) [***] for breaches of or inaccuracies in any representations or warranties that are not Fundamental Reps, and [***] for breaches of or inaccuracies in Fundamental Reps.</w:t>
      </w:r>
    </w:p>
    <w:p>
      <w:pPr>
        <w:spacing w:after="0" w:line="181" w:lineRule="exact"/>
        <w:rPr>
          <w:rFonts w:ascii="Times New Roman" w:cs="Times New Roman" w:eastAsia="Times New Roman" w:hAnsi="Times New Roman"/>
          <w:sz w:val="18"/>
          <w:szCs w:val="18"/>
          <w:color w:val="auto"/>
        </w:rPr>
      </w:pPr>
    </w:p>
    <w:p>
      <w:pPr>
        <w:ind w:right="20" w:firstLine="987"/>
        <w:spacing w:after="0" w:line="266" w:lineRule="auto"/>
        <w:tabs>
          <w:tab w:leader="none" w:pos="123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purposes of determining whether there has been a breach of any representation or warranty requiring PureTech or Seaport to indemnify as provided in </w:t>
      </w:r>
      <w:r>
        <w:rPr>
          <w:rFonts w:ascii="Times New Roman" w:cs="Times New Roman" w:eastAsia="Times New Roman" w:hAnsi="Times New Roman"/>
          <w:sz w:val="18"/>
          <w:szCs w:val="18"/>
          <w:u w:val="single" w:color="auto"/>
          <w:color w:val="auto"/>
        </w:rPr>
        <w:t>Section 6.1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6.2(a)</w:t>
      </w:r>
      <w:r>
        <w:rPr>
          <w:rFonts w:ascii="Times New Roman" w:cs="Times New Roman" w:eastAsia="Times New Roman" w:hAnsi="Times New Roman"/>
          <w:sz w:val="18"/>
          <w:szCs w:val="18"/>
          <w:color w:val="auto"/>
        </w:rPr>
        <w:t>, respectively, and the amount of any Damages with respect thereto, the representations and warranties shall be deemed to have been made without any qualifications or limitations as to materiality or similar qualifiers.</w:t>
      </w:r>
    </w:p>
    <w:p>
      <w:pPr>
        <w:spacing w:after="0" w:line="175" w:lineRule="exact"/>
        <w:rPr>
          <w:rFonts w:ascii="Times New Roman" w:cs="Times New Roman" w:eastAsia="Times New Roman" w:hAnsi="Times New Roman"/>
          <w:sz w:val="18"/>
          <w:szCs w:val="18"/>
          <w:color w:val="auto"/>
        </w:rPr>
      </w:pPr>
    </w:p>
    <w:p>
      <w:pPr>
        <w:ind w:right="120" w:firstLine="987"/>
        <w:spacing w:after="0" w:line="289" w:lineRule="auto"/>
        <w:tabs>
          <w:tab w:leader="none" w:pos="1246"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Nothing in this Agreement shall limit the Liability of any Person who perpetrated, participated in or had knowledge of fraud. Notwithstanding anything to the contrary set forth in this Agreement, none of the limitations set forth in this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whether time-based, monetary or otherwise, including the survival periods set forth in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 xml:space="preserve"> and the limitations set forth in this </w:t>
      </w:r>
      <w:r>
        <w:rPr>
          <w:rFonts w:ascii="Times New Roman" w:cs="Times New Roman" w:eastAsia="Times New Roman" w:hAnsi="Times New Roman"/>
          <w:sz w:val="17"/>
          <w:szCs w:val="17"/>
          <w:u w:val="single" w:color="auto"/>
          <w:color w:val="auto"/>
        </w:rPr>
        <w:t>Section 6.5</w:t>
      </w:r>
      <w:r>
        <w:rPr>
          <w:rFonts w:ascii="Times New Roman" w:cs="Times New Roman" w:eastAsia="Times New Roman" w:hAnsi="Times New Roman"/>
          <w:sz w:val="17"/>
          <w:szCs w:val="17"/>
          <w:color w:val="auto"/>
        </w:rPr>
        <w:t>, shall apply to claims for fraud.</w:t>
      </w:r>
    </w:p>
    <w:p>
      <w:pPr>
        <w:spacing w:after="0" w:line="157" w:lineRule="exact"/>
        <w:rPr>
          <w:rFonts w:ascii="Times New Roman" w:cs="Times New Roman" w:eastAsia="Times New Roman" w:hAnsi="Times New Roman"/>
          <w:sz w:val="17"/>
          <w:szCs w:val="17"/>
          <w:color w:val="auto"/>
        </w:rPr>
      </w:pPr>
    </w:p>
    <w:p>
      <w:pPr>
        <w:ind w:right="100" w:firstLine="987"/>
        <w:spacing w:after="0" w:line="258" w:lineRule="auto"/>
        <w:tabs>
          <w:tab w:leader="none" w:pos="123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A BREACH OF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A PARTY’S LIABILITY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WITH RESPECT TO LIABILITIES FOR THIRD PARTY CLAIMS, NONE OF THE PARTIES WILL BE LIABLE FOR ANY CONSEQUENTIAL, EXEMPLARY OR PUNITIVE DAMAGES, ARISING IN ANY WAY OUT OF THIS AGREEMENT OR THE EXERCISE OF ITS RIGHTS HEREUNDER, WHETHER BASED UPON WARRANTY, CONTRACT, TORT, STRICT LIABILITY, OR OTHERWISE, EVEN IF SUCH PARTY HAS BEEN ADVISED OF THE POSSIBILITY OF SUCH DAMAGES OR LOSS.</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Effect of Due Diligence</w:t>
      </w:r>
      <w:r>
        <w:rPr>
          <w:rFonts w:ascii="Times New Roman" w:cs="Times New Roman" w:eastAsia="Times New Roman" w:hAnsi="Times New Roman"/>
          <w:sz w:val="18"/>
          <w:szCs w:val="18"/>
          <w:color w:val="auto"/>
        </w:rPr>
        <w:t>. The rights to indemnification set forth in this Article VI shall not be affected by any investigation conducted by or on behalf of the Party seeking indemnification or any knowledge acquired (or capable of being acquired) by such Party, whether before or after the date of this Agreement, with respect to the inaccuracy or noncompliance with any representation, warranty, covenant or obligation which is the subject of indemnification hereunder.</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0"/>
          </w:cols>
          <w:pgMar w:left="440" w:top="270" w:right="499" w:bottom="1440" w:gutter="0" w:footer="0" w:header="0"/>
        </w:sectPr>
      </w:pPr>
    </w:p>
    <w:bookmarkStart w:id="311" w:name="page312"/>
    <w:bookmarkEnd w:id="311"/>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6.7 </w:t>
      </w:r>
      <w:r>
        <w:rPr>
          <w:rFonts w:ascii="Times New Roman" w:cs="Times New Roman" w:eastAsia="Times New Roman" w:hAnsi="Times New Roman"/>
          <w:sz w:val="18"/>
          <w:szCs w:val="18"/>
          <w:u w:val="single" w:color="auto"/>
          <w:color w:val="auto"/>
        </w:rPr>
        <w:t>Indemnification Payments</w:t>
      </w:r>
      <w:r>
        <w:rPr>
          <w:rFonts w:ascii="Times New Roman" w:cs="Times New Roman" w:eastAsia="Times New Roman" w:hAnsi="Times New Roman"/>
          <w:sz w:val="18"/>
          <w:szCs w:val="18"/>
          <w:color w:val="auto"/>
        </w:rPr>
        <w:t>. All indemnification payments made hereunder shall be treated by all Parties as adjustments to the value of the issuance and payments, if any, made pursuant to Section 1.5 for Tax purposes unless otherwise required by Law.</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DEFINED TERMS; INTERPRETATION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shall have the meanings set forth or as referenced below:</w:t>
      </w:r>
    </w:p>
    <w:p>
      <w:pPr>
        <w:spacing w:after="0" w:line="117"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Person, any other Person who is an “affiliate” of that Person within the meaning of Rule 405 promulgated under the Securities Act of 1933, as amended.</w:t>
      </w:r>
    </w:p>
    <w:p>
      <w:pPr>
        <w:spacing w:after="0" w:line="16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Agreements</w:t>
      </w:r>
      <w:r>
        <w:rPr>
          <w:rFonts w:ascii="Times New Roman" w:cs="Times New Roman" w:eastAsia="Times New Roman" w:hAnsi="Times New Roman"/>
          <w:sz w:val="18"/>
          <w:szCs w:val="18"/>
          <w:color w:val="auto"/>
        </w:rPr>
        <w:t>” means each the Patent Assignment, the Trademark Assignment, the Additional Transfer Documents and the Services Agreement.</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Net Sales</w:t>
      </w:r>
      <w:r>
        <w:rPr>
          <w:rFonts w:ascii="Times New Roman" w:cs="Times New Roman" w:eastAsia="Times New Roman" w:hAnsi="Times New Roman"/>
          <w:sz w:val="18"/>
          <w:szCs w:val="18"/>
          <w:color w:val="auto"/>
        </w:rPr>
        <w:t>” means, with respect to any Seaport Glyph Product, the aggregate, worldwide Net Sales of such Seaport Glyph Product in a single Calendar Year.</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w:t>
      </w:r>
      <w:r>
        <w:rPr>
          <w:rFonts w:ascii="Times New Roman" w:cs="Times New Roman" w:eastAsia="Times New Roman" w:hAnsi="Times New Roman"/>
          <w:sz w:val="18"/>
          <w:szCs w:val="18"/>
          <w:color w:val="auto"/>
        </w:rPr>
        <w:t xml:space="preserve">” means, with respect to any Identified Product Concept, that, as of the date of Seaport’s receipt of the applicable PureTech License Request Notice: (a) such Identified Product Concept is not subject to a license, collaboration or similar arrangement with an independent third party that includes contractual obligations (including an exclusive license, exclusive option, covenant not to sue or noncompete obligation) that will prevent Seaport from granting PureTech the PureTech License with respect to such Identified Product Concept; (b) Seaport is not then actively engaged in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negotiations (as evidenced by a written term sheet that has been delivered by either Seaport or the third party to the other) regarding a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license, collaboration or similar arrangement with an independent third party that will, if consummated, include contractual obligations (including an exclusive license, exclusive option, covenant not to sue or noncompete obligation) that will prevent Seaport from granting PureTech the PureTech License with respect to such Identified Product Concept; (c) the Identified Product Concept is not then the subject </w:t>
      </w:r>
      <w:r>
        <w:rPr>
          <w:rFonts w:ascii="Times New Roman" w:cs="Times New Roman" w:eastAsia="Times New Roman" w:hAnsi="Times New Roman"/>
          <w:sz w:val="18"/>
          <w:szCs w:val="18"/>
          <w:i w:val="1"/>
          <w:iCs w:val="1"/>
          <w:color w:val="auto"/>
        </w:rPr>
        <w:t>of a bona fide</w:t>
      </w:r>
      <w:r>
        <w:rPr>
          <w:rFonts w:ascii="Times New Roman" w:cs="Times New Roman" w:eastAsia="Times New Roman" w:hAnsi="Times New Roman"/>
          <w:sz w:val="18"/>
          <w:szCs w:val="18"/>
          <w:color w:val="auto"/>
        </w:rPr>
        <w:t xml:space="preserve"> internal research and development program at Seaport that includes prodrug generation and/or preclinical or later stage studies then actively in progress with respect to a particular named product candidate, as evidenced by written records confirming such activities have been in progress for [***]; and (d) such Identified Product Concept has not been demonstrated (as demonstrated in peer reviewed scientific literature, unpublished data shared under confidentiality with Seaport, or pursuant to internal research by Seaport, Monash, or any of their Controlled Affiliates, in each case based upon a validated pre-clinical model or clinical evidence) or under experimental investigation at Seaport to be potentially useful as a therapeutic for any CNS Indication, with respect to experimental investigation at Seaport as evidenced by written records confirming such activities have been in progress for [***].</w:t>
      </w:r>
    </w:p>
    <w:p>
      <w:pPr>
        <w:spacing w:after="0" w:line="19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means any and all business records, financial books and records, sales order files, purchase order files, warranty and repair files, supplier lists, customer lists, franchisee, representative and distributor lists, billing and route sheets, mailing lists, studies, surveys, analyses, strategies, plans, forms, designs, diagrams, drawings, specifications, technical data, production and quality control records and formulations, data, databases, user names, passwords, any information related to customers, suppliers, vendors, consultants, marketing channels, and business partners in any medium, but excluding personnel records.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0"/>
          </w:cols>
          <w:pgMar w:left="440" w:top="270" w:right="499" w:bottom="1440" w:gutter="0" w:footer="0" w:header="0"/>
        </w:sectPr>
      </w:pPr>
    </w:p>
    <w:bookmarkStart w:id="312" w:name="page313"/>
    <w:bookmarkEnd w:id="312"/>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a Saturday or Sunday or (b) a day on which banking institutions located in Boston, Massachusetts are permitted or required by Law, executive order or governmental decree to remain closed.</w:t>
      </w:r>
    </w:p>
    <w:p>
      <w:pPr>
        <w:spacing w:after="0" w:line="162"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Calendar Quarter</w:t>
      </w:r>
      <w:r>
        <w:rPr>
          <w:rFonts w:ascii="Times New Roman" w:cs="Times New Roman" w:eastAsia="Times New Roman" w:hAnsi="Times New Roman"/>
          <w:sz w:val="18"/>
          <w:szCs w:val="18"/>
          <w:color w:val="auto"/>
        </w:rPr>
        <w:t>” means a period of three (3) consecutive months ending on the last day of each March, June, September, or December, respectively, except that the first Calendar Quarter during the Term will begin on the Closing and end on the last day of the Calendar Quarter within which the Closing falls.</w:t>
      </w:r>
    </w:p>
    <w:p>
      <w:pPr>
        <w:spacing w:after="0" w:line="17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Calendar Year</w:t>
      </w:r>
      <w:r>
        <w:rPr>
          <w:rFonts w:ascii="Times New Roman" w:cs="Times New Roman" w:eastAsia="Times New Roman" w:hAnsi="Times New Roman"/>
          <w:sz w:val="18"/>
          <w:szCs w:val="18"/>
          <w:color w:val="auto"/>
        </w:rPr>
        <w:t>” means each period of twelve (12) consecutive months beginning on January 1 and ending on December 31, except that the first Calendar Year starts on the Closing and ends on December 31, 2024.</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means any change, event, circumstance or development.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xml:space="preserve">” means, with respect to a Person, that a such Person sells, conveys, exclusively licenses or otherwise disposes of all or substantially all of its property or business or merges with or into or consolidates with any other corporation, limited liability company or other entity [***], or if any other transaction occurs which results in (assuming an immediate and maximum exercise/conversion of all derivative securities issued in the transaction) the stockholder(s) of such Person immediately prior to the transaction owning less than 50% of the voting stock of such Person immediately following the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none of the following shall be considered a Change of Control: (a) a merger effected exclusively for the purpose of changing the domicile of a Person, (b) a transaction in which the stockholders of a Person immediately prior to the transaction own 50% or more of the voting stock or equity interests of the surviving corporation or entity (or, if the surviving corporation or entity is a wholly owned subsidiary, its parent) following the transaction (taking into account only stock of such Person held by such stockholders prior to the transaction), or (c) a financing transaction or series of financing transactions as a consequence of which investors acquire from a Person the equity securities or securities convertible into equity securities of such Person, regardless of whether the stockholders of such Person continue to own 50% or more of the voting stock of such Person immediately following the transaction.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 Notice</w:t>
      </w:r>
      <w:r>
        <w:rPr>
          <w:rFonts w:ascii="Times New Roman" w:cs="Times New Roman" w:eastAsia="Times New Roman" w:hAnsi="Times New Roman"/>
          <w:sz w:val="18"/>
          <w:szCs w:val="18"/>
          <w:color w:val="auto"/>
        </w:rPr>
        <w:t xml:space="preserve">” means written notification which contains (a) a description of the Damages incurred or reasonably expected to be incurred by the Indemnified Party and the Claimed Amount of such Damages, to the extent then known, (b) a statement that the Indemnified Party is entitled to indemnification under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for such Damages and a reasonable explanation of the basis therefor, and (c) a demand for payment in the amount of such Damages.</w:t>
      </w:r>
    </w:p>
    <w:p>
      <w:pPr>
        <w:spacing w:after="0" w:line="180"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“Claimed Amount” means the amount of any Damages incurred or reasonably expected to be incurred by the Indemnified Party in connection with a claim for indemnification pursuant to Section 6.3.</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313" w:name="page314"/>
    <w:bookmarkEnd w:id="313"/>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CNS Indication</w:t>
      </w:r>
      <w:r>
        <w:rPr>
          <w:rFonts w:ascii="Times New Roman" w:cs="Times New Roman" w:eastAsia="Times New Roman" w:hAnsi="Times New Roman"/>
          <w:sz w:val="18"/>
          <w:szCs w:val="18"/>
          <w:color w:val="auto"/>
        </w:rPr>
        <w:t>” means any disease, disorder, or condition primarily affecting or manifesting in the brain, spinal cord, or peripheral nervous system (with the exception of and not including the enteric nervous system), including neurological, psychiatric, neuropsychiatric, pain, mental, and behavioral indications. Without limiting the foregoing, CNS Indications includes all indications within the ICD-10 code range of F01-F99 and G01-99. “CNS Symptoms” means a physiologically expressed symptom primarily manifesting in the brain, spinal cord or peripheral nervous system (with the exception of and not including the enteric nervous system) that is secondary to non-CNS Indications. CNS Indications shall include CNS Symptoms for the purposes of this Agreement. For clarity, indications that do not fall within the first sentence of this definition are not deemed to be CNS Indications by nature of the presence of CNS Symptoms.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transactions contemplated by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Combination Product</w:t>
      </w:r>
      <w:r>
        <w:rPr>
          <w:rFonts w:ascii="Times New Roman" w:cs="Times New Roman" w:eastAsia="Times New Roman" w:hAnsi="Times New Roman"/>
          <w:sz w:val="18"/>
          <w:szCs w:val="18"/>
          <w:color w:val="auto"/>
        </w:rPr>
        <w:t>” has the meaning set forth in the definition of “</w:t>
      </w:r>
      <w:r>
        <w:rPr>
          <w:rFonts w:ascii="Times New Roman" w:cs="Times New Roman" w:eastAsia="Times New Roman" w:hAnsi="Times New Roman"/>
          <w:sz w:val="18"/>
          <w:szCs w:val="18"/>
          <w:u w:val="single" w:color="auto"/>
          <w:color w:val="auto"/>
        </w:rPr>
        <w:t>Net Sales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any and all Information that (a) is disclosed by one Party or its Affiliates to the other Party or its Affiliates under or in connection with this Agreement, whether in oral, written, graphic, or electronic form, and (b) concerns the Products, the Monash License (or the inventions disclosed or claimed therein), any Transferred Asset (including the Glyph Technology and the Monash License), which, in the case of the Confidential Information described in this subsection (b), will be deemed Seaport’s Confidential Information notwithstanding any prior access or knowledge by PureTech or any of its Controlled Affiliates, except that any such Confidential Information to the extent primarily relating to any Identified Product Concepts (and not any then-existing Products of Seaport) that is disclosed by PureTech to Seaport in furtherance of exercise of PureTech’s rights with respect to a PureTech License will be deemed PureTech’s Confidential Information notwithstanding any prior access or knowledge by Seaport or any of its Controlled Affiliates.</w:t>
      </w:r>
    </w:p>
    <w:p>
      <w:pPr>
        <w:spacing w:after="0" w:line="192"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written or oral agreement, contract, subcontract, settlement agreement, lease, sublease, binding understanding, instrument, note, option, bond, mortgage, indenture, trust document, loan or credit agreement, license, sublicense, insurance policy or legally binding commitment or undertaking of any nature, as in effect as of the date hereof or as may hereinafter be in effect.</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Affiliate</w:t>
      </w:r>
      <w:r>
        <w:rPr>
          <w:rFonts w:ascii="Times New Roman" w:cs="Times New Roman" w:eastAsia="Times New Roman" w:hAnsi="Times New Roman"/>
          <w:sz w:val="18"/>
          <w:szCs w:val="18"/>
          <w:color w:val="auto"/>
        </w:rPr>
        <w:t>” means, with respect to any Person, Affiliates of such Person that are controlled by such Person. For purposes of this definition, the term “control” means as to such Person, direct or indirect ownership of (i) more than fifty percent (50%) in the aggregate of the voting power of all outstanding shares entitled to vote at a general election of directors of such Person, (ii) more than fifty percent (50%) of the equity interests in such Person, or (iii) more than fifty percent (50%) of the assets of such Person.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Controlling Party</w:t>
      </w:r>
      <w:r>
        <w:rPr>
          <w:rFonts w:ascii="Times New Roman" w:cs="Times New Roman" w:eastAsia="Times New Roman" w:hAnsi="Times New Roman"/>
          <w:sz w:val="18"/>
          <w:szCs w:val="18"/>
          <w:color w:val="auto"/>
        </w:rPr>
        <w:t>” means the Party controlling the defense of any Third Party Action.</w:t>
      </w:r>
    </w:p>
    <w:p>
      <w:pPr>
        <w:spacing w:after="0" w:line="22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w:t>
      </w:r>
      <w:r>
        <w:rPr>
          <w:rFonts w:ascii="Times New Roman" w:cs="Times New Roman" w:eastAsia="Times New Roman" w:hAnsi="Times New Roman"/>
          <w:sz w:val="18"/>
          <w:szCs w:val="18"/>
          <w:color w:val="auto"/>
        </w:rPr>
        <w:t>” means, with respect to a product or technology and any Intellectual Property, that, but for ownership of or a license under such Intellectual Property, the Utilization of such product or technology by a Person would infringe, violate or misappropriate such Intellectual Property (or, with respect to any claim included in any patent application, would infringe such claim if such patent application were to issue as a patent). “</w:t>
      </w:r>
      <w:r>
        <w:rPr>
          <w:rFonts w:ascii="Times New Roman" w:cs="Times New Roman" w:eastAsia="Times New Roman" w:hAnsi="Times New Roman"/>
          <w:sz w:val="18"/>
          <w:szCs w:val="18"/>
          <w:u w:val="single" w:color="auto"/>
          <w:color w:val="auto"/>
        </w:rPr>
        <w:t>Covers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Covered by</w:t>
      </w:r>
      <w:r>
        <w:rPr>
          <w:rFonts w:ascii="Times New Roman" w:cs="Times New Roman" w:eastAsia="Times New Roman" w:hAnsi="Times New Roman"/>
          <w:sz w:val="18"/>
          <w:szCs w:val="18"/>
          <w:color w:val="auto"/>
        </w:rPr>
        <w:t>” have correlating meanings.</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40" w:top="270" w:right="499" w:bottom="1440" w:gutter="0" w:footer="0" w:header="0"/>
        </w:sectPr>
      </w:pPr>
    </w:p>
    <w:bookmarkStart w:id="314" w:name="page315"/>
    <w:bookmarkEnd w:id="314"/>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Data Security Incident</w:t>
      </w:r>
      <w:r>
        <w:rPr>
          <w:rFonts w:ascii="Times New Roman" w:cs="Times New Roman" w:eastAsia="Times New Roman" w:hAnsi="Times New Roman"/>
          <w:sz w:val="18"/>
          <w:szCs w:val="18"/>
          <w:color w:val="auto"/>
        </w:rPr>
        <w:t>” means any actual, suspected, reported, or claimed breach of security of PureTech Data or any systems, databases, or other locations where PureTech Data is Processed regardless of whether such an incident triggers any notice or reporting obligations under applicable Information Privacy and Security Laws, including any’ actual, suspected, reported, or claimed (a) unauthorized access to, acquisition of, or Processing of PureTech Data; (b) unauthorized or accidental loss, alteration, disclosure, deletion or destruction of PureTech Data; (c) compromise, intrusion, interference with or unauthorized access to networks, systems, databases, servers, or electronic or other media of PureTech’s internal systems on which PureTech Data is Processed or from which PureTech Data may be accessed; or (d) other event that could compromise the privacy, confidentiality, or integrity of PureTech Data.</w:t>
      </w:r>
    </w:p>
    <w:p>
      <w:pPr>
        <w:spacing w:after="0" w:line="189"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Employment Claims</w:t>
      </w:r>
      <w:r>
        <w:rPr>
          <w:rFonts w:ascii="Times New Roman" w:cs="Times New Roman" w:eastAsia="Times New Roman" w:hAnsi="Times New Roman"/>
          <w:sz w:val="18"/>
          <w:szCs w:val="18"/>
          <w:color w:val="auto"/>
        </w:rPr>
        <w:t>” means any and all Legal Proceedings of any kind by any employee, former employee, contractor or former contractor of PureTech or any Controlled Affiliate or, with respect to New Seaport Employees, any Affiliate that in any way arise, in whole or in part, out of employment or a service-providing relationship with PureTech or any Controlled Affiliate or, with respect to New Seaport Employees, any Affiliate through the date hereof (or such later date of employment of the New Seaport Employees), including any termination of employment or a contractual relationship with PureTech or any Controlled Affiliate.</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Law or Permit relating to the environment, occupational health and safety, or exposure of persons or property to Hazardous Materials, including any Law, administrative decision or order pertaining to: the presence of or the treatment, storage, disposal, generation, transportation, handling, distribution, manufacture, processing, use, import, export, labeling, recycling, registration, investigation or remediation of Hazardous Materials or documentation related to the foregoing; air, water and noise pollution; groundwater, sediment and soil contamination; the Release, threatened Release, or accidental Release into the environment, the workplace or other areas of Hazardous Materials, including emissions, discharges, injections, spills, escapes or dumping of Hazardous Materials; transfer of interests in, or control of, real property which may be contaminated; community or worker right- to-know disclosures with respect to Hazardous Materials; the protection of biota, wildlife, marine life and wetlands, and endangered and threatened species; storage tanks, vessels, containers, abandoned or discarded barrels and other closed receptacles; and health and safety of employees and other persons.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entity which is, or at any applicable time was within the meaning of Section 414(b), (c), (m) or (o) of the Code, or Section 4001(a)( 14) or</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(b)(1) of ERISA, or guidance thereunder, a member of (a) a controlled group of corporations, (b) a group of trades or businesses under common control, or (c) an affiliated service group), any of which includes or included PureTech or its Controlled Affiliate.</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40"/>
          </w:cols>
          <w:pgMar w:left="440" w:top="270" w:right="519" w:bottom="1440" w:gutter="0" w:footer="0" w:header="0"/>
        </w:sectPr>
      </w:pPr>
    </w:p>
    <w:bookmarkStart w:id="315" w:name="page316"/>
    <w:bookmarkEnd w:id="315"/>
    <w:p>
      <w:pPr>
        <w:jc w:val="both"/>
        <w:ind w:left="4" w:right="3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Excluded Contract</w:t>
      </w:r>
      <w:r>
        <w:rPr>
          <w:rFonts w:ascii="Times New Roman" w:cs="Times New Roman" w:eastAsia="Times New Roman" w:hAnsi="Times New Roman"/>
          <w:sz w:val="18"/>
          <w:szCs w:val="18"/>
          <w:color w:val="auto"/>
        </w:rPr>
        <w:t xml:space="preserve">” means (i) this Agreement and each of the Ancillary Agreements, (ii) any Contract that is an Organizational Document of PureTech, (iii) any Contract that is an Excluded Asset, (iv) any PureTech Benefit Arrangement and (v) any Contract set forth on </w:t>
      </w:r>
      <w:r>
        <w:rPr>
          <w:rFonts w:ascii="Times New Roman" w:cs="Times New Roman" w:eastAsia="Times New Roman" w:hAnsi="Times New Roman"/>
          <w:sz w:val="18"/>
          <w:szCs w:val="18"/>
          <w:u w:val="single" w:color="auto"/>
          <w:color w:val="auto"/>
        </w:rPr>
        <w:t>Schedule 7.1(a)</w:t>
      </w:r>
      <w:r>
        <w:rPr>
          <w:rFonts w:ascii="Times New Roman" w:cs="Times New Roman" w:eastAsia="Times New Roman" w:hAnsi="Times New Roman"/>
          <w:sz w:val="18"/>
          <w:szCs w:val="18"/>
          <w:color w:val="auto"/>
        </w:rPr>
        <w:t xml:space="preserve"> (it being understood and agreed that, within [***] after the Closing Date, the Parties may, but shall not be obligated to, modify such </w:t>
      </w:r>
      <w:r>
        <w:rPr>
          <w:rFonts w:ascii="Times New Roman" w:cs="Times New Roman" w:eastAsia="Times New Roman" w:hAnsi="Times New Roman"/>
          <w:sz w:val="18"/>
          <w:szCs w:val="18"/>
          <w:u w:val="single" w:color="auto"/>
          <w:color w:val="auto"/>
        </w:rPr>
        <w:t>Schedule 7.1(a)</w:t>
      </w:r>
      <w:r>
        <w:rPr>
          <w:rFonts w:ascii="Times New Roman" w:cs="Times New Roman" w:eastAsia="Times New Roman" w:hAnsi="Times New Roman"/>
          <w:sz w:val="18"/>
          <w:szCs w:val="18"/>
          <w:color w:val="auto"/>
        </w:rPr>
        <w:t xml:space="preserve"> as mutually agreed in writing by the Parties to add to, delete from or modify the list of Contracts contained therein).</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Existing Product</w:t>
      </w:r>
      <w:r>
        <w:rPr>
          <w:rFonts w:ascii="Times New Roman" w:cs="Times New Roman" w:eastAsia="Times New Roman" w:hAnsi="Times New Roman"/>
          <w:sz w:val="17"/>
          <w:szCs w:val="17"/>
          <w:color w:val="auto"/>
        </w:rPr>
        <w:t>” means the following product candidates currently being developed by PureTech: (i) LYT-300: Allopregnanolone; (ii) LYT-310:</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Cannabidiol; (iii) LYT-320: Agomelatine; (iv) LYT-348 [***].</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U.S. Food and Drug Administration, including all agencies under its control, and any successor agency thereto.</w:t>
      </w:r>
    </w:p>
    <w:p>
      <w:pPr>
        <w:spacing w:after="0" w:line="225" w:lineRule="exact"/>
        <w:rPr>
          <w:sz w:val="20"/>
          <w:szCs w:val="20"/>
          <w:color w:val="auto"/>
        </w:rPr>
      </w:pPr>
    </w:p>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Commercial Sale</w:t>
      </w:r>
      <w:r>
        <w:rPr>
          <w:rFonts w:ascii="Times New Roman" w:cs="Times New Roman" w:eastAsia="Times New Roman" w:hAnsi="Times New Roman"/>
          <w:sz w:val="18"/>
          <w:szCs w:val="18"/>
          <w:color w:val="auto"/>
        </w:rPr>
        <w:t>” means, with respect to a Seaport Glyph Product in any country, the first sale of such Seaport Glyph Product to a Third Party (excluding Product Licensees and distributors) in such country for distribution, use or consumption after Product Approval has been obtained for such Seaport Glyph Product in such country. First Commercial Sale excludes sales for purposes of testing the Product in a clinical trial and any distribution or other sale at or below cost solely for patient assistance, named patient use, compassionate use, or test marketing programs or non-registrational studies or similar programs or studies. For clarity, First Commercial Sale shall be determined on a Product-by-Product and country-by-country (or region-by-region) basis, as applicable.</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 consistently applied.</w:t>
      </w:r>
    </w:p>
    <w:p>
      <w:pPr>
        <w:spacing w:after="0" w:line="225" w:lineRule="exact"/>
        <w:rPr>
          <w:sz w:val="20"/>
          <w:szCs w:val="20"/>
          <w:color w:val="auto"/>
        </w:rPr>
      </w:pPr>
    </w:p>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Glyph IP</w:t>
      </w:r>
      <w:r>
        <w:rPr>
          <w:rFonts w:ascii="Times New Roman" w:cs="Times New Roman" w:eastAsia="Times New Roman" w:hAnsi="Times New Roman"/>
          <w:sz w:val="18"/>
          <w:szCs w:val="18"/>
          <w:color w:val="auto"/>
        </w:rPr>
        <w:t>” means any Intellectual Property (i) within the Transferred Assets or (ii) assigned to Seaport pursuant to the Services Agreement as described in Section 4.8.</w:t>
      </w:r>
    </w:p>
    <w:p>
      <w:pPr>
        <w:spacing w:after="0" w:line="162" w:lineRule="exact"/>
        <w:rPr>
          <w:sz w:val="20"/>
          <w:szCs w:val="20"/>
          <w:color w:val="auto"/>
        </w:rPr>
      </w:pPr>
    </w:p>
    <w:p>
      <w:pPr>
        <w:ind w:left="4"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Glyph Technology</w:t>
      </w:r>
      <w:r>
        <w:rPr>
          <w:rFonts w:ascii="Times New Roman" w:cs="Times New Roman" w:eastAsia="Times New Roman" w:hAnsi="Times New Roman"/>
          <w:sz w:val="17"/>
          <w:szCs w:val="17"/>
          <w:color w:val="auto"/>
        </w:rPr>
        <w:t>” means all technology related to, and products resulting from, a technology platform designed and exemplified as a glyceride-containing prodrug. Without limiting the foregoing, the Glyph Technology includes (i) all Intellectual Property licensed under the Monash License, and</w:t>
      </w:r>
    </w:p>
    <w:p>
      <w:pPr>
        <w:spacing w:after="0" w:line="1" w:lineRule="exact"/>
        <w:rPr>
          <w:sz w:val="20"/>
          <w:szCs w:val="20"/>
          <w:color w:val="auto"/>
        </w:rPr>
      </w:pPr>
    </w:p>
    <w:p>
      <w:pPr>
        <w:ind w:left="4" w:right="380" w:hanging="4"/>
        <w:spacing w:after="0" w:line="277" w:lineRule="auto"/>
        <w:tabs>
          <w:tab w:leader="none" w:pos="269"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Intellectual Property invented, developed, generated, acquired or reduced to practice by or on behalf of PureTech or its Affiliates prior to the Effective Date in the exercise of its rights under the Monash License, including any improvements, modifications or derivates of the Intellectual Property licensed under the Monash License and all products arising out of the use of the Intellectual Property licensed under the Monash License.</w:t>
      </w:r>
    </w:p>
    <w:p>
      <w:pPr>
        <w:spacing w:after="0" w:line="169" w:lineRule="exact"/>
        <w:rPr>
          <w:sz w:val="20"/>
          <w:szCs w:val="20"/>
          <w:color w:val="auto"/>
        </w:rPr>
      </w:pPr>
    </w:p>
    <w:p>
      <w:pPr>
        <w:ind w:left="4" w:right="6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federal, state, local or foreign government or any court, arbitrational tribunal, administrative agency or commission or government authority acting under the authority of the federal or any state, local or foreign government.</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4"/>
          </w:cols>
          <w:pgMar w:left="436" w:top="270" w:right="479" w:bottom="1440" w:gutter="0" w:footer="0" w:header="0"/>
        </w:sectPr>
      </w:pPr>
    </w:p>
    <w:bookmarkStart w:id="316" w:name="page317"/>
    <w:bookmarkEnd w:id="316"/>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means any substance, waste or material that is subject to regulation under any Environmental Law, or has been designated or listed by any Governmental Entity or in or pursuant to any applicable Environmental Law to be radioactive, toxic, a pollutant or contaminant, hazardous or otherwise a danger to health or the environment, including PCBs, asbestos, oil, petroleum and petroleum products (including fractions thereof), urea-formaldehyde, radioactive materials, solid waste, special waste, PFAS (including PFOA and PFOS) and all substances listed as hazardous substances pursuant to the Comprehensive Environmental Response, Compensation, and Liability Act of 1980, or defined as a solid or hazardous waste pursuant to the Resource Conservation and Recovery Act of 1976, or regulated under the Occupational Safety and Health Act, or pursuant to analogous state Laws or regulations.</w:t>
      </w:r>
    </w:p>
    <w:p>
      <w:pPr>
        <w:spacing w:after="0" w:line="18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with respect to any Person means, as of any time of determination, without duplication, the aggregate amount of: (a) all indebtedness or other obligation for borrowed money, (b) all indebtedness evidenced by any note, bond, debenture, mortgage or other debt instrument or debt security or similar instrument, (c) all obligations with respect to leases that would be required to be capitalized or otherwise recorded as finance leases pursuant to GAAP, (d) amounts owing as deferred purchase price of property or services (other than trade payables and any accrued capital expenditures in the ordinary course of business), including, for the avoidance of doubt, any earnouts, seller notes, holdbacks or similar obligations related to past acquisitions, (e) obligations under any performance, surety or similar bond or any letter of credit, but in each case only to the extent drawn or called (and not paid in full or otherwise discharged) and excluding any obligations in respect of undrawn letters of credit, (f) all obligations arising from or under, or otherwise in respect of any unpaid commissions; (g) all obligations secured by (or for which the holder of such indebtedness has an existing right, contingent or otherwise, to be secured by) any Lien on property associated with the Products; (h) all obligations under conditional sale or other title retention agreements relating to property or assets associated with the Products; (i) all outstanding obligations to current and former equityholders in their capacity as such, including any unpaid dividends or distributions or any unpaid management or advisory fees under any management services or similar agreements with any Affiliate or holder of equity interests of PureTech that are associated with the Products; and (j) all obligations with respect to government assistance programs that are subject to clawbacks or other mandatory repayments (whether or not such terms are triggered prior to the date of determination); (k) with respect to any indebtedness of a type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above of any Person that is guaranteed by PureTech or that is secured by any of the Transferred Assets; (1) for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above, all accrued and unpaid interest thereon, if any, and any fees, costs, expenses or other payment obligations associated with any required repayment of such indebtedness on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Indebtedness shall not include any Retained Liability.</w:t>
      </w:r>
    </w:p>
    <w:p>
      <w:pPr>
        <w:spacing w:after="0" w:line="193"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mean a Seaport Indemnified Party or a PureTech Indemnified Party, as applicable, that is eligible for indemnification under the terms of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VIII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mean Seaport or PureTech, as applicable, that is obligated to provide indemnification under the terms of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means any and all information, results and data whatsoever, in any tangible or intangible form, including without limitation, inventions, practices, methods, techniques, specifications, formulations, formulae, copyrights, software, knowledge, know-how, skill, experience, trade secrets, ideas, concepts, processes, protocols, materials, samples, analytical and quality control data, any other results of experimentation and testing, studies, procedures, drawings, and legal information and descriptions, and all intellectual property rights therein.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70" w:right="479" w:bottom="1440" w:gutter="0" w:footer="0" w:header="0"/>
        </w:sectPr>
      </w:pPr>
    </w:p>
    <w:bookmarkStart w:id="317" w:name="page318"/>
    <w:bookmarkEnd w:id="317"/>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Information Privacy and Security Laws</w:t>
      </w:r>
      <w:r>
        <w:rPr>
          <w:rFonts w:ascii="Times New Roman" w:cs="Times New Roman" w:eastAsia="Times New Roman" w:hAnsi="Times New Roman"/>
          <w:sz w:val="18"/>
          <w:szCs w:val="18"/>
          <w:color w:val="auto"/>
        </w:rPr>
        <w:t>” means: any and all applicable Laws concerning the Processing of Personal Data, including, to the extent applicable, the Federal Trade Commission (FTC) Act, as applied or interpreted by the FTC; the Children’s Online Privacy Protection Act (COPPA) and the FTC’s COPPA rule; the Health Insurance Portability and Accountability Act of 1996 (HIPAA) and all applicable HIPAA rules and regulations; state data protection Laws, including Massachusetts 201 CMR 17.00: Standards for the Protection of Personal Information of Residents of the Commonwealth; state data breach notification Laws; state privacy and consumer protection Laws; and all other applicable privacy, data security, data protection, and consumer protection laws of any jurisdiction.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 Policies</w:t>
      </w:r>
      <w:r>
        <w:rPr>
          <w:rFonts w:ascii="Times New Roman" w:cs="Times New Roman" w:eastAsia="Times New Roman" w:hAnsi="Times New Roman"/>
          <w:sz w:val="18"/>
          <w:szCs w:val="18"/>
          <w:color w:val="auto"/>
        </w:rPr>
        <w:t>” means all insurance policies carried by PureTech or for the benefit of PureTech or the Products.</w:t>
      </w:r>
    </w:p>
    <w:p>
      <w:pPr>
        <w:spacing w:after="0" w:line="225"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any and all intellectual property rights and other similar proprietary rights in any jurisdiction, whether registered or unregistered, whether owned or held for use under license, including all rights and interests pertaining to or deriving from (1) Patents, trademarks, service marks, trade names, domain names, copyrights, designs and trade secrets, (2) applications for and registrations of such Patents, including reexaminations, extensions and counterparts claiming priority therefrom, inventions, invention disclosures, discoveries and improvements, whether or not patentable, trademarks, service marks, trade names, domain names, copyrights and designs, (3) proprietary or confidential processes, formulae, methods, schematics, technology, know-how and computer software programs and applications, including data files, source code, object code and software-related specifications and documentation, and (4) other tangible or intangible proprietary or confidential information and materials, including proprietary databases and data compilations, in each case, including any registrations of, applications to register, and renewals and extensions of, any of the foregoing with or by any Governmental Entity in any jurisdiction.</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Internal Revenue Service.</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means: (a) the entire inventory of Products and the drug substances or active pharmaceutical ingredient (API) for Products, including any non-GMP and GMP materials used in the manufacture of Products; and (b) any reagents, cell lines, biological or chemical materials, samples or other materials used exclusively or primarily in research or development of Products; in each case ((a) and (b)) that is owned or held for use by PureTech or any of its Affiliates.</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United States federal, state or local or foreign law, common law, statute, standard, ordinance, code, rule, regulation, resolution or promulgation, or any decree, order, injunction, rule, judgment, consent of or by any Governmental Entity, or any Permit or similar right granted under any of the foregoing, or any similar provision having the force or effect of law.</w:t>
      </w:r>
    </w:p>
    <w:p>
      <w:pPr>
        <w:spacing w:after="0" w:line="176"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Proceeding</w:t>
      </w:r>
      <w:r>
        <w:rPr>
          <w:rFonts w:ascii="Times New Roman" w:cs="Times New Roman" w:eastAsia="Times New Roman" w:hAnsi="Times New Roman"/>
          <w:sz w:val="18"/>
          <w:szCs w:val="18"/>
          <w:color w:val="auto"/>
        </w:rPr>
        <w:t>” means any action, suit, proceeding (including administrative proceeding), claim, complaint, hearing, information request, notice of violation, arbitration, inquiry or investigation of or before any Governmental Entity or before any arbitrator.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70" w:right="479" w:bottom="1440" w:gutter="0" w:footer="0" w:header="0"/>
        </w:sectPr>
      </w:pPr>
    </w:p>
    <w:bookmarkStart w:id="318" w:name="page319"/>
    <w:bookmarkEnd w:id="318"/>
    <w:p>
      <w:pPr>
        <w:jc w:val="both"/>
        <w:ind w:right="3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means any debt, loss, damage, adverse claim, fine, fee, penalty, Tax, expense, liability or obligation of any kind, whether direct or indirect, known or unknown, asserted or unasserted, accrued or unaccrued, absolute, contingent, matured or unmatured, liquidated or unliquidated, disputed or undisputed, due or to become due and whether in contract, tort, strict liability or otherwise, and including all costs and expenses relating thereto including all fees, disbursements and expenses of legal counsel, experts, engineers and consultants and costs of investigation.</w:t>
      </w:r>
    </w:p>
    <w:p>
      <w:pPr>
        <w:spacing w:after="0" w:line="180"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security interest, encumbrance, charge or other lien (whether arising by contract or by operation of Law), other than (a) mechanic’s, material men’s and similar liens for amounts not yet due and payable arising in the Ordinary Course of Business of the applicable PureTech and not material to PureTech. the Products or the Acquired Assets and (b) liens for Taxes, assessments or other governmental charges not yet due and payable or not yet delinquent (or which may be paid without interest or penalties) and for which adequate reserves have been established.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 European Market</w:t>
      </w:r>
      <w:r>
        <w:rPr>
          <w:rFonts w:ascii="Times New Roman" w:cs="Times New Roman" w:eastAsia="Times New Roman" w:hAnsi="Times New Roman"/>
          <w:sz w:val="18"/>
          <w:szCs w:val="18"/>
          <w:color w:val="auto"/>
        </w:rPr>
        <w:t>” means France, Germany, Italy, Spain or the United Kingdom.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Monash</w:t>
      </w:r>
      <w:r>
        <w:rPr>
          <w:rFonts w:ascii="Times New Roman" w:cs="Times New Roman" w:eastAsia="Times New Roman" w:hAnsi="Times New Roman"/>
          <w:sz w:val="18"/>
          <w:szCs w:val="18"/>
          <w:color w:val="auto"/>
        </w:rPr>
        <w:t>” has the meaning set forth in the definition of “</w:t>
      </w:r>
      <w:r>
        <w:rPr>
          <w:rFonts w:ascii="Times New Roman" w:cs="Times New Roman" w:eastAsia="Times New Roman" w:hAnsi="Times New Roman"/>
          <w:sz w:val="18"/>
          <w:szCs w:val="18"/>
          <w:u w:val="single" w:color="auto"/>
          <w:color w:val="auto"/>
        </w:rPr>
        <w:t>Monash License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Monash License</w:t>
      </w:r>
      <w:r>
        <w:rPr>
          <w:rFonts w:ascii="Times New Roman" w:cs="Times New Roman" w:eastAsia="Times New Roman" w:hAnsi="Times New Roman"/>
          <w:sz w:val="18"/>
          <w:szCs w:val="18"/>
          <w:color w:val="auto"/>
        </w:rPr>
        <w:t>” means that certain License Agreement between Monash University, ABN 12 377 614 012, a body politic and corporate constituted in accordance with the Monash University Act 2009 of Wellington Road, Clayton, Victoria, Australia 3800 (“</w:t>
      </w:r>
      <w:r>
        <w:rPr>
          <w:rFonts w:ascii="Times New Roman" w:cs="Times New Roman" w:eastAsia="Times New Roman" w:hAnsi="Times New Roman"/>
          <w:sz w:val="18"/>
          <w:szCs w:val="18"/>
          <w:u w:val="single" w:color="auto"/>
          <w:color w:val="auto"/>
        </w:rPr>
        <w:t>Monash</w:t>
      </w:r>
      <w:r>
        <w:rPr>
          <w:rFonts w:ascii="Times New Roman" w:cs="Times New Roman" w:eastAsia="Times New Roman" w:hAnsi="Times New Roman"/>
          <w:sz w:val="18"/>
          <w:szCs w:val="18"/>
          <w:color w:val="auto"/>
        </w:rPr>
        <w:t>”) and PureTech, dated August 1, 2017, as amended.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Income</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Sales</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Seaport Employees</w:t>
      </w:r>
      <w:r>
        <w:rPr>
          <w:rFonts w:ascii="Times New Roman" w:cs="Times New Roman" w:eastAsia="Times New Roman" w:hAnsi="Times New Roman"/>
          <w:sz w:val="18"/>
          <w:szCs w:val="18"/>
          <w:color w:val="auto"/>
        </w:rPr>
        <w:t>” means the employees of PureTech and its Controlled Affiliates that leave employment with those employers directly to become employees of Seaport and its Controlled Affiliates.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Non-controlling Party</w:t>
      </w:r>
      <w:r>
        <w:rPr>
          <w:rFonts w:ascii="Times New Roman" w:cs="Times New Roman" w:eastAsia="Times New Roman" w:hAnsi="Times New Roman"/>
          <w:sz w:val="18"/>
          <w:szCs w:val="18"/>
          <w:color w:val="auto"/>
        </w:rPr>
        <w:t>” means the Party not controlling the defense of any Third Party Action.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Non-CNS Indication</w:t>
      </w:r>
      <w:r>
        <w:rPr>
          <w:rFonts w:ascii="Times New Roman" w:cs="Times New Roman" w:eastAsia="Times New Roman" w:hAnsi="Times New Roman"/>
          <w:sz w:val="18"/>
          <w:szCs w:val="18"/>
          <w:color w:val="auto"/>
        </w:rPr>
        <w:t>” means any indication that is not a CNS Indication.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“Order” means any judicial, administrative or arbitral order, award, decree, injunction, lawsuit, proceeding or stipulation.</w:t>
      </w:r>
    </w:p>
    <w:p>
      <w:pPr>
        <w:spacing w:after="0" w:line="225"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 of Business</w:t>
      </w:r>
      <w:r>
        <w:rPr>
          <w:rFonts w:ascii="Times New Roman" w:cs="Times New Roman" w:eastAsia="Times New Roman" w:hAnsi="Times New Roman"/>
          <w:sz w:val="18"/>
          <w:szCs w:val="18"/>
          <w:color w:val="auto"/>
        </w:rPr>
        <w:t>” means the ordinary course of business consistent with past custom and practice (including with respect to frequency and amount).</w:t>
      </w:r>
    </w:p>
    <w:p>
      <w:pPr>
        <w:spacing w:after="0" w:line="162"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with respect to a corporation, the certificate of incorporation or articles of incorporation and bylaws of such corporation; with respect to a general partnership, the partnership agreement establishing such partnership; with respect to a limited liability company, the articles of organization and the operating agreement of such company, with respect to a joint venture, the joint venture agreement establishing such joint venture; with respect to a limited partnership, the limited partnership agreement and certificate of limited partnership for such entity; with respect to a trust, the instrument establishing such trust; and with respect to any other entity, any charter document or other document executed, adopted, approved, ratified or filed in connection with the formation, creation, constitution or organization of such entity.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70" w:right="479" w:bottom="1440" w:gutter="0" w:footer="0" w:header="0"/>
        </w:sectPr>
      </w:pPr>
    </w:p>
    <w:bookmarkStart w:id="319" w:name="page320"/>
    <w:bookmarkEnd w:id="319"/>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Patent</w:t>
      </w:r>
      <w:r>
        <w:rPr>
          <w:rFonts w:ascii="Times New Roman" w:cs="Times New Roman" w:eastAsia="Times New Roman" w:hAnsi="Times New Roman"/>
          <w:sz w:val="18"/>
          <w:szCs w:val="18"/>
          <w:color w:val="auto"/>
        </w:rPr>
        <w:t>” means: (i) any patent, patent application or utility models (including any provisional application, priority application, or international applications) in any country or multinational jurisdiction (including any converted application, continuation, continuation-in- part, continued prosecution application or divisional of any such application, any reissue, renewal, extension, registration, confirmation, revalidation, restoration, substitution, reexamination, supplementary protection certificate, pediatric exclusivity period or the like of any such patent); (ii) any foreign equivalent of any patent or patent application described in clause (i); and (iii) all rights of priority in any of the foregoing.</w:t>
      </w:r>
    </w:p>
    <w:p>
      <w:pPr>
        <w:spacing w:after="0" w:line="183"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means any federal, state or local, domestic or foreign governmental consent, approval, order, authorization, permit, concession, registration, franchise, license or similar right.</w:t>
      </w:r>
    </w:p>
    <w:p>
      <w:pPr>
        <w:spacing w:after="0" w:line="16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limited liability company, firm, joint venture, association, joint-stock company, trust, unincorporated organization, Governmental Entity or other entity.</w:t>
      </w:r>
    </w:p>
    <w:p>
      <w:pPr>
        <w:spacing w:after="0" w:line="16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any data or information in any media that relates to an identified or identifiable specific individual, browser, computer or other device, and any other data or information that constitutes personal data, personal information, or personally identifiable information under any applicable Law, including the Information Privacy and Security Laws, and includes a natural person’s first and last name, home or other physical address, telephone number, e-mail address, username and password, photograph, video or audio file that contains a person’s image or voice, Social Security number, driver’s license number, passport number or other government-issued identification number, biometric information, credit or debit card or other financial information, or customer or account number, IP address, cookie information, identification number, location data that relates to an identifiable person, browser, computer or device, and is capable of determining with reasonable specificity the actual physical location of such person, browser, computer or device, an online or other persistent identifier, or one or more factors specific to the physical, physiological, genetic, mental, economic, cultural or social identity of an individual but only to the extent that any of the foregoing relates to an identified or identifiable specific individual or device.</w:t>
      </w:r>
    </w:p>
    <w:p>
      <w:pPr>
        <w:spacing w:after="0" w:line="194"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Processed</w:t>
      </w:r>
      <w:r>
        <w:rPr>
          <w:rFonts w:ascii="Times New Roman" w:cs="Times New Roman" w:eastAsia="Times New Roman" w:hAnsi="Times New Roman"/>
          <w:sz w:val="18"/>
          <w:szCs w:val="18"/>
          <w:color w:val="auto"/>
        </w:rPr>
        <w:t>” means any operation or set of operations or set of operations that is performed upon data or information, whether or not by automatic means, such as collection, recording, organization, structuring, storage, access, acquisition, creation, derivation, recordation, organization, storage, adaptation or alteration, correction, retrieval, maintenance, consultation, use, disclosure, dissemination, transmission, transfer, or otherwise making available, alignment, combination, blocking, storage, restriction, retention, deleting, erasure, or destruction.</w:t>
      </w:r>
    </w:p>
    <w:p>
      <w:pPr>
        <w:spacing w:after="0" w:line="180"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w:t>
      </w:r>
      <w:r>
        <w:rPr>
          <w:rFonts w:ascii="Times New Roman" w:cs="Times New Roman" w:eastAsia="Times New Roman" w:hAnsi="Times New Roman"/>
          <w:sz w:val="18"/>
          <w:szCs w:val="18"/>
          <w:color w:val="auto"/>
        </w:rPr>
        <w:t>” means: (a) the Existing Products; and (b) any other pharmaceutical product or product candidate that incorporates or utilizes, or is derived from, Glyph Technology.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320" w:name="page321"/>
    <w:bookmarkEnd w:id="320"/>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Product Approval</w:t>
      </w:r>
      <w:r>
        <w:rPr>
          <w:rFonts w:ascii="Times New Roman" w:cs="Times New Roman" w:eastAsia="Times New Roman" w:hAnsi="Times New Roman"/>
          <w:sz w:val="18"/>
          <w:szCs w:val="18"/>
          <w:color w:val="auto"/>
        </w:rPr>
        <w:t>” means, as applicable, on a jurisdiction by jurisdiction basis, with respect to a given Product, any and all approvals, licenses, registrations or authorizations of the applicable Regulatory Authority necessary for the development, manufacture, packaging, labeling, storage, import, export, marketing, distribution, sale, use or intended use of such Product and reimbursement, if applicable, in and for the relevant jurisdiction, including any Regulatory Application.</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 IND</w:t>
      </w:r>
      <w:r>
        <w:rPr>
          <w:rFonts w:ascii="Times New Roman" w:cs="Times New Roman" w:eastAsia="Times New Roman" w:hAnsi="Times New Roman"/>
          <w:sz w:val="18"/>
          <w:szCs w:val="18"/>
          <w:color w:val="auto"/>
        </w:rPr>
        <w:t>” means any IND(s) for any Product(s), together with all amendments, modifications, supplements and updates thereto.</w:t>
      </w:r>
    </w:p>
    <w:p>
      <w:pPr>
        <w:spacing w:after="0" w:line="225" w:lineRule="exact"/>
        <w:rPr>
          <w:sz w:val="20"/>
          <w:szCs w:val="20"/>
          <w:color w:val="auto"/>
        </w:rPr>
      </w:pPr>
    </w:p>
    <w:p>
      <w:pPr>
        <w:ind w:left="4" w:right="3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 License Agreement</w:t>
      </w:r>
      <w:r>
        <w:rPr>
          <w:rFonts w:ascii="Times New Roman" w:cs="Times New Roman" w:eastAsia="Times New Roman" w:hAnsi="Times New Roman"/>
          <w:sz w:val="18"/>
          <w:szCs w:val="18"/>
          <w:color w:val="auto"/>
        </w:rPr>
        <w:t>” means any agreement pursuant to which Seaport or any of its Controlled Affiliates grants a Third Party (each, a “</w:t>
      </w:r>
      <w:r>
        <w:rPr>
          <w:rFonts w:ascii="Times New Roman" w:cs="Times New Roman" w:eastAsia="Times New Roman" w:hAnsi="Times New Roman"/>
          <w:sz w:val="18"/>
          <w:szCs w:val="18"/>
          <w:u w:val="single" w:color="auto"/>
          <w:color w:val="auto"/>
        </w:rPr>
        <w:t>Product Licensee</w:t>
      </w:r>
      <w:r>
        <w:rPr>
          <w:rFonts w:ascii="Times New Roman" w:cs="Times New Roman" w:eastAsia="Times New Roman" w:hAnsi="Times New Roman"/>
          <w:sz w:val="18"/>
          <w:szCs w:val="18"/>
          <w:color w:val="auto"/>
        </w:rPr>
        <w:t>”) a license (or similar rights) under the Glyph IP to develop and/or commercialize any Product in any country in the Territory, including a license or agreement granting marketing and/or distribution rights with respect to Products to such Third Party; but excluding (i) any agreement pursuant to which Seaport or any of its Controlled Affiliates grants rights to a Third Party to perform development or commercialization activities on behalf of Seaport or its Controlled Affiliates where such persons are compensated at market rates for services rendered, and (ii) any agreement that is entered into as part of, or otherwise results in, a Change of Control.</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 Licensee</w:t>
      </w:r>
      <w:r>
        <w:rPr>
          <w:rFonts w:ascii="Times New Roman" w:cs="Times New Roman" w:eastAsia="Times New Roman" w:hAnsi="Times New Roman"/>
          <w:sz w:val="18"/>
          <w:szCs w:val="18"/>
          <w:color w:val="auto"/>
        </w:rPr>
        <w:t>” has the meaning set forth in the definition of “</w:t>
      </w:r>
      <w:r>
        <w:rPr>
          <w:rFonts w:ascii="Times New Roman" w:cs="Times New Roman" w:eastAsia="Times New Roman" w:hAnsi="Times New Roman"/>
          <w:sz w:val="18"/>
          <w:szCs w:val="18"/>
          <w:u w:val="single" w:color="auto"/>
          <w:color w:val="auto"/>
        </w:rPr>
        <w:t>Product License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2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PureTech Benefit Arrangement</w:t>
      </w:r>
      <w:r>
        <w:rPr>
          <w:rFonts w:ascii="Times New Roman" w:cs="Times New Roman" w:eastAsia="Times New Roman" w:hAnsi="Times New Roman"/>
          <w:sz w:val="17"/>
          <w:szCs w:val="17"/>
          <w:color w:val="auto"/>
        </w:rPr>
        <w:t>” means any (a) “employee benefit plans,” as defined in Section 3(3) of ERISA, together with plans or arrangements that would be so defined if they were not (i) otherwise exempt from ERISA by Section 3(3) of ERISA or another Section of ERISA or</w:t>
      </w:r>
    </w:p>
    <w:p>
      <w:pPr>
        <w:spacing w:after="0" w:line="1" w:lineRule="exact"/>
        <w:rPr>
          <w:sz w:val="20"/>
          <w:szCs w:val="20"/>
          <w:color w:val="auto"/>
        </w:rPr>
      </w:pPr>
    </w:p>
    <w:p>
      <w:pPr>
        <w:ind w:left="4" w:hanging="4"/>
        <w:spacing w:after="0" w:line="253" w:lineRule="auto"/>
        <w:tabs>
          <w:tab w:leader="none" w:pos="26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individually negotiated or applicable only to one individual and (b) any other written or oral benefit arrangement or obligation to provide benefits or compensation for services rendered, in each case within this sentence in respect of any employees, independent contractors, directors, officers or stockholders of PureTech or any Controlled Affiliate, which is sponsored or maintained by PureTech or any Controlled Affiliate or with respect to which PureTech or any Controlled Affiliate has made or is required to make payments, transfers or contributions or has or may have any Liability, directly or through its ERISA Affiliates.</w:t>
      </w:r>
    </w:p>
    <w:p>
      <w:pPr>
        <w:spacing w:after="0" w:line="187" w:lineRule="exact"/>
        <w:rPr>
          <w:sz w:val="20"/>
          <w:szCs w:val="20"/>
          <w:color w:val="auto"/>
        </w:rPr>
      </w:pPr>
    </w:p>
    <w:p>
      <w:pPr>
        <w:ind w:left="4"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PureTech Data</w:t>
      </w:r>
      <w:r>
        <w:rPr>
          <w:rFonts w:ascii="Times New Roman" w:cs="Times New Roman" w:eastAsia="Times New Roman" w:hAnsi="Times New Roman"/>
          <w:sz w:val="18"/>
          <w:szCs w:val="18"/>
          <w:color w:val="auto"/>
        </w:rPr>
        <w:t>” means all data and information stored or Processed by or on behalf of PureTech or Controlled Affiliate, including without limitation Personal Data.</w:t>
      </w:r>
    </w:p>
    <w:p>
      <w:pPr>
        <w:spacing w:after="0" w:line="162" w:lineRule="exact"/>
        <w:rPr>
          <w:sz w:val="20"/>
          <w:szCs w:val="20"/>
          <w:color w:val="auto"/>
        </w:rPr>
      </w:pPr>
    </w:p>
    <w:p>
      <w:pPr>
        <w:ind w:left="4" w:right="60" w:firstLine="44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PureTech Employee Liabilities</w:t>
      </w:r>
      <w:r>
        <w:rPr>
          <w:rFonts w:ascii="Times New Roman" w:cs="Times New Roman" w:eastAsia="Times New Roman" w:hAnsi="Times New Roman"/>
          <w:sz w:val="17"/>
          <w:szCs w:val="17"/>
          <w:color w:val="auto"/>
        </w:rPr>
        <w:t>” means any (a) Employment Claim and any other Liability for accrued wages, salaries, commissions, bonuses, workers’ compensation, medical or disability benefits, vacation, sick or other paid-time off or comprehensive leave benefits of or relating to the employment or services, or termination of any current or former PureTech employees or consultants or independent contractors of PureTech or any Controlled Affiliate (including any persons who are becoming New Seaport Employees and any employees who are leaving employment with PureTech or its Controlled Affiliates to become engaged by another Affiliate), whether pursuant to any Contract or under any applicable Law or otherwise;</w:t>
      </w:r>
    </w:p>
    <w:p>
      <w:pPr>
        <w:spacing w:after="0" w:line="3" w:lineRule="exact"/>
        <w:rPr>
          <w:sz w:val="20"/>
          <w:szCs w:val="20"/>
          <w:color w:val="auto"/>
        </w:rPr>
      </w:pPr>
    </w:p>
    <w:p>
      <w:pPr>
        <w:ind w:left="4" w:hanging="4"/>
        <w:spacing w:after="0" w:line="260" w:lineRule="auto"/>
        <w:tabs>
          <w:tab w:leader="none" w:pos="25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under any PureTech Benefit Arrangements or any Contracts or other compensatory arrangements with PureTech employees (including any persons who are becoming New Seaport Employees and any</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70" w:right="459" w:bottom="1440" w:gutter="0" w:footer="0" w:header="0"/>
        </w:sectPr>
      </w:pPr>
    </w:p>
    <w:bookmarkStart w:id="321" w:name="page322"/>
    <w:bookmarkEnd w:id="321"/>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employees who are leaving employment with PureTech or its Controlled Affiliates to become engaged by another Affiliate) or with independent contractors or consultants of PureTech or any Controlled Affiliate (including, for the avoidance of doubt, any change in control, severance or similar payments under any Contracts with or PureTech Benefit Arrangements covering such employees); (c) any other Liabilities owing to current or former PureTech employees, consultants or independent contractors of PureTech or any Controlled Affiliate pursuant to their employment or services with or termination from PureTech or any Controlled Affiliate, as the case may be, or (d) any penalties, fines or other expenses resulting from compliance issues with any Laws regulating employment or benefits plus any payroll Taxes of PureTech or its Controlled Affiliates attributable to such Liabilities under clauses (a)-(d), together with any interest or penalties thereon.</w:t>
      </w:r>
    </w:p>
    <w:p>
      <w:pPr>
        <w:spacing w:after="0" w:line="189"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PureTech’s Knowledge</w:t>
      </w:r>
      <w:r>
        <w:rPr>
          <w:rFonts w:ascii="Times New Roman" w:cs="Times New Roman" w:eastAsia="Times New Roman" w:hAnsi="Times New Roman"/>
          <w:sz w:val="18"/>
          <w:szCs w:val="18"/>
          <w:color w:val="auto"/>
        </w:rPr>
        <w:t>” means the actual knowledge as of the Effective Date of this Agreement, without having done any investigation, of authorized representatives of PureTech.</w:t>
      </w:r>
    </w:p>
    <w:p>
      <w:pPr>
        <w:spacing w:after="0" w:line="162"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Reasonable Commercial Efforts</w:t>
      </w:r>
      <w:r>
        <w:rPr>
          <w:rFonts w:ascii="Times New Roman" w:cs="Times New Roman" w:eastAsia="Times New Roman" w:hAnsi="Times New Roman"/>
          <w:sz w:val="18"/>
          <w:szCs w:val="18"/>
          <w:color w:val="auto"/>
        </w:rPr>
        <w:t xml:space="preserve">” means commercially reasonable efforts, provided the same shall not require PureTech to initiate any legal action or expend any funds (other than </w:t>
      </w:r>
      <w:r>
        <w:rPr>
          <w:rFonts w:ascii="Times New Roman" w:cs="Times New Roman" w:eastAsia="Times New Roman" w:hAnsi="Times New Roman"/>
          <w:sz w:val="18"/>
          <w:szCs w:val="18"/>
          <w:i w:val="1"/>
          <w:iCs w:val="1"/>
          <w:color w:val="auto"/>
        </w:rPr>
        <w:t>de minimus</w:t>
      </w:r>
      <w:r>
        <w:rPr>
          <w:rFonts w:ascii="Times New Roman" w:cs="Times New Roman" w:eastAsia="Times New Roman" w:hAnsi="Times New Roman"/>
          <w:sz w:val="18"/>
          <w:szCs w:val="18"/>
          <w:color w:val="auto"/>
        </w:rPr>
        <w:t xml:space="preserve"> amounts) that are not reimbursed by Seaport.</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means any Governmental Entity regulating the development, manufacture, packaging, labeling, storage, import, export, marketing, distribution, sale, registration, use or intended use of a Product in any country.</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Applications</w:t>
      </w:r>
      <w:r>
        <w:rPr>
          <w:rFonts w:ascii="Times New Roman" w:cs="Times New Roman" w:eastAsia="Times New Roman" w:hAnsi="Times New Roman"/>
          <w:sz w:val="18"/>
          <w:szCs w:val="18"/>
          <w:color w:val="auto"/>
        </w:rPr>
        <w:t>” means any and all applications, submissions or other filings with a Regulatory’ Authority seeking approval to Utilize any Product.</w:t>
      </w:r>
    </w:p>
    <w:p>
      <w:pPr>
        <w:spacing w:after="0" w:line="162"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Documentation</w:t>
      </w:r>
      <w:r>
        <w:rPr>
          <w:rFonts w:ascii="Times New Roman" w:cs="Times New Roman" w:eastAsia="Times New Roman" w:hAnsi="Times New Roman"/>
          <w:sz w:val="18"/>
          <w:szCs w:val="18"/>
          <w:color w:val="auto"/>
        </w:rPr>
        <w:t>” means (i) all correspondence and submissions between PureTech or any of its Affiliates and the FDA or any other applicable Regulatory Authority with respect to Regulatory Applications and Product Approvals for any Product, including any reports, filings, or notices submitted to FDA or other Regulatory Authority to support, maintain or obtain any Product IND or any other Regulatory Applications or Product Approvals; (ii) the annual and periodic reports relating to any Product IND or any other Regulatory Applications for any Products which have been filed by or on behalf of PureTech with the FDA or other Regulatory Authority, and adverse event reports pertaining to any Product, in each case to the extent in the possession or control of PureTech or any of its Representatives; (iii) all pre-clinical data (including animal data and GLP toxicology data), clinical data, and laboratory records, data and information related to any Product, and any other records and data concerning pre-clinical or clinical studies conducted with respect to any Product; and (iv) any other regulatory applications, submissions, notifications, communications, correspondence, registrations, approvals, drug master files (DMFs) or other filings made to, received from or otherwise conducted with a Regulatory Authority in order to Utilize any Product in any country or jurisdiction, including all Regulatory Applications.</w:t>
      </w:r>
    </w:p>
    <w:p>
      <w:pPr>
        <w:spacing w:after="0" w:line="194"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such Person’s officers and directors (or persons holding comparable positions), employees, consultants, independent contractors, subcontractors, leased employees, temporary workers, equityholders, accountants, legal and other representatives, agents, executors, heirs, successors and permitted assigns.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70" w:right="479" w:bottom="1440" w:gutter="0" w:footer="0" w:header="0"/>
        </w:sectPr>
      </w:pPr>
    </w:p>
    <w:bookmarkStart w:id="322" w:name="page323"/>
    <w:bookmarkEnd w:id="322"/>
    <w:p>
      <w:pPr>
        <w:ind w:right="6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Release</w:t>
      </w:r>
      <w:r>
        <w:rPr>
          <w:rFonts w:ascii="Times New Roman" w:cs="Times New Roman" w:eastAsia="Times New Roman" w:hAnsi="Times New Roman"/>
          <w:sz w:val="17"/>
          <w:szCs w:val="17"/>
          <w:color w:val="auto"/>
        </w:rPr>
        <w:t>” means any spilling, leaking, pumping, pouring, emitting, emptying, discharging, injecting, escaping, leaching, dumping or disposing into the environment (including the abandonment or discarding of barrels, containers and other closed receptacles containing any Hazardous Materials).</w:t>
      </w:r>
    </w:p>
    <w:p>
      <w:pPr>
        <w:spacing w:after="0" w:line="140"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Retained Tax Liabilities</w:t>
      </w:r>
      <w:r>
        <w:rPr>
          <w:rFonts w:ascii="Times New Roman" w:cs="Times New Roman" w:eastAsia="Times New Roman" w:hAnsi="Times New Roman"/>
          <w:sz w:val="17"/>
          <w:szCs w:val="17"/>
          <w:color w:val="auto"/>
        </w:rPr>
        <w:t>” means (i) any Taxes of PureTech, (ii) any Taxes related to the Acquired Assets that were incurred in or are attributable to any taxable period (or portion thereof) ending on or before the Closing Date, (iii) any Taxes of another person for which PureTech is liable, including, but not limited to Taxes for which PureTech is liable by reason of Treasury Regulations Section 1.1502-6 (or any comparable or similar provision of federal, state, local or foreign Law), being a transferee or successor, any contractual obligation or otherwise, and (iv) any income, transfer, sales, use or other Taxes arising in connection with the consummation of the transactions contemplated by this Agreement (including any income Taxes arising as a result of the transfer by PureTech to Seaport of the Acquired Assets), other than Seaport’s share of transfer and other Taxes pursuant to Section 4.4(b).</w:t>
      </w:r>
    </w:p>
    <w:p>
      <w:pPr>
        <w:spacing w:after="0" w:line="173"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Royalty Term</w:t>
      </w:r>
      <w:r>
        <w:rPr>
          <w:rFonts w:ascii="Times New Roman" w:cs="Times New Roman" w:eastAsia="Times New Roman" w:hAnsi="Times New Roman"/>
          <w:sz w:val="18"/>
          <w:szCs w:val="18"/>
          <w:color w:val="auto"/>
        </w:rPr>
        <w:t>” means, with respect to any Seaport Glyph Product in any country, the period commencing on First Commercial Sale of such Seaport Glyph Product in such country and continuing until the later to occur of (i) expiration of the last Valid Claim of such Seaport Glyph Product in such country; or (ii) ten (10) years after first commercial sale of such Seaport Glyph Product in such country.</w:t>
      </w:r>
    </w:p>
    <w:p>
      <w:pPr>
        <w:spacing w:after="0" w:line="176" w:lineRule="exact"/>
        <w:rPr>
          <w:sz w:val="20"/>
          <w:szCs w:val="20"/>
          <w:color w:val="auto"/>
        </w:rPr>
      </w:pPr>
    </w:p>
    <w:p>
      <w:pPr>
        <w:ind w:right="2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Seaport Glyph Products</w:t>
      </w:r>
      <w:r>
        <w:rPr>
          <w:rFonts w:ascii="Times New Roman" w:cs="Times New Roman" w:eastAsia="Times New Roman" w:hAnsi="Times New Roman"/>
          <w:sz w:val="18"/>
          <w:szCs w:val="18"/>
          <w:color w:val="auto"/>
        </w:rPr>
        <w:t>” means: (a) the Existing Products, whether or not the composition or method of use of which (as specified in the approved Product label in the applicable country) is Covered by a Valid Claim of the Transferred Patents in the country of sale; and (b) any other Product developed or commercialized by or on behalf of Seaport, its Controlled Affiliates or Product Licensees, the composition or method of use of which (as specified in the approved Product label in the applicable country) is Covered by a Valid Claim of the Transferred Patents in the country of sale.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means any and all reports, returns (including information returns), declarations, or statements relating to Taxes, including any schedule or attachment thereto and any amendment thereof, filed with or submitted to. or required to be filed with or submitted to, any Governmental Entity in connection with the determination, assessment, collection or payment of Taxes or in connection with the administration, implementation or enforcement of or compliance with any legal requirement relating to any Tax.</w:t>
      </w:r>
    </w:p>
    <w:p>
      <w:pPr>
        <w:spacing w:after="0" w:line="180"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taxes, charges, fees, duties, contributions, levies or other similar assessments or Liabilities, including, without limitation, income, gross receipts, corporation, ad valorem, premium, value-added, net worth, capital stock, capital gains, documentary, recapture, alternative or add-on minimum, disability, registration, recording, excise, real property, personal property, sales, use, license, lease, service, service use, transfer, withholding, employment, unemployment, insurance, social security, national insurance, business license, business organization, workers compensation, payroll, profits, severance, stamp, occupation, escheat, windfall profits, customs duties, franchise, estimated and other taxes of any kind whatsoever imposed by the United States of America or any state, local or foreign government, or any agency or political subdivision thereof, and any interest, fines, penalties, assessments or additions to tax imposed with respect to or related to such items.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0"/>
          </w:cols>
          <w:pgMar w:left="440" w:top="270" w:right="479" w:bottom="1440" w:gutter="0" w:footer="0" w:header="0"/>
        </w:sectPr>
      </w:pPr>
    </w:p>
    <w:bookmarkStart w:id="323" w:name="page324"/>
    <w:bookmarkEnd w:id="32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Territory</w:t>
      </w:r>
      <w:r>
        <w:rPr>
          <w:rFonts w:ascii="Times New Roman" w:cs="Times New Roman" w:eastAsia="Times New Roman" w:hAnsi="Times New Roman"/>
          <w:sz w:val="18"/>
          <w:szCs w:val="18"/>
          <w:color w:val="auto"/>
        </w:rPr>
        <w:t>” means anywhere in the world.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or entity other than (a) PureTech or its Controlled Affiliates, or (b) Seaport or its Controlled Affiliates.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Action</w:t>
      </w:r>
      <w:r>
        <w:rPr>
          <w:rFonts w:ascii="Times New Roman" w:cs="Times New Roman" w:eastAsia="Times New Roman" w:hAnsi="Times New Roman"/>
          <w:sz w:val="18"/>
          <w:szCs w:val="18"/>
          <w:color w:val="auto"/>
        </w:rPr>
        <w:t>” means any Legal Proceeding by a Third Party.</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means the fees, expenses and disbursements of PureTech and its Representatives incurred in connection with this Agreement and the transactions contemplated hereby, including negotiation, legal, travel and due diligence expenses; provided, however, that Transaction Costs shall not include the fees and expenses of any legal counsel or firm, accounting firm or other experts, vendors or service providers engaged on behalf of Seaport, all of which shall be included in Assumed Liabilities and shall be payable by Seaport promptly after the Closing,</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Patents</w:t>
      </w:r>
      <w:r>
        <w:rPr>
          <w:rFonts w:ascii="Times New Roman" w:cs="Times New Roman" w:eastAsia="Times New Roman" w:hAnsi="Times New Roman"/>
          <w:sz w:val="18"/>
          <w:szCs w:val="18"/>
          <w:color w:val="auto"/>
        </w:rPr>
        <w:t>” means all Patents within the Transferred Assets, including the Patents licensed under the Monash License. The Transferred Patents are listed in Schedule 1.1(a).</w:t>
      </w:r>
    </w:p>
    <w:p>
      <w:pPr>
        <w:spacing w:after="0" w:line="162"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Utilize</w:t>
      </w:r>
      <w:r>
        <w:rPr>
          <w:rFonts w:ascii="Times New Roman" w:cs="Times New Roman" w:eastAsia="Times New Roman" w:hAnsi="Times New Roman"/>
          <w:sz w:val="18"/>
          <w:szCs w:val="18"/>
          <w:color w:val="auto"/>
        </w:rPr>
        <w:t>” means, with respect to any Product, to research, develop, manufacture, commercialize or otherwise utilize such Product (including making, having made, using, selling, offering for sale or importing such Product).</w:t>
      </w:r>
    </w:p>
    <w:p>
      <w:pPr>
        <w:spacing w:after="0" w:line="162" w:lineRule="exact"/>
        <w:rPr>
          <w:sz w:val="20"/>
          <w:szCs w:val="20"/>
          <w:color w:val="auto"/>
        </w:rPr>
      </w:pPr>
    </w:p>
    <w:p>
      <w:pPr>
        <w:jc w:val="both"/>
        <w:ind w:right="2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Valid Claim</w:t>
      </w:r>
      <w:r>
        <w:rPr>
          <w:rFonts w:ascii="Times New Roman" w:cs="Times New Roman" w:eastAsia="Times New Roman" w:hAnsi="Times New Roman"/>
          <w:sz w:val="18"/>
          <w:szCs w:val="18"/>
          <w:color w:val="auto"/>
        </w:rPr>
        <w:t>” means: (a) a claim of any issued, unexpired patent that has not been revoked or held unenforceable or invalid by a decision of a court or Governmental Entity of competent jurisdiction from which no appeal can be taken, or with respect to which an appeal is not taken within the time allowed for appeal, and that has not been disclaimed or admitted to be invalid or unenforceable through reissue, disclaimer, or otherwise; or (b) a claim of any patent application filed by a Person in good faith that has not been cancelled, withdrawn, or abandoned and that has been pending for no more than [***] from the earliest non-provisional filing date to which the application claims priority, [***].</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Except where expressly stated otherwise in this Agreement, the following rules of interpretation apply to this Agreement: (a) “either” and “or” are not exclusive, the term “or” will be interpreted in the inclusive sense commonly associated with the term “and/or”, and “include,” “includes” and “including” are not limiting; (b) “hereof,” “hereto,” “hereby,” “herein” and “hereunder” and words of similar import when used in this Agreement refer to this Agreement as a whole and not to any particular provision of this Agreement; (c) “date of this Agreement” refers to the date set forth in the initial caption of this Agreement; (d) “extent” in the phrase “to the extent” means the degree to which a subject or other thing extends, and such phrase does not mean simply “if’; (e) the descriptive headings and table of contents included herein are included for convenience only and shall not affect in any way the meaning or interpretation of this Agreement or any provision hereof; (f) definitions contained in this Agreement are applicable to the singular as well as the plural forms of such terms; (g) references to a contract or agreement mean such contract or agreement as amended or otherwise supplemented or modified from time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324" w:name="page325"/>
    <w:bookmarkEnd w:id="324"/>
    <w:p>
      <w:pPr>
        <w:jc w:val="both"/>
        <w:ind w:left="4"/>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time; (h) references to a Person are also to its permitted successors and assigns; (i) references to an “Article,” “Section,” “Exhibit” or “Schedule” refer to an Article or Section of, or an Exhibit or Schedule to, this Agreement; (j) references to “$” or otherwise to dollar amounts refer to the lawful currency of the United States; (k) references to a federal, state, local or foreign Law include any rules, regulations and delegated legislation issued thereunder;</w:t>
      </w:r>
    </w:p>
    <w:p>
      <w:pPr>
        <w:spacing w:after="0" w:line="2" w:lineRule="exact"/>
        <w:rPr>
          <w:sz w:val="20"/>
          <w:szCs w:val="20"/>
          <w:color w:val="auto"/>
        </w:rPr>
      </w:pPr>
    </w:p>
    <w:p>
      <w:pPr>
        <w:ind w:left="4" w:right="40" w:hanging="4"/>
        <w:spacing w:after="0" w:line="251" w:lineRule="auto"/>
        <w:tabs>
          <w:tab w:leader="none" w:pos="219"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accounting terms used and not otherwise defined herein have the meaning assigned to them under GAAP; and (m) a term that begins with an initial capital letter, is not defined herein and reflects a different part of speech than a term that begins with an initial capital letter and is defined herein, shall be interpreted in a correlative manner. When reference is made in this Agreement to information that has been “made available” to Seaport, that shall consist of only the information that was (i) contained in PureTech’s electronic data room no later than 5:00 p.m., Eastern time, on the [***] Business Day prior to the date of this Agreement or (ii) delivered to Seaport or its counsel. The language used in this Agreement shall be deemed to be the language chosen by the Parties hereto to express their mutual intent, and no rule of strict construction shall be applied against any Party hereto. No summary of this Agreement prepared by any Party shall affect the meaning or interpretation of this Agreement. If any date on which a Party is required to make a payment or a delivery pursuant to the terms hereof is not a Business Day, then such Party shall make such payment or delivery on the next succeeding Business Day. Time shall be of the essence in this Agreement.</w:t>
      </w:r>
    </w:p>
    <w:p>
      <w:pPr>
        <w:spacing w:after="0" w:line="200" w:lineRule="exact"/>
        <w:rPr>
          <w:sz w:val="20"/>
          <w:szCs w:val="20"/>
          <w:color w:val="auto"/>
        </w:rPr>
      </w:pPr>
    </w:p>
    <w:p>
      <w:pPr>
        <w:spacing w:after="0" w:line="2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to be given under this Agreement shall be in writing, shall specifically refer to this Agreement, and shall be addressed to the appropriate Party at the address specified below or such other address as may be specified by such Party in writing in accordance with this Section 8.1. and shall be deemed to have been given for all purposes (a) when received, if hand-delivered or sent by a reputable courier service, or (b) five (5) Business Days after mailing, if mailed by first class certified or registered airmail, postage prepaid, return receipt requested.</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All notices to PureTech shall be addressed as follows: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PureTech Health LLC</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6 Tide Street, 4th Floor</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Boston, MA 02110</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Attention: [***]</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PureTech Health LLC</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6 Tide Street, 4th Floor</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Boston, MA 02110</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Attention: [***]</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70" w:right="45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Sills Cummis &amp; Gross P.C.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One Riverfront Plaza</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Newark, NJ 07102</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notices to Seaport shall be addressed as follows: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Seaport Therapeutics,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 Tide Street, 4th Floor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Boston, MA 02110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Wilmer Cutler Pickering Hale and Dorr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60 State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Boston, MA 02109</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Entire Agreement; Amendment</w:t>
      </w:r>
      <w:r>
        <w:rPr>
          <w:rFonts w:ascii="Times New Roman" w:cs="Times New Roman" w:eastAsia="Times New Roman" w:hAnsi="Times New Roman"/>
          <w:sz w:val="18"/>
          <w:szCs w:val="18"/>
          <w:color w:val="auto"/>
        </w:rPr>
        <w:t>. This Agreement, including the Exhibits hereto, sets forth the complete, final and exclusive agreement and all of the covenants, promises, agreements, warranties, representations, conditions and understandings between the Parties hereto with respect to the subject matter hereof and supersedes, as of the Effective Date, all prior and contemporaneous agreements and understandings between the Parties with respect to the subject matter hereof. There are no covenants, promises, agreements, warranties, representations, conditions or understandings, either oral or written, between the Parties with respect to the subject matter of this Agreement other than as are set forth in this Agreement, including the Exhibits. No subsequent alteration, amendment, change or addition to this Agreement shall be binding upon the Parties unless reduced to writing and signed by an authorized officer of each Party.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Third-Party Beneficiaries</w:t>
      </w:r>
      <w:r>
        <w:rPr>
          <w:rFonts w:ascii="Times New Roman" w:cs="Times New Roman" w:eastAsia="Times New Roman" w:hAnsi="Times New Roman"/>
          <w:sz w:val="18"/>
          <w:szCs w:val="18"/>
          <w:color w:val="auto"/>
        </w:rPr>
        <w:t>. This Agreement is not intended to, and shall not, confer upon any other Person any rights or remedies 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Assignment.</w:t>
      </w:r>
    </w:p>
    <w:p>
      <w:pPr>
        <w:spacing w:after="0" w:line="225" w:lineRule="exact"/>
        <w:rPr>
          <w:sz w:val="20"/>
          <w:szCs w:val="20"/>
          <w:color w:val="auto"/>
        </w:rPr>
      </w:pPr>
    </w:p>
    <w:p>
      <w:pPr>
        <w:ind w:firstLine="987"/>
        <w:spacing w:after="0" w:line="258" w:lineRule="auto"/>
        <w:tabs>
          <w:tab w:leader="none" w:pos="123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and the rights and obligations under this Agreement may not be assigned, delegated, or otherwise transferred, in whole or in part, by operation of law or otherwise, by either Party without the other Party’s express prior written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either Party may assign its rights or delegate its obligations under this Agreement without such consent to (a) its Affiliate or (b) its successor in interest in connection with any merger, consolidation, or sale of all or substantially all of the assets of such Party to which this Agreement relates. In the event of such assignment by Seaport that occurs concurrently with 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440" w:top="270" w:right="439" w:bottom="1440" w:gutter="0" w:footer="0" w:header="0"/>
        </w:sectPr>
      </w:pPr>
    </w:p>
    <w:bookmarkStart w:id="326" w:name="page327"/>
    <w:bookmarkEnd w:id="326"/>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following the grant of a Product License, Seaport (i.e., the original Party to this Agreement) shall remain liable for all payment obligations to PureTech pursuant to </w:t>
      </w:r>
      <w:r>
        <w:rPr>
          <w:rFonts w:ascii="Times New Roman" w:cs="Times New Roman" w:eastAsia="Times New Roman" w:hAnsi="Times New Roman"/>
          <w:sz w:val="18"/>
          <w:szCs w:val="18"/>
          <w:u w:val="single" w:color="auto"/>
          <w:color w:val="auto"/>
        </w:rPr>
        <w:t>Section 1.5(b)(ii)</w:t>
      </w:r>
      <w:r>
        <w:rPr>
          <w:rFonts w:ascii="Times New Roman" w:cs="Times New Roman" w:eastAsia="Times New Roman" w:hAnsi="Times New Roman"/>
          <w:sz w:val="18"/>
          <w:szCs w:val="18"/>
          <w:color w:val="auto"/>
        </w:rPr>
        <w:t xml:space="preserve"> with respect to such Product License to the extent such assignee does not fulfill such payment obligations. In the event of such assignment by Seaport that occurs concurrently with or following a Change of Control, Seaport (i.e., the original Party to this Agreement) shall remain liable for all payment obligations to PureTech pursuant to </w:t>
      </w:r>
      <w:r>
        <w:rPr>
          <w:rFonts w:ascii="Times New Roman" w:cs="Times New Roman" w:eastAsia="Times New Roman" w:hAnsi="Times New Roman"/>
          <w:sz w:val="18"/>
          <w:szCs w:val="18"/>
          <w:u w:val="single" w:color="auto"/>
          <w:color w:val="auto"/>
        </w:rPr>
        <w:t>Section 1.5(b)(iii)</w:t>
      </w:r>
      <w:r>
        <w:rPr>
          <w:rFonts w:ascii="Times New Roman" w:cs="Times New Roman" w:eastAsia="Times New Roman" w:hAnsi="Times New Roman"/>
          <w:sz w:val="18"/>
          <w:szCs w:val="18"/>
          <w:color w:val="auto"/>
        </w:rPr>
        <w:t xml:space="preserve"> with respect to such Change of Control of Seaport to the extent such assignee does not fulfill such payment obligations.</w:t>
      </w:r>
    </w:p>
    <w:p>
      <w:pPr>
        <w:spacing w:after="0" w:line="183" w:lineRule="exact"/>
        <w:rPr>
          <w:sz w:val="20"/>
          <w:szCs w:val="20"/>
          <w:color w:val="auto"/>
        </w:rPr>
      </w:pPr>
    </w:p>
    <w:p>
      <w:pPr>
        <w:ind w:right="20" w:firstLine="987"/>
        <w:spacing w:after="0" w:line="255" w:lineRule="auto"/>
        <w:tabs>
          <w:tab w:leader="none" w:pos="124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successor or assignee of rights or obligations permitted hereunder (including payment obligations) shall, in writing to the other Party, expressly assume performance of such rights or obligations. In the case of any permitted assignment or transfer of or under this Agreement, this Agreement shall be binding upon, and inure to the benefit of, the successors, executors, heirs, representatives, administrators and assigns of the Parties hereto and the assigning Party shall remain liable for the obligations of its successor or assignee as set forth herein. Any attempted assignment, delegation, or transfer in violation of the foregoing will be null and void. For clarity, Seaport is free to assign, transfer and grant licenses or other rights to the Transferred Assets in its sole discretion and without the consent of PureTech, and nothing in this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shall be interpreted as a limitation on such assignment, transfer or grant.</w:t>
      </w:r>
    </w:p>
    <w:p>
      <w:pPr>
        <w:spacing w:after="0" w:line="18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one or more of the provisions of this Agreement is held to be invalid or unenforceable by any court of competent jurisdiction from which no appeal can be or is taken, the provision shall be considered severed from this Agreement and shall not serve to invalidate any remaining provisions hereof. The Parties shall make a good faith effort to replace any invalid or unenforceable provision with a valid and enforceable one such that the objectives contemplated by the Parties when entering this Agreement may be realized.</w:t>
      </w:r>
    </w:p>
    <w:p>
      <w:pPr>
        <w:spacing w:after="0" w:line="180"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Counterparts and Signature</w:t>
      </w:r>
      <w:r>
        <w:rPr>
          <w:rFonts w:ascii="Times New Roman" w:cs="Times New Roman" w:eastAsia="Times New Roman" w:hAnsi="Times New Roman"/>
          <w:sz w:val="18"/>
          <w:szCs w:val="18"/>
          <w:color w:val="auto"/>
        </w:rPr>
        <w:t>. This Agreement may be executed in one or more counterparts, each of which shall be an original and all of which shall constitute together the same document. Copies of original signature pages sent by PDF shall have the same effect as signature pages containing original signatures.</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claims or disputes arising out of or related hereto or the transactions contemplated hereby or to the inducement of any Party to enter herein, whether for breach of contract, tortious conduct or otherwise and whether predicated on common law, statute or otherwise) shall be governed in all respects, including validity, interpretation, and effect, by and construed in accordance with the internal Laws of the State of Delaware (including in respect of the statute of limitations or other limitations period applicable to any claim, controversy or dispute) without giving effect to any choice or conflict of Law provision or rule (whether of the State of Delaware or any other jurisdiction) that would cause the application of Laws of any jurisdictions other than those of the State of Delaware.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70" w:right="479" w:bottom="1440" w:gutter="0" w:footer="0" w:header="0"/>
        </w:sectPr>
      </w:pPr>
    </w:p>
    <w:bookmarkStart w:id="327" w:name="page328"/>
    <w:bookmarkEnd w:id="32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8.8 </w:t>
      </w:r>
      <w:r>
        <w:rPr>
          <w:rFonts w:ascii="Times New Roman" w:cs="Times New Roman" w:eastAsia="Times New Roman" w:hAnsi="Times New Roman"/>
          <w:sz w:val="18"/>
          <w:szCs w:val="18"/>
          <w:u w:val="single" w:color="auto"/>
          <w:color w:val="auto"/>
        </w:rPr>
        <w:t>Remedies.</w:t>
      </w:r>
    </w:p>
    <w:p>
      <w:pPr>
        <w:spacing w:after="0" w:line="225" w:lineRule="exact"/>
        <w:rPr>
          <w:sz w:val="20"/>
          <w:szCs w:val="20"/>
          <w:color w:val="auto"/>
        </w:rPr>
      </w:pPr>
    </w:p>
    <w:p>
      <w:pPr>
        <w:ind w:right="160" w:firstLine="987"/>
        <w:spacing w:after="0" w:line="266" w:lineRule="auto"/>
        <w:tabs>
          <w:tab w:leader="none" w:pos="123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remedies herein expressly conferred upon a Party will be deemed cumulative with and not exclusive of any other remedy conferred hereby, or by Law or equity upon such Party, and the exercise by a Party of any one (1) remedy will not preclude the exercise of any other remedy.</w:t>
      </w:r>
    </w:p>
    <w:p>
      <w:pPr>
        <w:spacing w:after="0" w:line="175" w:lineRule="exact"/>
        <w:rPr>
          <w:rFonts w:ascii="Times New Roman" w:cs="Times New Roman" w:eastAsia="Times New Roman" w:hAnsi="Times New Roman"/>
          <w:sz w:val="18"/>
          <w:szCs w:val="18"/>
          <w:color w:val="auto"/>
        </w:rPr>
      </w:pPr>
    </w:p>
    <w:p>
      <w:pPr>
        <w:ind w:right="300" w:firstLine="987"/>
        <w:spacing w:after="0" w:line="256" w:lineRule="auto"/>
        <w:tabs>
          <w:tab w:leader="none" w:pos="124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irreparable damage may occur in the event that any of the provisions of this Agreement were not performed in accordance with their specific terms or were otherwise breached. It is accordingly agreed that the Parties shall be entitled to seek an injunction or injunctions to prevent breaches of this Agreement and to enforce specifically the terms and provisions of this Agreement, in each case without posting a bond or undertaking, this being in addition to any other remedy to which they are entitled at Law or in equity. Each of the Parties agrees that it will not oppose the granting of an injunction, specific performance and other equitable relief on the basis that (i) the Party seeking such remedy has an adequate remedy at Law or (ii) an award of specific performance is not an appropriate remedy for any reason at Law or equity.</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Each of the Parties to this Agreement (a) consents to submit itself to the exclusive personal jurisdiction of the Court of Chancery of the State of Delaware, New Castle County, or, if that court does not have jurisdiction, a federal court sitting in Wilmington, Delaware in any action or proceeding arising out of or relating to this Agreement or any of the transactions contemplated by this Agreement, (b) agrees that all claims in respect of such action or proceeding may be heard and determined in any such court, (c) agrees that it shall not attempt to deny or defeat such personal jurisdiction by motion or other request for leave from any such court, (d) agrees not to bring any action or proceeding arising out of or relating to this Agreement or any of the transactions contemplated by this Agreement in any other court, and (e) waives any right it may have to a trial by jury with respect to any action or proceeding arising out of or relating to this Agreement. Each of the Parties hereto waives any defense of inconvenient forum to the maintenance of any action or proceeding so brought and waives any bond, surety or other security that might be required of any other Party with respect thereto. Any Party hereto may make service on another Party by sending or delivering a copy of the process to the Party to be served at the address and in the manner provided for the giving of notices in Section 8.1. Nothing in this Section 8.9, however, shall affect the right of any Party to serve legal process in any other manner permitted by Law.</w:t>
      </w:r>
    </w:p>
    <w:p>
      <w:pPr>
        <w:spacing w:after="0" w:line="19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otherwise expressly provided herein, all fees and expenses incurred in connection with this Agreement and the transactions contemplated hereby shall be paid by the Party incurring such fees and expenses, whether or not the Closing occurs.</w:t>
      </w:r>
    </w:p>
    <w:p>
      <w:pPr>
        <w:spacing w:after="0" w:line="16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 The Disclosure Schedule shall be arranged in sections corresponding to the numbered sections contained in Article II and in such a way that it is reasonably apparent which representation and warranty in such section such disclosure is intended to qualify and the disclosure with respect to a representation and warranty contained in Article II shall qualify any other representations and warranties in Article II to the extent that it is reasonably apparent on the face of such disclosure that it also qualifies or applies to such other representations and warranties.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328" w:name="page329"/>
    <w:bookmarkEnd w:id="328"/>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8.12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by the Parties of any default, misrepresentation or breach of warranty or covenant hereunder, whether intentional or not, shall be deemed to extend to any prior or subsequent default, misrepresentation or breach of warranty or covenant hereunder or affect in any way any rights arising by virtue of any prior or subsequent such occurrence. No waiver by the Parties of any of the provisions hereof shall be effective unless explicitly set forth in writing and executed by the Party sought to be charged with such waiver.</w:t>
      </w:r>
    </w:p>
    <w:p>
      <w:pPr>
        <w:spacing w:after="0" w:line="17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840"/>
          </w:cols>
          <w:pgMar w:left="440" w:top="270" w:right="619" w:bottom="1440" w:gutter="0" w:footer="0" w:header="0"/>
        </w:sectPr>
      </w:pPr>
    </w:p>
    <w:bookmarkStart w:id="329" w:name="page330"/>
    <w:bookmarkEnd w:id="32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Seaport and PureTech have caused this Agreement to be signed by their respective officers thereunto duly authorized as of the date first written above.</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Sherwood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Charles Sherwood</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President</w:t>
      </w:r>
    </w:p>
    <w:p>
      <w:pPr>
        <w:sectPr>
          <w:pgSz w:w="11900" w:h="16838" w:orient="portrait"/>
          <w:cols w:equalWidth="0" w:num="1">
            <w:col w:w="10860"/>
          </w:cols>
          <w:pgMar w:left="440" w:top="270" w:right="599" w:bottom="1440" w:gutter="0" w:footer="0" w:header="0"/>
        </w:sectPr>
      </w:pPr>
    </w:p>
    <w:bookmarkStart w:id="330" w:name="page331"/>
    <w:bookmarkEnd w:id="330"/>
    <w:p>
      <w:pP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PURETECH:</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PURETECH HEALTH LLC</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Bharatt Chowrira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Bharatt Chowrira, PhD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PURETECH LYT,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Bharatt Chowrira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Bharatt Chowrira, PhD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President</w:t>
      </w:r>
    </w:p>
    <w:p>
      <w:pPr>
        <w:sectPr>
          <w:pgSz w:w="11900" w:h="16838" w:orient="portrait"/>
          <w:cols w:equalWidth="0" w:num="1">
            <w:col w:w="9019"/>
          </w:cols>
          <w:pgMar w:left="1440" w:top="266" w:right="1440" w:bottom="1440" w:gutter="0" w:footer="0" w:header="0"/>
        </w:sectPr>
      </w:pPr>
    </w:p>
    <w:bookmarkStart w:id="331" w:name="page332"/>
    <w:bookmarkEnd w:id="3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 TO ASSET TRANSFER AGREEMENT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Amendment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Asset Transfer Agreement dated as of April 8, 2024, by and between Seaport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Seaport</w:t>
      </w:r>
      <w:r>
        <w:rPr>
          <w:rFonts w:ascii="Times New Roman" w:cs="Times New Roman" w:eastAsia="Times New Roman" w:hAnsi="Times New Roman"/>
          <w:sz w:val="18"/>
          <w:szCs w:val="18"/>
          <w:color w:val="auto"/>
        </w:rPr>
        <w:t>”) and PureTech Health LLC, PureTech LYT, Inc., and PureTech Management, Inc. (collectively, “PureTech”)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the as of the last date set forth in the signature block. For purposes hereof, all capitalized terms used but not defined herein shall have the meanings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given to them in the Agreement.</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Seaport and PureTech desire to amend the Agreement.</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contained herein, the receipt and sufficiency of which are hereby acknowledged,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intending to be legally bound hereby, the Parties agree as follows:</w:t>
      </w:r>
    </w:p>
    <w:p>
      <w:pPr>
        <w:spacing w:after="0" w:line="60" w:lineRule="exact"/>
        <w:rPr>
          <w:sz w:val="20"/>
          <w:szCs w:val="20"/>
          <w:color w:val="auto"/>
        </w:rPr>
      </w:pPr>
    </w:p>
    <w:p>
      <w:pPr>
        <w:ind w:left="960" w:right="220" w:hanging="532"/>
        <w:spacing w:after="0" w:line="286" w:lineRule="auto"/>
        <w:tabs>
          <w:tab w:leader="none" w:pos="9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b w:val="1"/>
          <w:bCs w:val="1"/>
          <w:color w:val="auto"/>
        </w:rPr>
        <w:t>4.6(d)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is hereby amended by deleting the term “Seaport” and replacing it with the phrase “</w:t>
      </w:r>
      <w:r>
        <w:rPr>
          <w:rFonts w:ascii="Times New Roman" w:cs="Times New Roman" w:eastAsia="Times New Roman" w:hAnsi="Times New Roman"/>
          <w:sz w:val="18"/>
          <w:szCs w:val="18"/>
          <w:u w:val="single" w:color="auto"/>
          <w:color w:val="auto"/>
        </w:rPr>
        <w:t>either Party</w:t>
      </w:r>
      <w:r>
        <w:rPr>
          <w:rFonts w:ascii="Times New Roman" w:cs="Times New Roman" w:eastAsia="Times New Roman" w:hAnsi="Times New Roman"/>
          <w:sz w:val="18"/>
          <w:szCs w:val="18"/>
          <w:color w:val="auto"/>
        </w:rPr>
        <w:t>” to read as follows:</w:t>
      </w:r>
    </w:p>
    <w:p>
      <w:pPr>
        <w:spacing w:after="0" w:line="50"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4.6(d) PureTech’s right to request a PureTech License pursuant to this Section 4.7 will terminate upon a Change of Control of either Party.</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is effective as of the latest dated signature on the signature page hereto.</w:t>
      </w:r>
    </w:p>
    <w:p>
      <w:pPr>
        <w:spacing w:after="0" w:line="130" w:lineRule="exact"/>
        <w:rPr>
          <w:rFonts w:ascii="Times New Roman" w:cs="Times New Roman" w:eastAsia="Times New Roman" w:hAnsi="Times New Roman"/>
          <w:sz w:val="18"/>
          <w:szCs w:val="18"/>
          <w:color w:val="auto"/>
        </w:rPr>
      </w:pPr>
    </w:p>
    <w:p>
      <w:pPr>
        <w:ind w:left="1420" w:hanging="439"/>
        <w:spacing w:after="0" w:line="282" w:lineRule="auto"/>
        <w:tabs>
          <w:tab w:leader="none" w:pos="142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set forth herein, the Agreement and the obligations of Seaport and PureTech thereunder are hereby ratified and confirmed and shall remain in full force and effect.</w:t>
      </w:r>
    </w:p>
    <w:p>
      <w:pPr>
        <w:spacing w:after="0" w:line="67" w:lineRule="exact"/>
        <w:rPr>
          <w:rFonts w:ascii="Times New Roman" w:cs="Times New Roman" w:eastAsia="Times New Roman" w:hAnsi="Times New Roman"/>
          <w:sz w:val="18"/>
          <w:szCs w:val="18"/>
          <w:color w:val="auto"/>
        </w:rPr>
      </w:pPr>
    </w:p>
    <w:p>
      <w:pPr>
        <w:ind w:left="1420" w:right="80" w:hanging="439"/>
        <w:spacing w:after="0" w:line="282" w:lineRule="auto"/>
        <w:tabs>
          <w:tab w:leader="none" w:pos="142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requires otherwise, all references to Sections in this Amendment shall be references to the relevant section in the Agreement.</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used but not defined herein shall have the meanings ascribed to them in the Agreement.</w:t>
      </w:r>
    </w:p>
    <w:p>
      <w:pPr>
        <w:spacing w:after="0" w:line="130" w:lineRule="exact"/>
        <w:rPr>
          <w:rFonts w:ascii="Times New Roman" w:cs="Times New Roman" w:eastAsia="Times New Roman" w:hAnsi="Times New Roman"/>
          <w:sz w:val="18"/>
          <w:szCs w:val="18"/>
          <w:color w:val="auto"/>
        </w:rPr>
      </w:pPr>
    </w:p>
    <w:p>
      <w:pPr>
        <w:ind w:left="1420" w:right="40" w:hanging="439"/>
        <w:spacing w:after="0" w:line="258" w:lineRule="auto"/>
        <w:tabs>
          <w:tab w:leader="none" w:pos="142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Amendment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or other transmission method and any counterpart so delivered shall be deemed to have been duly and validly delivered and be valid and effective for all purposes.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Intentionally Blank.]</w:t>
      </w:r>
    </w:p>
    <w:p>
      <w:pPr>
        <w:sectPr>
          <w:pgSz w:w="11900" w:h="16838" w:orient="portrait"/>
          <w:cols w:equalWidth="0" w:num="1">
            <w:col w:w="10980"/>
          </w:cols>
          <w:pgMar w:left="440" w:top="266" w:right="47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Amendment as of the last date set forth below.</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SEAPORT THERAPEUTICS, INC.</w:t>
      </w:r>
    </w:p>
    <w:p>
      <w:pPr>
        <w:spacing w:after="0" w:line="24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Daphne Zohar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Daphne Zohar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CEO</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PURETECH HEALTH LLC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Robert Lyne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Robert Lyne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CEO</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PURETECH LYT,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Robert Lyne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Robert Lyne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CEO</w:t>
      </w:r>
    </w:p>
    <w:p>
      <w:pPr>
        <w:sectPr>
          <w:pgSz w:w="11900" w:h="16838" w:orient="portrait"/>
          <w:cols w:equalWidth="0" w:num="1">
            <w:col w:w="9579"/>
          </w:cols>
          <w:pgMar w:left="880" w:top="270" w:right="1440" w:bottom="1440" w:gutter="0" w:footer="0" w:header="0"/>
        </w:sectPr>
      </w:pPr>
    </w:p>
    <w:bookmarkStart w:id="333" w:name="page334"/>
    <w:bookmarkEnd w:id="333"/>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25" w:lineRule="exact"/>
        <w:rPr>
          <w:sz w:val="20"/>
          <w:szCs w:val="20"/>
          <w:color w:val="auto"/>
        </w:rPr>
      </w:pPr>
    </w:p>
    <w:p>
      <w:pPr>
        <w:jc w:val="cente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EXCLUDED (INDICATED BY: [***]) FROM THE EXHIBIT BECAUSE IT IS BOTH (I) NOT MATERIALS AND (II) THE TYPE OF INFORMATION THAT THE REGISTRANT CUSTOMARILY AND ACTUALLY TREATS AS PRIVATE OR CONFIDENTIAL.</w:t>
      </w:r>
    </w:p>
    <w:p>
      <w:pPr>
        <w:spacing w:after="0" w:line="176"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6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Amended and Restated Licence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-148590</wp:posOffset>
            </wp:positionV>
            <wp:extent cx="6103620" cy="82296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103620" cy="822960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Monash University</w:t>
      </w:r>
    </w:p>
    <w:p>
      <w:pPr>
        <w:spacing w:after="0" w:line="21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Seaport Therapeutics, Inc.</w:t>
      </w:r>
    </w:p>
    <w:p>
      <w:pPr>
        <w:sectPr>
          <w:pgSz w:w="11900" w:h="16838" w:orient="portrait"/>
          <w:cols w:equalWidth="0" w:num="1">
            <w:col w:w="11020"/>
          </w:cols>
          <w:pgMar w:left="440" w:top="117" w:right="439" w:bottom="1440" w:gutter="0" w:footer="0" w:header="0"/>
        </w:sectPr>
      </w:pPr>
    </w:p>
    <w:bookmarkStart w:id="334" w:name="page335"/>
    <w:bookmarkEnd w:id="334"/>
    <w:tbl>
      <w:tblPr>
        <w:tblLayout w:type="fixed"/>
        <w:tblInd w:w="0" w:type="dxa"/>
        <w:tblCellMar>
          <w:top w:w="0" w:type="dxa"/>
          <w:left w:w="0" w:type="dxa"/>
          <w:bottom w:w="0" w:type="dxa"/>
          <w:right w:w="0" w:type="dxa"/>
        </w:tblCellMar>
      </w:tblPr>
      <w:tr>
        <w:trPr>
          <w:trHeight w:val="190"/>
        </w:trPr>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Contents</w:t>
            </w:r>
          </w:p>
        </w:tc>
        <w:tc>
          <w:tcPr>
            <w:tcW w:w="828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3"/>
              </w:rPr>
              <w:t>1. </w:t>
            </w:r>
          </w:p>
        </w:tc>
        <w:tc>
          <w:tcPr>
            <w:tcW w:w="88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Definitions and Interpretation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306"/>
        </w:trPr>
        <w:tc>
          <w:tcPr>
            <w:tcW w:w="24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w:t>
            </w: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Definitions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4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w:t>
            </w: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Interpretation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4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w:t>
            </w: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Headings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240" w:type="dxa"/>
            <w:vAlign w:val="bottom"/>
          </w:tcPr>
          <w:p>
            <w:pPr>
              <w:spacing w:after="0"/>
              <w:rPr>
                <w:sz w:val="20"/>
                <w:szCs w:val="20"/>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w:t>
            </w: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Business Days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3"/>
              </w:rPr>
              <w:t>2. </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0"/>
              </w:rPr>
              <w:t> Term</w:t>
            </w:r>
          </w:p>
        </w:tc>
        <w:tc>
          <w:tcPr>
            <w:tcW w:w="828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3"/>
              </w:rPr>
              <w:t>3. </w:t>
            </w:r>
          </w:p>
        </w:tc>
        <w:tc>
          <w:tcPr>
            <w:tcW w:w="88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Commercialisation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216"/>
        </w:trPr>
        <w:tc>
          <w:tcPr>
            <w:tcW w:w="24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w:t>
            </w: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Reasonable Commercial Endeavours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4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w:t>
            </w: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Failure to Use Reasonable Commercial Endeavours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4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w:t>
            </w: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Applicable Laws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240" w:type="dxa"/>
            <w:vAlign w:val="bottom"/>
          </w:tcPr>
          <w:p>
            <w:pPr>
              <w:spacing w:after="0"/>
              <w:rPr>
                <w:sz w:val="20"/>
                <w:szCs w:val="20"/>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3.4</w:t>
            </w: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Reporting of Activities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4.    Monash’s Rights and Obligations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306"/>
        </w:trPr>
        <w:tc>
          <w:tcPr>
            <w:tcW w:w="24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Technical assistance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240" w:type="dxa"/>
            <w:vAlign w:val="bottom"/>
          </w:tcPr>
          <w:p>
            <w:pPr>
              <w:spacing w:after="0"/>
              <w:rPr>
                <w:sz w:val="20"/>
                <w:szCs w:val="20"/>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Limitation of liability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3"/>
              </w:rPr>
              <w:t>5. </w:t>
            </w:r>
          </w:p>
        </w:tc>
        <w:tc>
          <w:tcPr>
            <w:tcW w:w="88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Licence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306"/>
        </w:trPr>
        <w:tc>
          <w:tcPr>
            <w:tcW w:w="24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5.1</w:t>
            </w: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Licence granted to Licensee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4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5.2</w:t>
            </w: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Right to sub-license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4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5.3</w:t>
            </w: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Prosecution and Maintenance of the Licensed Patents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4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5.4</w:t>
            </w: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Entitlement to license Licensed Patents, Licensed Information, and Background Technology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240" w:type="dxa"/>
            <w:vAlign w:val="bottom"/>
          </w:tcPr>
          <w:p>
            <w:pPr>
              <w:spacing w:after="0"/>
              <w:rPr>
                <w:sz w:val="20"/>
                <w:szCs w:val="20"/>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5.5</w:t>
            </w: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Licence granted to Monash</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3"/>
              </w:rPr>
              <w:t>6. </w:t>
            </w:r>
          </w:p>
        </w:tc>
        <w:tc>
          <w:tcPr>
            <w:tcW w:w="88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Research Projects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306"/>
        </w:trPr>
        <w:tc>
          <w:tcPr>
            <w:tcW w:w="24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w:t>
            </w: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Ownership of Project IP</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4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6.2</w:t>
            </w: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Project IP subject to Licence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4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6.3</w:t>
            </w: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Parties to collaborate in the Research Project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4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6.4</w:t>
            </w: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Research Results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4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6.5</w:t>
            </w: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Resources and personnel</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4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6.6</w:t>
            </w: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Research premises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4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6.7</w:t>
            </w: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Conduct of Research Project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4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6.8</w:t>
            </w: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Project Management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4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6.9</w:t>
            </w: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Project Committee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4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6.10</w:t>
            </w: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Modification of Research Project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240" w:type="dxa"/>
            <w:vAlign w:val="bottom"/>
          </w:tcPr>
          <w:p>
            <w:pPr>
              <w:spacing w:after="0"/>
              <w:rPr>
                <w:sz w:val="20"/>
                <w:szCs w:val="20"/>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6.11</w:t>
            </w: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Records and Accounts; Information Reporting</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3"/>
              </w:rPr>
              <w:t>7. </w:t>
            </w:r>
          </w:p>
        </w:tc>
        <w:tc>
          <w:tcPr>
            <w:tcW w:w="88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Payments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306"/>
        </w:trPr>
        <w:tc>
          <w:tcPr>
            <w:tcW w:w="24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7.1</w:t>
            </w: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Research Funding</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24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7.2</w:t>
            </w: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Maintenance Fee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24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7.3</w:t>
            </w: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Ongoing Net Income Sharing and Royalty Payments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24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7.4</w:t>
            </w: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Milestone Payments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24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7.5</w:t>
            </w: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Licensee Paid-Up Licence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240" w:type="dxa"/>
            <w:vAlign w:val="bottom"/>
          </w:tcPr>
          <w:p>
            <w:pPr>
              <w:spacing w:after="0"/>
              <w:rPr>
                <w:sz w:val="20"/>
                <w:szCs w:val="20"/>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7.6</w:t>
            </w: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Deduction of Taxes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Page i</w:t>
      </w:r>
    </w:p>
    <w:p>
      <w:pPr>
        <w:sectPr>
          <w:pgSz w:w="11900" w:h="16838" w:orient="portrait"/>
          <w:cols w:equalWidth="0" w:num="1">
            <w:col w:w="11020"/>
          </w:cols>
          <w:pgMar w:left="440" w:top="263" w:right="439" w:bottom="1440" w:gutter="0" w:footer="0" w:header="0"/>
        </w:sectPr>
      </w:pPr>
    </w:p>
    <w:bookmarkStart w:id="335" w:name="page336"/>
    <w:bookmarkEnd w:id="335"/>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7.7</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of Products</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4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7.8</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Timing of payments and interest</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4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7.9</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Royalty Reports</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4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7.10</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Currency and form of payment</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4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7.11</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Books of account</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240" w:type="dxa"/>
            <w:vAlign w:val="bottom"/>
          </w:tcPr>
          <w:p>
            <w:pPr>
              <w:spacing w:after="0"/>
              <w:rPr>
                <w:sz w:val="20"/>
                <w:szCs w:val="20"/>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7.12</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Inspection and audit of books</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3"/>
              </w:rPr>
              <w:t>8. </w:t>
            </w:r>
          </w:p>
        </w:tc>
        <w:tc>
          <w:tcPr>
            <w:tcW w:w="7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Intellectual Property Infringement</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306"/>
        </w:trPr>
        <w:tc>
          <w:tcPr>
            <w:tcW w:w="24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8.1</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Notification</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4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8.2</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Actions and assistance</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240" w:type="dxa"/>
            <w:vAlign w:val="bottom"/>
          </w:tcPr>
          <w:p>
            <w:pPr>
              <w:spacing w:after="0"/>
              <w:rPr>
                <w:sz w:val="20"/>
                <w:szCs w:val="20"/>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8.3</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Indemnity</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3"/>
              </w:rPr>
              <w:t>9. </w:t>
            </w:r>
          </w:p>
        </w:tc>
        <w:tc>
          <w:tcPr>
            <w:tcW w:w="7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Confidentiality</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306"/>
        </w:trPr>
        <w:tc>
          <w:tcPr>
            <w:tcW w:w="24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Publications and publicity</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24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Proposed publications</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24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Thesis publication</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24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Use of name of the other party</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24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endorsement</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240" w:type="dxa"/>
            <w:vAlign w:val="bottom"/>
          </w:tcPr>
          <w:p>
            <w:pPr>
              <w:spacing w:after="0"/>
              <w:rPr>
                <w:sz w:val="20"/>
                <w:szCs w:val="20"/>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Patent Listings</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11.   Indemnity and Insurance</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306"/>
        </w:trPr>
        <w:tc>
          <w:tcPr>
            <w:tcW w:w="24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11.1</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Indemnity</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24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11.2</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Release</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24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11.3</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Continuing Indemnity</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240" w:type="dxa"/>
            <w:vAlign w:val="bottom"/>
          </w:tcPr>
          <w:p>
            <w:pPr>
              <w:spacing w:after="0"/>
              <w:rPr>
                <w:sz w:val="20"/>
                <w:szCs w:val="20"/>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11.4</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12.   Termination</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306"/>
        </w:trPr>
        <w:tc>
          <w:tcPr>
            <w:tcW w:w="24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12.1</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 for Due Cause or Otherwise</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24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12.2</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Discontinuing the Activities</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24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12.3</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Consequences of Termination</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240" w:type="dxa"/>
            <w:vAlign w:val="bottom"/>
          </w:tcPr>
          <w:p>
            <w:pPr>
              <w:spacing w:after="0"/>
              <w:rPr>
                <w:sz w:val="20"/>
                <w:szCs w:val="20"/>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12.4</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Rights prior to Termination</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13.   Force Majeure</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r>
      <w:tr>
        <w:trPr>
          <w:trHeight w:val="306"/>
        </w:trPr>
        <w:tc>
          <w:tcPr>
            <w:tcW w:w="24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13.1</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Force Majeure</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240" w:type="dxa"/>
            <w:vAlign w:val="bottom"/>
          </w:tcPr>
          <w:p>
            <w:pPr>
              <w:spacing w:after="0"/>
              <w:rPr>
                <w:sz w:val="20"/>
                <w:szCs w:val="20"/>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13.2</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Remedial action</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14.   Dispute Resolution</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r>
      <w:tr>
        <w:trPr>
          <w:trHeight w:val="306"/>
        </w:trPr>
        <w:tc>
          <w:tcPr>
            <w:tcW w:w="24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14.1</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 faith negotiation</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24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14.2</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Disputes generally</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240" w:type="dxa"/>
            <w:vAlign w:val="bottom"/>
          </w:tcPr>
          <w:p>
            <w:pPr>
              <w:spacing w:after="0"/>
              <w:rPr>
                <w:sz w:val="20"/>
                <w:szCs w:val="20"/>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14.3</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Mediation</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15.   Notices</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r>
      <w:tr>
        <w:trPr>
          <w:trHeight w:val="306"/>
        </w:trPr>
        <w:tc>
          <w:tcPr>
            <w:tcW w:w="24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15.1</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Method</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240" w:type="dxa"/>
            <w:vAlign w:val="bottom"/>
          </w:tcPr>
          <w:p>
            <w:pPr>
              <w:spacing w:after="0"/>
              <w:rPr>
                <w:sz w:val="20"/>
                <w:szCs w:val="20"/>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15.2</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Address for service</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Page ii</w:t>
      </w:r>
    </w:p>
    <w:p>
      <w:pPr>
        <w:sectPr>
          <w:pgSz w:w="11900" w:h="16838" w:orient="portrait"/>
          <w:cols w:equalWidth="0" w:num="1">
            <w:col w:w="11020"/>
          </w:cols>
          <w:pgMar w:left="440" w:top="270" w:right="439" w:bottom="1440" w:gutter="0" w:footer="0" w:header="0"/>
        </w:sectPr>
      </w:pPr>
    </w:p>
    <w:bookmarkStart w:id="336" w:name="page337"/>
    <w:bookmarkEnd w:id="336"/>
    <w:tbl>
      <w:tblPr>
        <w:tblLayout w:type="fixed"/>
        <w:tblInd w:w="0" w:type="dxa"/>
        <w:tblCellMar>
          <w:top w:w="0" w:type="dxa"/>
          <w:left w:w="0" w:type="dxa"/>
          <w:bottom w:w="0" w:type="dxa"/>
          <w:right w:w="0" w:type="dxa"/>
        </w:tblCellMar>
      </w:tblPr>
      <w:tr>
        <w:trPr>
          <w:trHeight w:val="220"/>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16.   General</w:t>
            </w:r>
          </w:p>
        </w:tc>
        <w:tc>
          <w:tcPr>
            <w:tcW w:w="6340" w:type="dxa"/>
            <w:vAlign w:val="bottom"/>
          </w:tcPr>
          <w:p>
            <w:pPr>
              <w:spacing w:after="0"/>
              <w:rPr>
                <w:sz w:val="19"/>
                <w:szCs w:val="19"/>
                <w:color w:val="auto"/>
              </w:rPr>
            </w:pP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16.1</w:t>
            </w:r>
          </w:p>
        </w:tc>
        <w:tc>
          <w:tcPr>
            <w:tcW w:w="6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Amendment</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16.2</w:t>
            </w:r>
          </w:p>
        </w:tc>
        <w:tc>
          <w:tcPr>
            <w:tcW w:w="6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Assignment</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16.3</w:t>
            </w:r>
          </w:p>
        </w:tc>
        <w:tc>
          <w:tcPr>
            <w:tcW w:w="6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Governing law</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16.4</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w:t>
            </w:r>
          </w:p>
        </w:tc>
        <w:tc>
          <w:tcPr>
            <w:tcW w:w="6340" w:type="dxa"/>
            <w:vAlign w:val="bottom"/>
          </w:tcPr>
          <w:p>
            <w:pPr>
              <w:spacing w:after="0"/>
              <w:rPr>
                <w:sz w:val="18"/>
                <w:szCs w:val="18"/>
                <w:color w:val="auto"/>
              </w:rPr>
            </w:pP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16.5</w:t>
            </w:r>
          </w:p>
        </w:tc>
        <w:tc>
          <w:tcPr>
            <w:tcW w:w="6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Further assurance</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16.6</w:t>
            </w:r>
          </w:p>
        </w:tc>
        <w:tc>
          <w:tcPr>
            <w:tcW w:w="6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Waiver of rights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16.7</w:t>
            </w:r>
          </w:p>
        </w:tc>
        <w:tc>
          <w:tcPr>
            <w:tcW w:w="6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Original Agreement; Entire Agreement</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16.8</w:t>
            </w:r>
          </w:p>
        </w:tc>
        <w:tc>
          <w:tcPr>
            <w:tcW w:w="6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Consents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16.9</w:t>
            </w:r>
          </w:p>
        </w:tc>
        <w:tc>
          <w:tcPr>
            <w:tcW w:w="6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Relationship</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16.10</w:t>
            </w:r>
          </w:p>
        </w:tc>
        <w:tc>
          <w:tcPr>
            <w:tcW w:w="6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16.11</w:t>
            </w:r>
          </w:p>
        </w:tc>
        <w:tc>
          <w:tcPr>
            <w:tcW w:w="6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Attorneys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41"/>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Schedule 1</w:t>
            </w:r>
          </w:p>
        </w:tc>
        <w:tc>
          <w:tcPr>
            <w:tcW w:w="5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73"/>
              </w:rPr>
              <w:t>—  </w:t>
            </w:r>
          </w:p>
        </w:tc>
        <w:tc>
          <w:tcPr>
            <w:tcW w:w="6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Project Details</w:t>
            </w:r>
          </w:p>
        </w:tc>
        <w:tc>
          <w:tcPr>
            <w:tcW w:w="3300" w:type="dxa"/>
            <w:vAlign w:val="bottom"/>
          </w:tcPr>
          <w:p>
            <w:pPr>
              <w:spacing w:after="0"/>
              <w:rPr>
                <w:sz w:val="24"/>
                <w:szCs w:val="24"/>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Schedule 2</w:t>
            </w:r>
          </w:p>
        </w:tc>
        <w:tc>
          <w:tcPr>
            <w:tcW w:w="5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73"/>
              </w:rPr>
              <w:t>—  </w:t>
            </w:r>
          </w:p>
        </w:tc>
        <w:tc>
          <w:tcPr>
            <w:tcW w:w="6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Application of Definitions and Calculations</w:t>
            </w:r>
          </w:p>
        </w:tc>
        <w:tc>
          <w:tcPr>
            <w:tcW w:w="330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Schedule 3</w:t>
            </w:r>
          </w:p>
        </w:tc>
        <w:tc>
          <w:tcPr>
            <w:tcW w:w="5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73"/>
              </w:rPr>
              <w:t>—  </w:t>
            </w:r>
          </w:p>
        </w:tc>
        <w:tc>
          <w:tcPr>
            <w:tcW w:w="6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Development Plan</w:t>
            </w:r>
          </w:p>
        </w:tc>
        <w:tc>
          <w:tcPr>
            <w:tcW w:w="3300" w:type="dxa"/>
            <w:vAlign w:val="bottom"/>
          </w:tcPr>
          <w:p>
            <w:pPr>
              <w:spacing w:after="0"/>
              <w:rPr>
                <w:sz w:val="18"/>
                <w:szCs w:val="18"/>
                <w:color w:val="auto"/>
              </w:rPr>
            </w:pP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Schedule 4</w:t>
            </w:r>
          </w:p>
        </w:tc>
        <w:tc>
          <w:tcPr>
            <w:tcW w:w="5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73"/>
              </w:rPr>
              <w:t>—  </w:t>
            </w:r>
          </w:p>
        </w:tc>
        <w:tc>
          <w:tcPr>
            <w:tcW w:w="6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Patents</w:t>
            </w:r>
          </w:p>
        </w:tc>
        <w:tc>
          <w:tcPr>
            <w:tcW w:w="3300" w:type="dxa"/>
            <w:vAlign w:val="bottom"/>
          </w:tcPr>
          <w:p>
            <w:pPr>
              <w:spacing w:after="0"/>
              <w:rPr>
                <w:sz w:val="20"/>
                <w:szCs w:val="20"/>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iii</w:t>
      </w:r>
    </w:p>
    <w:p>
      <w:pPr>
        <w:sectPr>
          <w:pgSz w:w="11900" w:h="16838" w:orient="portrait"/>
          <w:cols w:equalWidth="0" w:num="1">
            <w:col w:w="11020"/>
          </w:cols>
          <w:pgMar w:left="440" w:top="266" w:right="439" w:bottom="1440" w:gutter="0" w:footer="0" w:header="0"/>
        </w:sectPr>
      </w:pPr>
    </w:p>
    <w:bookmarkStart w:id="337" w:name="page338"/>
    <w:bookmarkEnd w:id="337"/>
    <w:p>
      <w:pPr>
        <w:jc w:val="both"/>
        <w:ind w:left="4" w:right="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Amended and Restated License Agreement, effective as of 3 March 2025 (the “</w:t>
      </w:r>
      <w:r>
        <w:rPr>
          <w:rFonts w:ascii="Times New Roman" w:cs="Times New Roman" w:eastAsia="Times New Roman" w:hAnsi="Times New Roman"/>
          <w:sz w:val="18"/>
          <w:szCs w:val="18"/>
          <w:b w:val="1"/>
          <w:bCs w:val="1"/>
          <w:color w:val="auto"/>
        </w:rPr>
        <w:t>Restatement Date</w:t>
      </w:r>
      <w:r>
        <w:rPr>
          <w:rFonts w:ascii="Times New Roman" w:cs="Times New Roman" w:eastAsia="Times New Roman" w:hAnsi="Times New Roman"/>
          <w:sz w:val="18"/>
          <w:szCs w:val="18"/>
          <w:color w:val="auto"/>
        </w:rPr>
        <w:t>”), is by and between the parties identified below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pursuant to which the Parties agree to amend and restate the Original Agreement (as defined below) in its entirety.</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Parties</w:t>
      </w:r>
    </w:p>
    <w:p>
      <w:pPr>
        <w:spacing w:after="0" w:line="131" w:lineRule="exact"/>
        <w:rPr>
          <w:sz w:val="20"/>
          <w:szCs w:val="20"/>
          <w:color w:val="auto"/>
        </w:rPr>
      </w:pPr>
    </w:p>
    <w:p>
      <w:pPr>
        <w:ind w:left="424" w:right="620" w:hanging="424"/>
        <w:spacing w:after="0" w:line="286" w:lineRule="auto"/>
        <w:tabs>
          <w:tab w:leader="none" w:pos="42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Monash University </w:t>
      </w:r>
      <w:r>
        <w:rPr>
          <w:rFonts w:ascii="Times New Roman" w:cs="Times New Roman" w:eastAsia="Times New Roman" w:hAnsi="Times New Roman"/>
          <w:sz w:val="18"/>
          <w:szCs w:val="18"/>
          <w:color w:val="auto"/>
        </w:rPr>
        <w:t>ABN 12 377 614 012, a body politic and corporate constituted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Monash University Act 2009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Wellington Road, Clayton, Victoria, Australia 3800 (“</w:t>
      </w:r>
      <w:r>
        <w:rPr>
          <w:rFonts w:ascii="Times New Roman" w:cs="Times New Roman" w:eastAsia="Times New Roman" w:hAnsi="Times New Roman"/>
          <w:sz w:val="18"/>
          <w:szCs w:val="18"/>
          <w:b w:val="1"/>
          <w:bCs w:val="1"/>
          <w:color w:val="auto"/>
        </w:rPr>
        <w:t>Monash</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Seaport Therapeutics, Inc., </w:t>
      </w:r>
      <w:r>
        <w:rPr>
          <w:rFonts w:ascii="Times New Roman" w:cs="Times New Roman" w:eastAsia="Times New Roman" w:hAnsi="Times New Roman"/>
          <w:sz w:val="18"/>
          <w:szCs w:val="18"/>
          <w:color w:val="auto"/>
        </w:rPr>
        <w:t>a Delaware corporation with an address at 101 Seaport Blvd., Floor 12, Boston, MA 02210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35" w:lineRule="exact"/>
        <w:rPr>
          <w:sz w:val="20"/>
          <w:szCs w:val="20"/>
          <w:color w:val="auto"/>
        </w:rPr>
      </w:pPr>
    </w:p>
    <w:p>
      <w:pPr>
        <w:ind w:left="424" w:hanging="424"/>
        <w:spacing w:after="0"/>
        <w:tabs>
          <w:tab w:leader="none" w:pos="42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Monash is the owner of the Licensed Patents, Licensed Information, and Background Technology.</w:t>
      </w:r>
    </w:p>
    <w:p>
      <w:pPr>
        <w:spacing w:after="0" w:line="126" w:lineRule="exact"/>
        <w:rPr>
          <w:rFonts w:ascii="Times New Roman" w:cs="Times New Roman" w:eastAsia="Times New Roman" w:hAnsi="Times New Roman"/>
          <w:sz w:val="18"/>
          <w:szCs w:val="18"/>
          <w:color w:val="auto"/>
        </w:rPr>
      </w:pPr>
    </w:p>
    <w:p>
      <w:pPr>
        <w:ind w:left="424" w:right="20" w:hanging="424"/>
        <w:spacing w:after="0" w:line="268" w:lineRule="auto"/>
        <w:tabs>
          <w:tab w:leader="none" w:pos="42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Monash and PureTech Health LLC (“</w:t>
      </w:r>
      <w:r>
        <w:rPr>
          <w:rFonts w:ascii="Times New Roman" w:cs="Times New Roman" w:eastAsia="Times New Roman" w:hAnsi="Times New Roman"/>
          <w:sz w:val="18"/>
          <w:szCs w:val="18"/>
          <w:b w:val="1"/>
          <w:bCs w:val="1"/>
          <w:color w:val="auto"/>
        </w:rPr>
        <w:t>PureTech</w:t>
      </w:r>
      <w:r>
        <w:rPr>
          <w:rFonts w:ascii="Times New Roman" w:cs="Times New Roman" w:eastAsia="Times New Roman" w:hAnsi="Times New Roman"/>
          <w:sz w:val="18"/>
          <w:szCs w:val="18"/>
          <w:color w:val="auto"/>
        </w:rPr>
        <w:t>”) entered into a Licence Agreement, dated August 1, 2017 (the “</w:t>
      </w:r>
      <w:r>
        <w:rPr>
          <w:rFonts w:ascii="Times New Roman" w:cs="Times New Roman" w:eastAsia="Times New Roman" w:hAnsi="Times New Roman"/>
          <w:sz w:val="18"/>
          <w:szCs w:val="18"/>
          <w:b w:val="1"/>
          <w:bCs w:val="1"/>
          <w:color w:val="auto"/>
        </w:rPr>
        <w:t>Commencement Date</w:t>
      </w:r>
      <w:r>
        <w:rPr>
          <w:rFonts w:ascii="Times New Roman" w:cs="Times New Roman" w:eastAsia="Times New Roman" w:hAnsi="Times New Roman"/>
          <w:sz w:val="18"/>
          <w:szCs w:val="18"/>
          <w:color w:val="auto"/>
        </w:rPr>
        <w:t>”), which was amended pursuant to Amendment No. 1 dated July 31, 2018, Amendment No. 2 dated April 8, 2019, Amendment No. 3 dated August 1, 2020, Amendment No. 4 signed in 2021, and Amendment No. 5 dated July 20, 2022 (collectively, the “</w:t>
      </w:r>
      <w:r>
        <w:rPr>
          <w:rFonts w:ascii="Times New Roman" w:cs="Times New Roman" w:eastAsia="Times New Roman" w:hAnsi="Times New Roman"/>
          <w:sz w:val="18"/>
          <w:szCs w:val="18"/>
          <w:b w:val="1"/>
          <w:bCs w:val="1"/>
          <w:color w:val="auto"/>
        </w:rPr>
        <w:t>Original Agreement</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jc w:val="both"/>
        <w:ind w:left="424" w:right="80" w:hanging="424"/>
        <w:spacing w:after="0" w:line="266" w:lineRule="auto"/>
        <w:tabs>
          <w:tab w:leader="none" w:pos="42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Asset Transfer Agreement between PureTech and Licensee dated April 8, 2024, PureTech assigned all its rights under the Original Agreement to Licensee and Licensee assumed all of PureTech’s obligations under the Original Agreement. Monash consented to such assignment through a consent document executed by Monash on March 28, 2024.</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enter into this Agreement to amend and restate the Original Agreement in its entirety on and with effect from the Restatement Date.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Operative Clauses</w:t>
      </w:r>
    </w:p>
    <w:p>
      <w:pPr>
        <w:spacing w:after="0" w:line="131" w:lineRule="exact"/>
        <w:rPr>
          <w:sz w:val="20"/>
          <w:szCs w:val="20"/>
          <w:color w:val="auto"/>
        </w:rPr>
      </w:pPr>
    </w:p>
    <w:p>
      <w:pPr>
        <w:ind w:left="4" w:right="8280" w:hanging="4"/>
        <w:spacing w:after="0" w:line="385" w:lineRule="auto"/>
        <w:tabs>
          <w:tab w:leader="none" w:pos="436"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 1.1 Definitions</w:t>
      </w:r>
    </w:p>
    <w:p>
      <w:pPr>
        <w:spacing w:after="0" w:line="1" w:lineRule="exact"/>
        <w:rPr>
          <w:rFonts w:ascii="Times New Roman" w:cs="Times New Roman" w:eastAsia="Times New Roman" w:hAnsi="Times New Roman"/>
          <w:sz w:val="18"/>
          <w:szCs w:val="18"/>
          <w:b w:val="1"/>
          <w:bCs w:val="1"/>
          <w:color w:val="auto"/>
        </w:rPr>
      </w:pPr>
    </w:p>
    <w:p>
      <w:pPr>
        <w:ind w:left="444" w:right="6480"/>
        <w:spacing w:after="0" w:line="39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this Agreement, unless the context otherwise requires; </w:t>
      </w:r>
      <w:r>
        <w:rPr>
          <w:rFonts w:ascii="Times New Roman" w:cs="Times New Roman" w:eastAsia="Times New Roman" w:hAnsi="Times New Roman"/>
          <w:sz w:val="18"/>
          <w:szCs w:val="18"/>
          <w:b w:val="1"/>
          <w:bCs w:val="1"/>
          <w:color w:val="auto"/>
        </w:rPr>
        <w:t xml:space="preserve">Activities </w:t>
      </w:r>
      <w:r>
        <w:rPr>
          <w:rFonts w:ascii="Times New Roman" w:cs="Times New Roman" w:eastAsia="Times New Roman" w:hAnsi="Times New Roman"/>
          <w:sz w:val="18"/>
          <w:szCs w:val="18"/>
          <w:color w:val="auto"/>
        </w:rPr>
        <w:t>means the activities set out in Clause 3.1;</w:t>
      </w:r>
    </w:p>
    <w:p>
      <w:pPr>
        <w:jc w:val="right"/>
        <w:spacing w:after="0"/>
        <w:rPr>
          <w:sz w:val="20"/>
          <w:szCs w:val="20"/>
          <w:color w:val="auto"/>
        </w:rPr>
      </w:pPr>
      <w:r>
        <w:rPr>
          <w:rFonts w:ascii="Times New Roman" w:cs="Times New Roman" w:eastAsia="Times New Roman" w:hAnsi="Times New Roman"/>
          <w:sz w:val="18"/>
          <w:szCs w:val="18"/>
          <w:color w:val="auto"/>
        </w:rPr>
        <w:t>Page 1</w:t>
      </w:r>
    </w:p>
    <w:p>
      <w:pPr>
        <w:sectPr>
          <w:pgSz w:w="11900" w:h="16838" w:orient="portrait"/>
          <w:cols w:equalWidth="0" w:num="1">
            <w:col w:w="11024"/>
          </w:cols>
          <w:pgMar w:left="436" w:top="266" w:right="439" w:bottom="1440" w:gutter="0" w:footer="0" w:header="0"/>
        </w:sectPr>
      </w:pPr>
    </w:p>
    <w:bookmarkStart w:id="338" w:name="page339"/>
    <w:bookmarkEnd w:id="338"/>
    <w:p>
      <w:pPr>
        <w:jc w:val="both"/>
        <w:ind w:left="20" w:right="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Affiliate </w:t>
      </w:r>
      <w:r>
        <w:rPr>
          <w:rFonts w:ascii="Times New Roman" w:cs="Times New Roman" w:eastAsia="Times New Roman" w:hAnsi="Times New Roman"/>
          <w:sz w:val="18"/>
          <w:szCs w:val="18"/>
          <w:color w:val="auto"/>
        </w:rPr>
        <w:t>means any entity that, directly or indirectly, controls, is controlled by or is under common control with a party for so long as such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exists, where “control” for purposes of this Agreement means the decision making authority as to such entity including in relation to financial and operational policies and, further, where such control shall be presumed to exist where an entity owns more than 50% of the equity entitled to vote regarding composition of the board of directors or other body entitled to direct the affairs of the entity;</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means this agreement and includes all schedules, annexures and attachments to this agreement;</w:t>
      </w:r>
    </w:p>
    <w:p>
      <w:pPr>
        <w:spacing w:after="0" w:line="117" w:lineRule="exact"/>
        <w:rPr>
          <w:sz w:val="20"/>
          <w:szCs w:val="20"/>
          <w:color w:val="auto"/>
        </w:rPr>
      </w:pPr>
    </w:p>
    <w:p>
      <w:pPr>
        <w:ind w:left="20" w:right="7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Applicable Laws </w:t>
      </w:r>
      <w:r>
        <w:rPr>
          <w:rFonts w:ascii="Times New Roman" w:cs="Times New Roman" w:eastAsia="Times New Roman" w:hAnsi="Times New Roman"/>
          <w:sz w:val="18"/>
          <w:szCs w:val="18"/>
          <w:color w:val="auto"/>
        </w:rPr>
        <w:t>means all laws, regulations, statutes, by-laws, codes of conduct and industry standards applicable to the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 and/or sale of the Products;</w:t>
      </w:r>
    </w:p>
    <w:p>
      <w:pPr>
        <w:spacing w:after="0" w:line="47" w:lineRule="exact"/>
        <w:rPr>
          <w:sz w:val="20"/>
          <w:szCs w:val="20"/>
          <w:color w:val="auto"/>
        </w:rPr>
      </w:pPr>
    </w:p>
    <w:p>
      <w:pPr>
        <w:ind w:left="20" w:right="2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Background Technology </w:t>
      </w:r>
      <w:r>
        <w:rPr>
          <w:rFonts w:ascii="Times New Roman" w:cs="Times New Roman" w:eastAsia="Times New Roman" w:hAnsi="Times New Roman"/>
          <w:sz w:val="18"/>
          <w:szCs w:val="18"/>
          <w:color w:val="auto"/>
        </w:rPr>
        <w:t>means all drawings, specifications, processes, techniques, samples, specimens, prototypes, designs, research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results, test results, and other technical and scientific information which have been produced, developed, acquired, licensed or are otherwise held by Monash at the Commencement Date (subject to any prior licences to third parties the scope of which licences have been disclosed by Monash to Licensee);</w:t>
      </w:r>
    </w:p>
    <w:p>
      <w:pPr>
        <w:spacing w:after="0" w:line="68" w:lineRule="exact"/>
        <w:rPr>
          <w:sz w:val="20"/>
          <w:szCs w:val="20"/>
          <w:color w:val="auto"/>
        </w:rPr>
      </w:pPr>
    </w:p>
    <w:p>
      <w:pPr>
        <w:ind w:left="20"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Books of Account </w:t>
      </w:r>
      <w:r>
        <w:rPr>
          <w:rFonts w:ascii="Times New Roman" w:cs="Times New Roman" w:eastAsia="Times New Roman" w:hAnsi="Times New Roman"/>
          <w:sz w:val="18"/>
          <w:szCs w:val="18"/>
          <w:color w:val="auto"/>
        </w:rPr>
        <w:t>with respect to Net Income and Net Sales means all usual books and records and which are required to fully record and explain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transactions and terms comprising Net Income and Net Sales;</w:t>
      </w:r>
    </w:p>
    <w:p>
      <w:pPr>
        <w:spacing w:after="0" w:line="47" w:lineRule="exact"/>
        <w:rPr>
          <w:sz w:val="20"/>
          <w:szCs w:val="20"/>
          <w:color w:val="auto"/>
        </w:rPr>
      </w:pPr>
    </w:p>
    <w:p>
      <w:pPr>
        <w:ind w:left="20" w:right="3500"/>
        <w:spacing w:after="0" w:line="380" w:lineRule="auto"/>
        <w:rPr>
          <w:sz w:val="20"/>
          <w:szCs w:val="20"/>
          <w:color w:val="auto"/>
        </w:rPr>
      </w:pPr>
      <w:r>
        <w:rPr>
          <w:rFonts w:ascii="Times New Roman" w:cs="Times New Roman" w:eastAsia="Times New Roman" w:hAnsi="Times New Roman"/>
          <w:sz w:val="18"/>
          <w:szCs w:val="18"/>
          <w:b w:val="1"/>
          <w:bCs w:val="1"/>
          <w:color w:val="auto"/>
        </w:rPr>
        <w:t xml:space="preserve">Business Day </w:t>
      </w:r>
      <w:r>
        <w:rPr>
          <w:rFonts w:ascii="Times New Roman" w:cs="Times New Roman" w:eastAsia="Times New Roman" w:hAnsi="Times New Roman"/>
          <w:sz w:val="18"/>
          <w:szCs w:val="18"/>
          <w:color w:val="auto"/>
        </w:rPr>
        <w:t>means a day that is not a Saturday, Sunday or public holiday in Melbourne;</w:t>
      </w:r>
      <w:r>
        <w:rPr>
          <w:rFonts w:ascii="Times New Roman" w:cs="Times New Roman" w:eastAsia="Times New Roman" w:hAnsi="Times New Roman"/>
          <w:sz w:val="18"/>
          <w:szCs w:val="18"/>
          <w:b w:val="1"/>
          <w:bCs w:val="1"/>
          <w:color w:val="auto"/>
        </w:rPr>
        <w:t xml:space="preserve"> Calendar Year </w:t>
      </w:r>
      <w:r>
        <w:rPr>
          <w:rFonts w:ascii="Times New Roman" w:cs="Times New Roman" w:eastAsia="Times New Roman" w:hAnsi="Times New Roman"/>
          <w:sz w:val="18"/>
          <w:szCs w:val="18"/>
          <w:color w:val="auto"/>
        </w:rPr>
        <w:t>means each year or part year after the Commencement Date ending 31 December;</w:t>
      </w:r>
      <w:r>
        <w:rPr>
          <w:rFonts w:ascii="Times New Roman" w:cs="Times New Roman" w:eastAsia="Times New Roman" w:hAnsi="Times New Roman"/>
          <w:sz w:val="18"/>
          <w:szCs w:val="18"/>
          <w:b w:val="1"/>
          <w:bCs w:val="1"/>
          <w:color w:val="auto"/>
        </w:rPr>
        <w:t xml:space="preserve"> Commencement Date </w:t>
      </w:r>
      <w:r>
        <w:rPr>
          <w:rFonts w:ascii="Times New Roman" w:cs="Times New Roman" w:eastAsia="Times New Roman" w:hAnsi="Times New Roman"/>
          <w:sz w:val="18"/>
          <w:szCs w:val="18"/>
          <w:color w:val="auto"/>
        </w:rPr>
        <w:t>has the meaning set forth in the recitals;</w:t>
      </w:r>
      <w:r>
        <w:rPr>
          <w:rFonts w:ascii="Times New Roman" w:cs="Times New Roman" w:eastAsia="Times New Roman" w:hAnsi="Times New Roman"/>
          <w:sz w:val="18"/>
          <w:szCs w:val="18"/>
          <w:b w:val="1"/>
          <w:bCs w:val="1"/>
          <w:color w:val="auto"/>
        </w:rPr>
        <w:t xml:space="preserve"> Commercialise </w:t>
      </w:r>
      <w:r>
        <w:rPr>
          <w:rFonts w:ascii="Times New Roman" w:cs="Times New Roman" w:eastAsia="Times New Roman" w:hAnsi="Times New Roman"/>
          <w:sz w:val="18"/>
          <w:szCs w:val="18"/>
          <w:color w:val="auto"/>
        </w:rPr>
        <w:t>means:</w:t>
      </w:r>
    </w:p>
    <w:p>
      <w:pPr>
        <w:spacing w:after="0" w:line="3" w:lineRule="exact"/>
        <w:rPr>
          <w:sz w:val="20"/>
          <w:szCs w:val="20"/>
          <w:color w:val="auto"/>
        </w:rPr>
      </w:pPr>
    </w:p>
    <w:p>
      <w:pPr>
        <w:ind w:left="540" w:hanging="532"/>
        <w:spacing w:after="0"/>
        <w:tabs>
          <w:tab w:leader="none" w:pos="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research, develop, manufacture, have manufactured and use;</w:t>
      </w:r>
    </w:p>
    <w:p>
      <w:pPr>
        <w:spacing w:after="0" w:line="13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 offer for sale, have sold, import, export and otherwise exploit or dispose of; or</w:t>
      </w:r>
    </w:p>
    <w:p>
      <w:pPr>
        <w:spacing w:after="0" w:line="12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license any third party to do any of the things referred to in (a) or (b) above; and </w:t>
      </w:r>
      <w:r>
        <w:rPr>
          <w:rFonts w:ascii="Times New Roman" w:cs="Times New Roman" w:eastAsia="Times New Roman" w:hAnsi="Times New Roman"/>
          <w:sz w:val="18"/>
          <w:szCs w:val="18"/>
          <w:b w:val="1"/>
          <w:bCs w:val="1"/>
          <w:color w:val="auto"/>
        </w:rPr>
        <w:t>Commercialisation</w:t>
      </w:r>
      <w:r>
        <w:rPr>
          <w:rFonts w:ascii="Times New Roman" w:cs="Times New Roman" w:eastAsia="Times New Roman" w:hAnsi="Times New Roman"/>
          <w:sz w:val="18"/>
          <w:szCs w:val="18"/>
          <w:color w:val="auto"/>
        </w:rPr>
        <w:t xml:space="preserve"> shall be construed accordingly.</w:t>
      </w:r>
    </w:p>
    <w:p>
      <w:pPr>
        <w:spacing w:after="0" w:line="117" w:lineRule="exact"/>
        <w:rPr>
          <w:sz w:val="20"/>
          <w:szCs w:val="20"/>
          <w:color w:val="auto"/>
        </w:rPr>
      </w:pPr>
    </w:p>
    <w:p>
      <w:pPr>
        <w:ind w:left="20"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Confidential Information </w:t>
      </w:r>
      <w:r>
        <w:rPr>
          <w:rFonts w:ascii="Times New Roman" w:cs="Times New Roman" w:eastAsia="Times New Roman" w:hAnsi="Times New Roman"/>
          <w:sz w:val="18"/>
          <w:szCs w:val="18"/>
          <w:color w:val="auto"/>
        </w:rPr>
        <w:t>means any confidential information, in any form or media relating to or representing the Background Technology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Intellectual Property therein, or other confidential information of either party, other than information which:</w:t>
      </w:r>
    </w:p>
    <w:p>
      <w:pPr>
        <w:spacing w:after="0" w:line="64" w:lineRule="exact"/>
        <w:rPr>
          <w:sz w:val="20"/>
          <w:szCs w:val="20"/>
          <w:color w:val="auto"/>
        </w:rPr>
      </w:pPr>
    </w:p>
    <w:p>
      <w:pPr>
        <w:ind w:left="540" w:right="180" w:hanging="532"/>
        <w:spacing w:after="0" w:line="282" w:lineRule="auto"/>
        <w:tabs>
          <w:tab w:leader="none" w:pos="5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in the public domain at the time of its disclosure or subsequently comes into the public domain otherwise than through breach by the receiving party;</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w:t>
      </w:r>
    </w:p>
    <w:p>
      <w:pPr>
        <w:sectPr>
          <w:pgSz w:w="11900" w:h="16838" w:orient="portrait"/>
          <w:cols w:equalWidth="0" w:num="1">
            <w:col w:w="10600"/>
          </w:cols>
          <w:pgMar w:left="860" w:top="266" w:right="439" w:bottom="1440" w:gutter="0" w:footer="0" w:header="0"/>
        </w:sectPr>
      </w:pPr>
    </w:p>
    <w:bookmarkStart w:id="339" w:name="page340"/>
    <w:bookmarkEnd w:id="339"/>
    <w:p>
      <w:pPr>
        <w:ind w:left="540" w:right="120" w:hanging="532"/>
        <w:spacing w:after="0" w:line="282" w:lineRule="auto"/>
        <w:tabs>
          <w:tab w:leader="none" w:pos="5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came into the knowledge of the receiving party by lawful means from a third party and without breach of any obligation of confidentiality by any third party; or</w:t>
      </w:r>
    </w:p>
    <w:p>
      <w:pPr>
        <w:spacing w:after="0" w:line="67" w:lineRule="exact"/>
        <w:rPr>
          <w:rFonts w:ascii="Times New Roman" w:cs="Times New Roman" w:eastAsia="Times New Roman" w:hAnsi="Times New Roman"/>
          <w:sz w:val="18"/>
          <w:szCs w:val="18"/>
          <w:color w:val="auto"/>
        </w:rPr>
      </w:pPr>
    </w:p>
    <w:p>
      <w:pPr>
        <w:ind w:left="540" w:right="60" w:hanging="532"/>
        <w:spacing w:after="0" w:line="282" w:lineRule="auto"/>
        <w:tabs>
          <w:tab w:leader="none" w:pos="5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in fact known to the receiving party, without breach of any obligation of confidentiality by any third party, prior to its disclosure to the receiving party;</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Field </w:t>
      </w:r>
      <w:r>
        <w:rPr>
          <w:rFonts w:ascii="Times New Roman" w:cs="Times New Roman" w:eastAsia="Times New Roman" w:hAnsi="Times New Roman"/>
          <w:sz w:val="18"/>
          <w:szCs w:val="18"/>
          <w:color w:val="auto"/>
        </w:rPr>
        <w:t>means [***];</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Field Exception </w:t>
      </w:r>
      <w:r>
        <w:rPr>
          <w:rFonts w:ascii="Times New Roman" w:cs="Times New Roman" w:eastAsia="Times New Roman" w:hAnsi="Times New Roman"/>
          <w:sz w:val="18"/>
          <w:szCs w:val="18"/>
          <w:color w:val="auto"/>
        </w:rPr>
        <w:t>means [***];</w:t>
      </w:r>
    </w:p>
    <w:p>
      <w:pPr>
        <w:spacing w:after="0" w:line="117" w:lineRule="exact"/>
        <w:rPr>
          <w:sz w:val="20"/>
          <w:szCs w:val="20"/>
          <w:color w:val="auto"/>
        </w:rPr>
      </w:pPr>
    </w:p>
    <w:p>
      <w:pPr>
        <w:ind w:left="20"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First Commercial Sale </w:t>
      </w:r>
      <w:r>
        <w:rPr>
          <w:rFonts w:ascii="Times New Roman" w:cs="Times New Roman" w:eastAsia="Times New Roman" w:hAnsi="Times New Roman"/>
          <w:sz w:val="18"/>
          <w:szCs w:val="18"/>
          <w:color w:val="auto"/>
        </w:rPr>
        <w:t>shall mean, with respect to each Product, the first commercial sale in any country (or the relevant country, as appropriate)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Licensee or any of its Affiliates or Sublicensees;</w:t>
      </w:r>
    </w:p>
    <w:p>
      <w:pPr>
        <w:spacing w:after="0" w:line="47" w:lineRule="exact"/>
        <w:rPr>
          <w:sz w:val="20"/>
          <w:szCs w:val="20"/>
          <w:color w:val="auto"/>
        </w:rPr>
      </w:pPr>
    </w:p>
    <w:p>
      <w:pPr>
        <w:ind w:left="20"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Force Majeure </w:t>
      </w:r>
      <w:r>
        <w:rPr>
          <w:rFonts w:ascii="Times New Roman" w:cs="Times New Roman" w:eastAsia="Times New Roman" w:hAnsi="Times New Roman"/>
          <w:sz w:val="18"/>
          <w:szCs w:val="18"/>
          <w:color w:val="auto"/>
        </w:rPr>
        <w:t>means any cause which is not reasonably within the control of the Party affected, including without limitation an act of God,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strike, lockout or other similar interference with work, war (declared or undeclared), blockade, lightning, fire, earthquake, storm, flood, explosion, governmental or quasi governmental restraint, expropriation, prohibition, intervention, direction or embargo unless consistent with Applicable Laws, unavailability or delay in availability of materials, equipment or transport, inability or delay in obtaining governmental or quasi governmental approvals, consents, permits, licenses, authorities or allocations;</w:t>
      </w:r>
    </w:p>
    <w:p>
      <w:pPr>
        <w:spacing w:after="0" w:line="71" w:lineRule="exact"/>
        <w:rPr>
          <w:sz w:val="20"/>
          <w:szCs w:val="20"/>
          <w:color w:val="auto"/>
        </w:rPr>
      </w:pPr>
    </w:p>
    <w:p>
      <w:pPr>
        <w:ind w:left="20" w:right="4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Improvement </w:t>
      </w:r>
      <w:r>
        <w:rPr>
          <w:rFonts w:ascii="Times New Roman" w:cs="Times New Roman" w:eastAsia="Times New Roman" w:hAnsi="Times New Roman"/>
          <w:sz w:val="18"/>
          <w:szCs w:val="18"/>
          <w:color w:val="auto"/>
        </w:rPr>
        <w:t>means an improvement, enhancement, development, modification or adaptation of the subject matter claimed in the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Patents but for the avoidance of doubt does not include any Monash Adaptation;</w:t>
      </w:r>
    </w:p>
    <w:p>
      <w:pPr>
        <w:spacing w:after="0" w:line="47" w:lineRule="exact"/>
        <w:rPr>
          <w:sz w:val="20"/>
          <w:szCs w:val="20"/>
          <w:color w:val="auto"/>
        </w:rPr>
      </w:pPr>
    </w:p>
    <w:p>
      <w:pPr>
        <w:ind w:left="20"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Intellectual Property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IP </w:t>
      </w:r>
      <w:r>
        <w:rPr>
          <w:rFonts w:ascii="Times New Roman" w:cs="Times New Roman" w:eastAsia="Times New Roman" w:hAnsi="Times New Roman"/>
          <w:sz w:val="18"/>
          <w:szCs w:val="18"/>
          <w:color w:val="auto"/>
        </w:rPr>
        <w:t>includes all patent, copyright and intellectual property rights of whatever nature, including without limitation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in relation to know-how, inventions, plant varieties, registered and unregistered trade marks (including service marks), registered designs and circuit layouts, and all other rights resulting from intellectual activity in the industrial, scientific, literary or artistic fields;</w:t>
      </w:r>
    </w:p>
    <w:p>
      <w:pPr>
        <w:spacing w:after="0" w:line="63" w:lineRule="exact"/>
        <w:rPr>
          <w:sz w:val="20"/>
          <w:szCs w:val="20"/>
          <w:color w:val="auto"/>
        </w:rPr>
      </w:pPr>
    </w:p>
    <w:p>
      <w:pPr>
        <w:ind w:left="20"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Licensed Information </w:t>
      </w:r>
      <w:r>
        <w:rPr>
          <w:rFonts w:ascii="Times New Roman" w:cs="Times New Roman" w:eastAsia="Times New Roman" w:hAnsi="Times New Roman"/>
          <w:sz w:val="18"/>
          <w:szCs w:val="18"/>
          <w:color w:val="auto"/>
        </w:rPr>
        <w:t>means any unpatented and non-public (subject to the paragraph below) IP, including proprietary know-how, trade secrets,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 or other confidential information, arising from or pertaining to the Licensed Patents, Improvements, or Project IP, produced, invented, or developed by Monash, that:</w:t>
      </w:r>
    </w:p>
    <w:p>
      <w:pPr>
        <w:spacing w:after="0" w:line="80" w:lineRule="exact"/>
        <w:rPr>
          <w:sz w:val="20"/>
          <w:szCs w:val="20"/>
          <w:color w:val="auto"/>
        </w:rPr>
      </w:pPr>
    </w:p>
    <w:p>
      <w:pPr>
        <w:ind w:left="540" w:hanging="532"/>
        <w:spacing w:after="0"/>
        <w:tabs>
          <w:tab w:leader="none" w:pos="5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disclosed by Monash to the Licensee</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Restatement Date or</w:t>
      </w:r>
    </w:p>
    <w:p>
      <w:pPr>
        <w:spacing w:after="0" w:line="130" w:lineRule="exact"/>
        <w:rPr>
          <w:rFonts w:ascii="Times New Roman" w:cs="Times New Roman" w:eastAsia="Times New Roman" w:hAnsi="Times New Roman"/>
          <w:sz w:val="18"/>
          <w:szCs w:val="18"/>
          <w:color w:val="auto"/>
        </w:rPr>
      </w:pPr>
    </w:p>
    <w:p>
      <w:pPr>
        <w:ind w:left="1000" w:right="700" w:hanging="439"/>
        <w:spacing w:after="0" w:line="282" w:lineRule="auto"/>
        <w:tabs>
          <w:tab w:leader="none" w:pos="100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or after the Restatement Date, is described in writing, or if orally disclosed then followed up in writing within [***] of disclosure; and</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w:t>
      </w:r>
    </w:p>
    <w:p>
      <w:pPr>
        <w:sectPr>
          <w:pgSz w:w="11900" w:h="16838" w:orient="portrait"/>
          <w:cols w:equalWidth="0" w:num="1">
            <w:col w:w="10600"/>
          </w:cols>
          <w:pgMar w:left="860" w:top="270" w:right="439" w:bottom="1440" w:gutter="0" w:footer="0" w:header="0"/>
        </w:sectPr>
      </w:pPr>
    </w:p>
    <w:bookmarkStart w:id="340" w:name="page341"/>
    <w:bookmarkEnd w:id="340"/>
    <w:p>
      <w:pPr>
        <w:ind w:left="540" w:right="80" w:hanging="532"/>
        <w:spacing w:after="0" w:line="282" w:lineRule="auto"/>
        <w:tabs>
          <w:tab w:leader="none" w:pos="5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 used or utilized by the Licensee, its Affiliates or Sub-licensees to make, use, sell, offer to sell, or import the Licensed Product, including optimizing or improving the development, manufacture, or commercialisation of the Licensed Product; and</w:t>
      </w:r>
    </w:p>
    <w:p>
      <w:pPr>
        <w:spacing w:after="0" w:line="6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confidential information of, or otherwise under any obligation to, a third party.</w:t>
      </w:r>
    </w:p>
    <w:p>
      <w:pPr>
        <w:spacing w:after="0" w:line="117" w:lineRule="exact"/>
        <w:rPr>
          <w:sz w:val="20"/>
          <w:szCs w:val="20"/>
          <w:color w:val="auto"/>
        </w:rPr>
      </w:pPr>
    </w:p>
    <w:p>
      <w:pPr>
        <w:ind w:left="20" w:right="660"/>
        <w:spacing w:after="0" w:line="282" w:lineRule="auto"/>
        <w:rPr>
          <w:sz w:val="20"/>
          <w:szCs w:val="20"/>
          <w:color w:val="auto"/>
        </w:rPr>
      </w:pPr>
      <w:r>
        <w:rPr>
          <w:rFonts w:ascii="Times New Roman" w:cs="Times New Roman" w:eastAsia="Times New Roman" w:hAnsi="Times New Roman"/>
          <w:sz w:val="18"/>
          <w:szCs w:val="18"/>
          <w:color w:val="auto"/>
        </w:rPr>
        <w:t>For the avoidance of doubt “Licensed Information” does not include any publicly available information itself, but may include non-public information relating to its practical use, application, or embodiment as disclosed by Monash to the Licensee.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Licensed Patents </w:t>
      </w:r>
      <w:r>
        <w:rPr>
          <w:rFonts w:ascii="Times New Roman" w:cs="Times New Roman" w:eastAsia="Times New Roman" w:hAnsi="Times New Roman"/>
          <w:sz w:val="18"/>
          <w:szCs w:val="18"/>
          <w:color w:val="auto"/>
        </w:rPr>
        <w:t>means the patents and applications set out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Schedule 4</w:t>
      </w:r>
      <w:r>
        <w:rPr>
          <w:rFonts w:ascii="Times New Roman" w:cs="Times New Roman" w:eastAsia="Times New Roman" w:hAnsi="Times New Roman"/>
          <w:sz w:val="18"/>
          <w:szCs w:val="18"/>
          <w:color w:val="auto"/>
        </w:rPr>
        <w:t>, and: any patents or patent applications that claim Project IP;</w:t>
      </w:r>
    </w:p>
    <w:p>
      <w:pPr>
        <w:spacing w:after="0" w:line="135" w:lineRule="exact"/>
        <w:rPr>
          <w:sz w:val="20"/>
          <w:szCs w:val="20"/>
          <w:color w:val="auto"/>
        </w:rPr>
      </w:pPr>
    </w:p>
    <w:p>
      <w:pPr>
        <w:ind w:left="540" w:right="20" w:hanging="532"/>
        <w:spacing w:after="0" w:line="266" w:lineRule="auto"/>
        <w:tabs>
          <w:tab w:leader="none" w:pos="5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or patent applications claiming priority from any of the patent applications referred to in Schedule 4 or paragraph (a), including all extensions, continuations, continuations-in-part, divisionals, patents of addition, reissues and any corresponding foreign patent applications, including International PCT Applications;</w:t>
      </w:r>
    </w:p>
    <w:p>
      <w:pPr>
        <w:spacing w:after="0" w:line="81" w:lineRule="exact"/>
        <w:rPr>
          <w:rFonts w:ascii="Times New Roman" w:cs="Times New Roman" w:eastAsia="Times New Roman" w:hAnsi="Times New Roman"/>
          <w:sz w:val="18"/>
          <w:szCs w:val="18"/>
          <w:color w:val="auto"/>
        </w:rPr>
      </w:pPr>
    </w:p>
    <w:p>
      <w:pPr>
        <w:ind w:left="540" w:right="100" w:hanging="532"/>
        <w:spacing w:after="0" w:line="266" w:lineRule="auto"/>
        <w:tabs>
          <w:tab w:leader="none" w:pos="5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inventions disclosed and claimed in any of the patents or patent applications referred to in Schedule 4 or paragraphs (a) or (b), and any separately filed patent or patent application claiming an invention described in any of the patents or patent applications referred to in Schedule 4 or paragraphs (a) or (b); and</w:t>
      </w:r>
    </w:p>
    <w:p>
      <w:pPr>
        <w:spacing w:after="0" w:line="81" w:lineRule="exact"/>
        <w:rPr>
          <w:rFonts w:ascii="Times New Roman" w:cs="Times New Roman" w:eastAsia="Times New Roman" w:hAnsi="Times New Roman"/>
          <w:sz w:val="18"/>
          <w:szCs w:val="18"/>
          <w:color w:val="auto"/>
        </w:rPr>
      </w:pPr>
    </w:p>
    <w:p>
      <w:pPr>
        <w:ind w:left="540" w:right="680" w:hanging="532"/>
        <w:spacing w:after="0" w:line="282" w:lineRule="auto"/>
        <w:tabs>
          <w:tab w:leader="none" w:pos="5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equivalent foreign rights issuing, granted or registered on any of the patents or patent applications referred to in Schedule 4 or paragraphs (a), (b) or (c).</w:t>
      </w:r>
    </w:p>
    <w:p>
      <w:pPr>
        <w:spacing w:after="0" w:line="50" w:lineRule="exact"/>
        <w:rPr>
          <w:sz w:val="20"/>
          <w:szCs w:val="20"/>
          <w:color w:val="auto"/>
        </w:rPr>
      </w:pPr>
    </w:p>
    <w:p>
      <w:pPr>
        <w:ind w:left="20"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Loss </w:t>
      </w:r>
      <w:r>
        <w:rPr>
          <w:rFonts w:ascii="Times New Roman" w:cs="Times New Roman" w:eastAsia="Times New Roman" w:hAnsi="Times New Roman"/>
          <w:sz w:val="18"/>
          <w:szCs w:val="18"/>
          <w:color w:val="auto"/>
        </w:rPr>
        <w:t>means, in relation to any person, a damage, loss, cost, expense or liability incurred by the person or a claim, action proceeding or demand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against the person, however arising and whether present or future, fixed or unascertained, actual or contingent;</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Monash Adaptation </w:t>
      </w:r>
      <w:r>
        <w:rPr>
          <w:rFonts w:ascii="Times New Roman" w:cs="Times New Roman" w:eastAsia="Times New Roman" w:hAnsi="Times New Roman"/>
          <w:sz w:val="18"/>
          <w:szCs w:val="18"/>
          <w:color w:val="auto"/>
        </w:rPr>
        <w:t>means any invention generated by Monash other than during the course of the Research Project which [***];</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MTA </w:t>
      </w:r>
      <w:r>
        <w:rPr>
          <w:rFonts w:ascii="Times New Roman" w:cs="Times New Roman" w:eastAsia="Times New Roman" w:hAnsi="Times New Roman"/>
          <w:sz w:val="18"/>
          <w:szCs w:val="18"/>
          <w:color w:val="auto"/>
        </w:rPr>
        <w:t>means the Material Transfer Agreement between the Parties dated 15 August 2016;</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means [***]</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means [***]</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Parties </w:t>
      </w:r>
      <w:r>
        <w:rPr>
          <w:rFonts w:ascii="Times New Roman" w:cs="Times New Roman" w:eastAsia="Times New Roman" w:hAnsi="Times New Roman"/>
          <w:sz w:val="18"/>
          <w:szCs w:val="18"/>
          <w:color w:val="auto"/>
        </w:rPr>
        <w:t>mean the parties to this Agreement and their respective successors and permitted assigns, and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means any one of them;</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Personnel </w:t>
      </w:r>
      <w:r>
        <w:rPr>
          <w:rFonts w:ascii="Times New Roman" w:cs="Times New Roman" w:eastAsia="Times New Roman" w:hAnsi="Times New Roman"/>
          <w:sz w:val="18"/>
          <w:szCs w:val="18"/>
          <w:color w:val="auto"/>
        </w:rPr>
        <w:t>in respect of a Party means the officers, employees, agents or contractors of the Party;</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4</w:t>
      </w:r>
    </w:p>
    <w:p>
      <w:pPr>
        <w:sectPr>
          <w:pgSz w:w="11900" w:h="16838" w:orient="portrait"/>
          <w:cols w:equalWidth="0" w:num="1">
            <w:col w:w="10600"/>
          </w:cols>
          <w:pgMar w:left="860" w:top="270" w:right="439" w:bottom="1440" w:gutter="0" w:footer="0" w:header="0"/>
        </w:sectPr>
      </w:pPr>
    </w:p>
    <w:bookmarkStart w:id="341" w:name="page342"/>
    <w:bookmarkEnd w:id="341"/>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Phase 1 Trial </w:t>
      </w:r>
      <w:r>
        <w:rPr>
          <w:rFonts w:ascii="Times New Roman" w:cs="Times New Roman" w:eastAsia="Times New Roman" w:hAnsi="Times New Roman"/>
          <w:sz w:val="18"/>
          <w:szCs w:val="18"/>
          <w:color w:val="auto"/>
        </w:rPr>
        <w:t>means a clinical study of a Product, the purpose of which is to study the safety and pharmacology of an investigational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administered to humans, and where the Parties have no knowledge of any evidence that the product has effects likely to be safe or beneficial to the subjects of the clinical trial;</w:t>
      </w:r>
    </w:p>
    <w:p>
      <w:pPr>
        <w:spacing w:after="0" w:line="6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Phase 2 Trial </w:t>
      </w:r>
      <w:r>
        <w:rPr>
          <w:rFonts w:ascii="Times New Roman" w:cs="Times New Roman" w:eastAsia="Times New Roman" w:hAnsi="Times New Roman"/>
          <w:sz w:val="18"/>
          <w:szCs w:val="18"/>
          <w:color w:val="auto"/>
        </w:rPr>
        <w:t>means a clinical study of a Product, which provides for the initial trial of a Product on a limited number of patients for the 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determining dose and/or evaluating safety and preliminary efficacy in the proposed therapeutic indication;</w:t>
      </w:r>
    </w:p>
    <w:p>
      <w:pPr>
        <w:spacing w:after="0" w:line="4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Phase 3 Trial </w:t>
      </w:r>
      <w:r>
        <w:rPr>
          <w:rFonts w:ascii="Times New Roman" w:cs="Times New Roman" w:eastAsia="Times New Roman" w:hAnsi="Times New Roman"/>
          <w:sz w:val="18"/>
          <w:szCs w:val="18"/>
          <w:color w:val="auto"/>
        </w:rPr>
        <w:t>means a controlled pivotal clinical study of a Product that aims to establish the therapeutic benefit of the Product in a larger patient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sample and to further demonstrate the product’s safety in patients with the target disease;</w:t>
      </w:r>
    </w:p>
    <w:p>
      <w:pPr>
        <w:spacing w:after="0" w:line="4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Product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Licensed Product </w:t>
      </w:r>
      <w:r>
        <w:rPr>
          <w:rFonts w:ascii="Times New Roman" w:cs="Times New Roman" w:eastAsia="Times New Roman" w:hAnsi="Times New Roman"/>
          <w:sz w:val="18"/>
          <w:szCs w:val="18"/>
          <w:color w:val="auto"/>
        </w:rPr>
        <w:t>means any and all products (i) which are within a Valid Claim, irrespective of whether a patent is held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in which the Product is sold or (ii) which require the use or practice of any Licensed Information.</w:t>
      </w:r>
    </w:p>
    <w:p>
      <w:pPr>
        <w:spacing w:after="0" w:line="47"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Project Details </w:t>
      </w:r>
      <w:r>
        <w:rPr>
          <w:rFonts w:ascii="Times New Roman" w:cs="Times New Roman" w:eastAsia="Times New Roman" w:hAnsi="Times New Roman"/>
          <w:sz w:val="18"/>
          <w:szCs w:val="18"/>
          <w:color w:val="auto"/>
        </w:rPr>
        <w:t>means the details set out in new research agreements between the parties to be agreed from time to time identifying the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 and details of a Research Project (comprising as a minimum the matters set out in the Schedule) which will implement the conditions of this Agreement;</w:t>
      </w:r>
    </w:p>
    <w:p>
      <w:pPr>
        <w:spacing w:after="0" w:line="63" w:lineRule="exact"/>
        <w:rPr>
          <w:sz w:val="20"/>
          <w:szCs w:val="20"/>
          <w:color w:val="auto"/>
        </w:rPr>
      </w:pPr>
    </w:p>
    <w:p>
      <w:pPr>
        <w:ind w:right="26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Project IP </w:t>
      </w:r>
      <w:r>
        <w:rPr>
          <w:rFonts w:ascii="Times New Roman" w:cs="Times New Roman" w:eastAsia="Times New Roman" w:hAnsi="Times New Roman"/>
          <w:sz w:val="17"/>
          <w:szCs w:val="17"/>
          <w:color w:val="auto"/>
        </w:rPr>
        <w:t>means Improvements and new Intellectual Property, including research and development results, test results and data, in each case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arising during the course of research and development by Monash solely or jointly with Licensee in respect of the Licensed Patents or Licensed Information under the MTA or a Research Project or otherwise pursuant to any research or other agreement entered into between the Parties;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Reasonable Commercial Endeavours </w:t>
      </w:r>
      <w:r>
        <w:rPr>
          <w:rFonts w:ascii="Times New Roman" w:cs="Times New Roman" w:eastAsia="Times New Roman" w:hAnsi="Times New Roman"/>
          <w:sz w:val="18"/>
          <w:szCs w:val="18"/>
          <w:color w:val="auto"/>
        </w:rPr>
        <w:t>means [***]</w:t>
      </w:r>
    </w:p>
    <w:p>
      <w:pPr>
        <w:spacing w:after="0" w:line="11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Research Funding </w:t>
      </w:r>
      <w:r>
        <w:rPr>
          <w:rFonts w:ascii="Times New Roman" w:cs="Times New Roman" w:eastAsia="Times New Roman" w:hAnsi="Times New Roman"/>
          <w:sz w:val="18"/>
          <w:szCs w:val="18"/>
          <w:color w:val="auto"/>
        </w:rPr>
        <w:t>means the amount to be paid by Licensee to progress the Research Project or otherwise relating to Commercialisation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as set out in Clause 7.1, but excluding Royalties or Net Income;</w:t>
      </w:r>
    </w:p>
    <w:p>
      <w:pPr>
        <w:spacing w:after="0" w:line="47"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Research Project </w:t>
      </w:r>
      <w:r>
        <w:rPr>
          <w:rFonts w:ascii="Times New Roman" w:cs="Times New Roman" w:eastAsia="Times New Roman" w:hAnsi="Times New Roman"/>
          <w:sz w:val="18"/>
          <w:szCs w:val="18"/>
          <w:color w:val="auto"/>
        </w:rPr>
        <w:t>means a project of research and development work agreed to by the Parties from time to time as shall be more specifically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 in the Project Details, to be conducted by the Parties in accordance with the agreed objectives, subject to any variation or modification agreed by the Parties in writing;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Royalty </w:t>
      </w:r>
      <w:r>
        <w:rPr>
          <w:rFonts w:ascii="Times New Roman" w:cs="Times New Roman" w:eastAsia="Times New Roman" w:hAnsi="Times New Roman"/>
          <w:sz w:val="18"/>
          <w:szCs w:val="18"/>
          <w:color w:val="auto"/>
        </w:rPr>
        <w:t>means the royalty payments set out in Clause 7.3(b);</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Royalty Period </w:t>
      </w:r>
      <w:r>
        <w:rPr>
          <w:rFonts w:ascii="Times New Roman" w:cs="Times New Roman" w:eastAsia="Times New Roman" w:hAnsi="Times New Roman"/>
          <w:sz w:val="18"/>
          <w:szCs w:val="18"/>
          <w:color w:val="auto"/>
        </w:rPr>
        <w:t>has the meaning set out in clause 7.3(b);</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Sub-licensee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Sublicensee </w:t>
      </w:r>
      <w:r>
        <w:rPr>
          <w:rFonts w:ascii="Times New Roman" w:cs="Times New Roman" w:eastAsia="Times New Roman" w:hAnsi="Times New Roman"/>
          <w:sz w:val="18"/>
          <w:szCs w:val="18"/>
          <w:color w:val="auto"/>
        </w:rPr>
        <w:t>means a Third Party or Affiliate to which Licensee grants a sub-licence of its rights under Clause 5.1.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has the meaning set out in Clause 2.</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5</w:t>
      </w:r>
    </w:p>
    <w:p>
      <w:pPr>
        <w:sectPr>
          <w:pgSz w:w="11900" w:h="16838" w:orient="portrait"/>
          <w:cols w:equalWidth="0" w:num="1">
            <w:col w:w="10580"/>
          </w:cols>
          <w:pgMar w:left="880" w:top="266" w:right="439" w:bottom="1440" w:gutter="0" w:footer="0" w:header="0"/>
        </w:sectPr>
      </w:pPr>
    </w:p>
    <w:bookmarkStart w:id="342" w:name="page343"/>
    <w:bookmarkEnd w:id="342"/>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Valid Claim </w:t>
      </w:r>
      <w:r>
        <w:rPr>
          <w:rFonts w:ascii="Times New Roman" w:cs="Times New Roman" w:eastAsia="Times New Roman" w:hAnsi="Times New Roman"/>
          <w:sz w:val="18"/>
          <w:szCs w:val="18"/>
          <w:color w:val="auto"/>
        </w:rPr>
        <w:t>means:</w:t>
      </w:r>
    </w:p>
    <w:p>
      <w:pPr>
        <w:spacing w:after="0" w:line="135" w:lineRule="exact"/>
        <w:rPr>
          <w:sz w:val="20"/>
          <w:szCs w:val="20"/>
          <w:color w:val="auto"/>
        </w:rPr>
      </w:pPr>
    </w:p>
    <w:p>
      <w:pPr>
        <w:ind w:left="960" w:hanging="532"/>
        <w:spacing w:after="0"/>
        <w:tabs>
          <w:tab w:leader="none" w:pos="9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 in an issued and unexpired Licensed Patent where the Licensed Patent has not been:</w:t>
      </w:r>
    </w:p>
    <w:p>
      <w:pPr>
        <w:spacing w:after="0" w:line="130" w:lineRule="exact"/>
        <w:rPr>
          <w:rFonts w:ascii="Times New Roman" w:cs="Times New Roman" w:eastAsia="Times New Roman" w:hAnsi="Times New Roman"/>
          <w:sz w:val="18"/>
          <w:szCs w:val="18"/>
          <w:color w:val="auto"/>
        </w:rPr>
      </w:pPr>
    </w:p>
    <w:p>
      <w:pPr>
        <w:ind w:left="1420" w:right="320" w:hanging="439"/>
        <w:spacing w:after="0" w:line="282" w:lineRule="auto"/>
        <w:tabs>
          <w:tab w:leader="none" w:pos="142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permanently revoked, unenforceable, unpatentable or invalid by a decision of a patent office, court or governmental body of competent jurisdiction in a final order, from which no further appeal can be or has been taken; or</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disclaimed, admitted to be invalid or unenforceable, or rendered unenforceable through disclaimer, reissue or otherwise; or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abandoned, dedicated to the public or finally rejected by a governmental authority from which no appeal can be taken; or</w:t>
      </w:r>
    </w:p>
    <w:p>
      <w:pPr>
        <w:spacing w:after="0" w:line="130" w:lineRule="exact"/>
        <w:rPr>
          <w:rFonts w:ascii="Times New Roman" w:cs="Times New Roman" w:eastAsia="Times New Roman" w:hAnsi="Times New Roman"/>
          <w:sz w:val="18"/>
          <w:szCs w:val="18"/>
          <w:color w:val="auto"/>
        </w:rPr>
      </w:pPr>
    </w:p>
    <w:p>
      <w:pPr>
        <w:ind w:left="960" w:right="100" w:hanging="532"/>
        <w:spacing w:after="0" w:line="266" w:lineRule="auto"/>
        <w:tabs>
          <w:tab w:leader="none" w:pos="9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claim in a patent application, where neither the pending claim (provided that for this purpose a claim shall not be considered pending for more than [***] from its filing date) nor the Licensed Patent has been cancelled, withdrawn, abandoned, or finally rejected by a governmental authority from which no appeal can be or has been taken.</w:t>
      </w:r>
    </w:p>
    <w:p>
      <w:pPr>
        <w:spacing w:after="0" w:line="7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tab/>
        <w:t>Interpretation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this Agreement, unless the context otherwise requires:</w:t>
      </w:r>
    </w:p>
    <w:p>
      <w:pPr>
        <w:spacing w:after="0" w:line="131" w:lineRule="exact"/>
        <w:rPr>
          <w:sz w:val="20"/>
          <w:szCs w:val="20"/>
          <w:color w:val="auto"/>
        </w:rPr>
      </w:pPr>
    </w:p>
    <w:p>
      <w:pPr>
        <w:ind w:left="960" w:hanging="532"/>
        <w:spacing w:after="0"/>
        <w:tabs>
          <w:tab w:leader="none" w:pos="9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w:t>
      </w:r>
    </w:p>
    <w:p>
      <w:pPr>
        <w:spacing w:after="0" w:line="130" w:lineRule="exact"/>
        <w:rPr>
          <w:rFonts w:ascii="Times New Roman" w:cs="Times New Roman" w:eastAsia="Times New Roman" w:hAnsi="Times New Roman"/>
          <w:sz w:val="18"/>
          <w:szCs w:val="18"/>
          <w:color w:val="auto"/>
        </w:rPr>
      </w:pPr>
    </w:p>
    <w:p>
      <w:pPr>
        <w:ind w:left="1420" w:right="120" w:hanging="439"/>
        <w:spacing w:after="0" w:line="282" w:lineRule="auto"/>
        <w:tabs>
          <w:tab w:leader="none" w:pos="142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(including subordinate legislation) is to that legislation as amended, re-enacted or replaced, and includes any subordinate legislation issued under it;</w:t>
      </w:r>
    </w:p>
    <w:p>
      <w:pPr>
        <w:spacing w:after="0" w:line="67" w:lineRule="exact"/>
        <w:rPr>
          <w:rFonts w:ascii="Times New Roman" w:cs="Times New Roman" w:eastAsia="Times New Roman" w:hAnsi="Times New Roman"/>
          <w:sz w:val="18"/>
          <w:szCs w:val="18"/>
          <w:color w:val="auto"/>
        </w:rPr>
      </w:pPr>
    </w:p>
    <w:p>
      <w:pPr>
        <w:ind w:left="1420" w:right="480" w:hanging="439"/>
        <w:spacing w:after="0" w:line="282" w:lineRule="auto"/>
        <w:tabs>
          <w:tab w:leader="none" w:pos="142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document or agreement, or a provision of a document or agreement, is to that document, agreement or provision as amended, supplemented, replaced or novated;</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to this Agreement or to any other document or agreement includes a permitted substitute or a permitted assign of that party;</w:t>
      </w:r>
    </w:p>
    <w:p>
      <w:pPr>
        <w:spacing w:after="0" w:line="130" w:lineRule="exact"/>
        <w:rPr>
          <w:rFonts w:ascii="Times New Roman" w:cs="Times New Roman" w:eastAsia="Times New Roman" w:hAnsi="Times New Roman"/>
          <w:sz w:val="18"/>
          <w:szCs w:val="18"/>
          <w:color w:val="auto"/>
        </w:rPr>
      </w:pPr>
    </w:p>
    <w:p>
      <w:pPr>
        <w:ind w:left="1420" w:right="380" w:hanging="439"/>
        <w:spacing w:after="0" w:line="282" w:lineRule="auto"/>
        <w:tabs>
          <w:tab w:leader="none" w:pos="142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includes any type of entity or body of persons, whether or not it is incorporated or has a separate legal identity, and any executor, administrator or successor in law of the person; and</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(including a right, obligation or concept) includes each part of it;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singular includes the plural and vice versa;</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6</w:t>
      </w:r>
    </w:p>
    <w:p>
      <w:pPr>
        <w:sectPr>
          <w:pgSz w:w="11900" w:h="16838" w:orient="portrait"/>
          <w:cols w:equalWidth="0" w:num="1">
            <w:col w:w="11020"/>
          </w:cols>
          <w:pgMar w:left="440" w:top="266" w:right="439" w:bottom="1440" w:gutter="0" w:footer="0" w:header="0"/>
        </w:sectPr>
      </w:pPr>
    </w:p>
    <w:bookmarkStart w:id="343" w:name="page344"/>
    <w:bookmarkEnd w:id="343"/>
    <w:p>
      <w:pPr>
        <w:ind w:left="964" w:right="280" w:hanging="532"/>
        <w:spacing w:after="0" w:line="282" w:lineRule="auto"/>
        <w:tabs>
          <w:tab w:leader="none" w:pos="96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reference to an individual or person includes a corporation, partnership, joint venture, association, authority, trust, state or government and vice versa;</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any gender includes all genders;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recital, clause, schedule, annexure or exhibit is to a recital, clause, schedule, annexure or exhibit of or to this Agreement;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recital, schedule, annexure or a description of the Parties forms part of this Agreement;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 expression is defined, another part of speech or grammatical form of that expression has a corresponding meaning;</w:t>
      </w:r>
    </w:p>
    <w:p>
      <w:pPr>
        <w:spacing w:after="0" w:line="130"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example is given to anything (including a right, obligation or concept), such as by saying it includes something else, the example does not limit the scope of that thing;</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dollars or $ is to United States currency; and</w:t>
      </w:r>
    </w:p>
    <w:p>
      <w:pPr>
        <w:spacing w:after="0" w:line="130" w:lineRule="exact"/>
        <w:rPr>
          <w:rFonts w:ascii="Times New Roman" w:cs="Times New Roman" w:eastAsia="Times New Roman" w:hAnsi="Times New Roman"/>
          <w:sz w:val="18"/>
          <w:szCs w:val="18"/>
          <w:color w:val="auto"/>
        </w:rPr>
      </w:pPr>
    </w:p>
    <w:p>
      <w:pPr>
        <w:ind w:left="964" w:right="40" w:hanging="532"/>
        <w:spacing w:after="0" w:line="266" w:lineRule="auto"/>
        <w:tabs>
          <w:tab w:leader="none" w:pos="96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 used in this Agreement (including but not limited to Licensed Patents, Licensed Information, Products and Royalties in Clause 7) are intended to be read in a manner consistent with the scenarios and outcomes set out in Schedule 2, which form part of this Agreement and have equal force for the purpose of interpreting and understanding the application of the principles and definitions referred to above.</w:t>
      </w:r>
    </w:p>
    <w:p>
      <w:pPr>
        <w:spacing w:after="0" w:line="7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Headings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this Agreement, headings are for convenience only, and do not affect interpretation.</w:t>
      </w:r>
    </w:p>
    <w:p>
      <w:pPr>
        <w:spacing w:after="0" w:line="12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1.4</w:t>
        <w:tab/>
        <w:t>Business Days</w:t>
      </w:r>
    </w:p>
    <w:p>
      <w:pPr>
        <w:spacing w:after="0" w:line="121" w:lineRule="exact"/>
        <w:rPr>
          <w:sz w:val="20"/>
          <w:szCs w:val="20"/>
          <w:color w:val="auto"/>
        </w:rPr>
      </w:pPr>
    </w:p>
    <w:p>
      <w:pPr>
        <w:ind w:left="444" w:right="200"/>
        <w:spacing w:after="0" w:line="282" w:lineRule="auto"/>
        <w:rPr>
          <w:sz w:val="20"/>
          <w:szCs w:val="20"/>
          <w:color w:val="auto"/>
        </w:rPr>
      </w:pPr>
      <w:r>
        <w:rPr>
          <w:rFonts w:ascii="Times New Roman" w:cs="Times New Roman" w:eastAsia="Times New Roman" w:hAnsi="Times New Roman"/>
          <w:sz w:val="18"/>
          <w:szCs w:val="18"/>
          <w:color w:val="auto"/>
        </w:rPr>
        <w:t>If the day on or by which a Party must do something under this Agreement is not a Business Day the Party must do it on or by the next Business Day;</w:t>
      </w:r>
    </w:p>
    <w:p>
      <w:pPr>
        <w:spacing w:after="0" w:line="306" w:lineRule="exact"/>
        <w:rPr>
          <w:sz w:val="20"/>
          <w:szCs w:val="20"/>
          <w:color w:val="auto"/>
        </w:rPr>
      </w:pPr>
    </w:p>
    <w:p>
      <w:pPr>
        <w:ind w:left="424" w:hanging="424"/>
        <w:spacing w:after="0"/>
        <w:tabs>
          <w:tab w:leader="none" w:pos="424"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w:t>
      </w:r>
    </w:p>
    <w:p>
      <w:pPr>
        <w:spacing w:after="0" w:line="117" w:lineRule="exact"/>
        <w:rPr>
          <w:rFonts w:ascii="Times New Roman" w:cs="Times New Roman" w:eastAsia="Times New Roman" w:hAnsi="Times New Roman"/>
          <w:sz w:val="18"/>
          <w:szCs w:val="18"/>
          <w:b w:val="1"/>
          <w:bCs w:val="1"/>
          <w:color w:val="auto"/>
        </w:rPr>
      </w:pPr>
    </w:p>
    <w:p>
      <w:pPr>
        <w:ind w:left="444" w:right="4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of this Agreement will commence and be deemed to have commenced operation on the Commencement Date and shall continue until seven (7) years after the last to expire Valid Claim unless this Agreement is earlier terminated in accordance with its terms.</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7</w:t>
      </w:r>
    </w:p>
    <w:p>
      <w:pPr>
        <w:sectPr>
          <w:pgSz w:w="11900" w:h="16838" w:orient="portrait"/>
          <w:cols w:equalWidth="0" w:num="1">
            <w:col w:w="11024"/>
          </w:cols>
          <w:pgMar w:left="436" w:top="270" w:right="439" w:bottom="1440" w:gutter="0" w:footer="0" w:header="0"/>
        </w:sectPr>
      </w:pPr>
    </w:p>
    <w:bookmarkStart w:id="344" w:name="page345"/>
    <w:bookmarkEnd w:id="344"/>
    <w:p>
      <w:pPr>
        <w:ind w:left="424" w:hanging="424"/>
        <w:spacing w:after="0"/>
        <w:tabs>
          <w:tab w:leader="none" w:pos="424"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Commercialisation</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b w:val="1"/>
          <w:bCs w:val="1"/>
          <w:color w:val="auto"/>
        </w:rPr>
        <w:t>Reasonable Commercial Endeavours</w:t>
      </w:r>
    </w:p>
    <w:p>
      <w:pPr>
        <w:spacing w:after="0" w:line="117" w:lineRule="exact"/>
        <w:rPr>
          <w:sz w:val="20"/>
          <w:szCs w:val="20"/>
          <w:color w:val="auto"/>
        </w:rPr>
      </w:pPr>
    </w:p>
    <w:p>
      <w:pPr>
        <w:ind w:left="444" w:right="460"/>
        <w:spacing w:after="0" w:line="286" w:lineRule="auto"/>
        <w:rPr>
          <w:sz w:val="20"/>
          <w:szCs w:val="20"/>
          <w:color w:val="auto"/>
        </w:rPr>
      </w:pPr>
      <w:r>
        <w:rPr>
          <w:rFonts w:ascii="Times New Roman" w:cs="Times New Roman" w:eastAsia="Times New Roman" w:hAnsi="Times New Roman"/>
          <w:sz w:val="18"/>
          <w:szCs w:val="18"/>
          <w:color w:val="auto"/>
        </w:rPr>
        <w:t>Licensee must use Reasonable Commercial Endeavours to undertake the following activities (“</w:t>
      </w:r>
      <w:r>
        <w:rPr>
          <w:rFonts w:ascii="Times New Roman" w:cs="Times New Roman" w:eastAsia="Times New Roman" w:hAnsi="Times New Roman"/>
          <w:sz w:val="18"/>
          <w:szCs w:val="18"/>
          <w:b w:val="1"/>
          <w:bCs w:val="1"/>
          <w:color w:val="auto"/>
        </w:rPr>
        <w:t>Activities</w:t>
      </w:r>
      <w:r>
        <w:rPr>
          <w:rFonts w:ascii="Times New Roman" w:cs="Times New Roman" w:eastAsia="Times New Roman" w:hAnsi="Times New Roman"/>
          <w:sz w:val="18"/>
          <w:szCs w:val="18"/>
          <w:color w:val="auto"/>
        </w:rPr>
        <w:t>”), which efforts may be met by the actions of Sublicensees:</w:t>
      </w:r>
    </w:p>
    <w:p>
      <w:pPr>
        <w:spacing w:after="0" w:line="60" w:lineRule="exact"/>
        <w:rPr>
          <w:sz w:val="20"/>
          <w:szCs w:val="20"/>
          <w:color w:val="auto"/>
        </w:rPr>
      </w:pPr>
    </w:p>
    <w:p>
      <w:pPr>
        <w:ind w:left="964" w:right="300" w:hanging="532"/>
        <w:spacing w:after="0" w:line="268" w:lineRule="auto"/>
        <w:tabs>
          <w:tab w:leader="none" w:pos="96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develop at least one (1) Product in accordance with a development plan (the “</w:t>
      </w:r>
      <w:r>
        <w:rPr>
          <w:rFonts w:ascii="Times New Roman" w:cs="Times New Roman" w:eastAsia="Times New Roman" w:hAnsi="Times New Roman"/>
          <w:sz w:val="18"/>
          <w:szCs w:val="18"/>
          <w:b w:val="1"/>
          <w:bCs w:val="1"/>
          <w:color w:val="auto"/>
        </w:rPr>
        <w:t>Development Plan</w:t>
      </w:r>
      <w:r>
        <w:rPr>
          <w:rFonts w:ascii="Times New Roman" w:cs="Times New Roman" w:eastAsia="Times New Roman" w:hAnsi="Times New Roman"/>
          <w:sz w:val="18"/>
          <w:szCs w:val="18"/>
          <w:color w:val="auto"/>
        </w:rPr>
        <w:t>”); the Development Plan as of the Restatement Date is attached hereto as Schedule 3, and the Development Plan may be updated from time to time by written notice from Licensee to Monash;</w:t>
      </w:r>
    </w:p>
    <w:p>
      <w:pPr>
        <w:spacing w:after="0" w:line="8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seek regulatory approval for the manufacture, marketing and sale of at least one (1) Product; and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receipt of regulatory approval of a Product in the USA or any country in Europe, to promote and develop the sale of at least one</w:t>
      </w:r>
    </w:p>
    <w:p>
      <w:pPr>
        <w:spacing w:after="0" w:line="27" w:lineRule="exact"/>
        <w:rPr>
          <w:rFonts w:ascii="Times New Roman" w:cs="Times New Roman" w:eastAsia="Times New Roman" w:hAnsi="Times New Roman"/>
          <w:sz w:val="18"/>
          <w:szCs w:val="18"/>
          <w:color w:val="auto"/>
        </w:rPr>
      </w:pPr>
    </w:p>
    <w:p>
      <w:pPr>
        <w:ind w:left="9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Product in such country.</w:t>
      </w:r>
    </w:p>
    <w:p>
      <w:pPr>
        <w:spacing w:after="0" w:line="108"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Failure to Use Reasonable Commercial Endeavours</w:t>
      </w:r>
    </w:p>
    <w:p>
      <w:pPr>
        <w:spacing w:after="0" w:line="135" w:lineRule="exact"/>
        <w:rPr>
          <w:sz w:val="20"/>
          <w:szCs w:val="20"/>
          <w:color w:val="auto"/>
        </w:rPr>
      </w:pPr>
    </w:p>
    <w:p>
      <w:pPr>
        <w:ind w:left="964" w:right="700" w:hanging="532"/>
        <w:spacing w:after="0" w:line="282" w:lineRule="auto"/>
        <w:tabs>
          <w:tab w:leader="none" w:pos="96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Monash reasonably believes that Licensee has failed to use Reasonable Commercial Endeavours to diligently and expeditiously undertake the Activities, Monash must provide written notice to Licensee identifying its concern(s).</w:t>
      </w:r>
    </w:p>
    <w:p>
      <w:pPr>
        <w:spacing w:after="0" w:line="67" w:lineRule="exact"/>
        <w:rPr>
          <w:rFonts w:ascii="Times New Roman" w:cs="Times New Roman" w:eastAsia="Times New Roman" w:hAnsi="Times New Roman"/>
          <w:sz w:val="18"/>
          <w:szCs w:val="18"/>
          <w:color w:val="auto"/>
        </w:rPr>
      </w:pPr>
    </w:p>
    <w:p>
      <w:pPr>
        <w:ind w:left="964" w:right="580" w:hanging="532"/>
        <w:spacing w:after="0" w:line="282" w:lineRule="auto"/>
        <w:tabs>
          <w:tab w:leader="none" w:pos="96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any such notice, Licensee must provide evidence of its commercial diligence to Monash in the form of a report (the “</w:t>
      </w:r>
      <w:r>
        <w:rPr>
          <w:rFonts w:ascii="Times New Roman" w:cs="Times New Roman" w:eastAsia="Times New Roman" w:hAnsi="Times New Roman"/>
          <w:sz w:val="18"/>
          <w:szCs w:val="18"/>
          <w:b w:val="1"/>
          <w:bCs w:val="1"/>
          <w:color w:val="auto"/>
        </w:rPr>
        <w:t>Activity Report</w:t>
      </w:r>
      <w:r>
        <w:rPr>
          <w:rFonts w:ascii="Times New Roman" w:cs="Times New Roman" w:eastAsia="Times New Roman" w:hAnsi="Times New Roman"/>
          <w:sz w:val="18"/>
          <w:szCs w:val="18"/>
          <w:color w:val="auto"/>
        </w:rPr>
        <w:t>”) which shall be provided within [***] of a request by Monash.</w:t>
      </w:r>
    </w:p>
    <w:p>
      <w:pPr>
        <w:spacing w:after="0" w:line="67" w:lineRule="exact"/>
        <w:rPr>
          <w:rFonts w:ascii="Times New Roman" w:cs="Times New Roman" w:eastAsia="Times New Roman" w:hAnsi="Times New Roman"/>
          <w:sz w:val="18"/>
          <w:szCs w:val="18"/>
          <w:color w:val="auto"/>
        </w:rPr>
      </w:pPr>
    </w:p>
    <w:p>
      <w:pPr>
        <w:ind w:left="964" w:right="640" w:hanging="532"/>
        <w:spacing w:after="0" w:line="282" w:lineRule="auto"/>
        <w:tabs>
          <w:tab w:leader="none" w:pos="96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within [***] of receipt of the Activity Report, discuss the contents of the report and what action may be taken by Licensee, if any (the “</w:t>
      </w:r>
      <w:r>
        <w:rPr>
          <w:rFonts w:ascii="Times New Roman" w:cs="Times New Roman" w:eastAsia="Times New Roman" w:hAnsi="Times New Roman"/>
          <w:sz w:val="18"/>
          <w:szCs w:val="18"/>
          <w:b w:val="1"/>
          <w:bCs w:val="1"/>
          <w:color w:val="auto"/>
        </w:rPr>
        <w:t>Activity Report Discussion</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4" w:right="320" w:hanging="532"/>
        <w:spacing w:after="0" w:line="266" w:lineRule="auto"/>
        <w:tabs>
          <w:tab w:leader="none" w:pos="96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situation is reasonably capable of remedy within a [***] period, Licensee shall prepare within [***] of the Activity Report Discussion, an action plan detailing action it will take to pursue Commercialisation of the Licensed Patents and Project IP (the “</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meet [***] to negotiate the terms of the Action Plan. If the Parties cannot agree on an Action Plan then an independent expert may be appointed with agreement of both parties and with both parties [***] to facilitate further discussion among the Parties with the goal of creating a mutually agreeable Action Plan.</w:t>
      </w:r>
    </w:p>
    <w:p>
      <w:pPr>
        <w:spacing w:after="0" w:line="81" w:lineRule="exact"/>
        <w:rPr>
          <w:rFonts w:ascii="Times New Roman" w:cs="Times New Roman" w:eastAsia="Times New Roman" w:hAnsi="Times New Roman"/>
          <w:sz w:val="18"/>
          <w:szCs w:val="18"/>
          <w:color w:val="auto"/>
        </w:rPr>
      </w:pPr>
    </w:p>
    <w:p>
      <w:pPr>
        <w:ind w:left="964" w:right="680" w:hanging="532"/>
        <w:spacing w:after="0" w:line="266" w:lineRule="auto"/>
        <w:tabs>
          <w:tab w:leader="none" w:pos="96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parties cannot agree on an Action Plan, or Licensee does not, once an Action Plan is in place, use Reasonable Commercial Endeavours to comply with the terms of the Action Plan, Monash shall be entitled to terminate this Agreement in accordance with Clause 12.1.</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8</w:t>
      </w:r>
    </w:p>
    <w:p>
      <w:pPr>
        <w:sectPr>
          <w:pgSz w:w="11900" w:h="16838" w:orient="portrait"/>
          <w:cols w:equalWidth="0" w:num="1">
            <w:col w:w="11024"/>
          </w:cols>
          <w:pgMar w:left="436" w:top="266" w:right="439" w:bottom="1440" w:gutter="0" w:footer="0" w:header="0"/>
        </w:sectPr>
      </w:pPr>
    </w:p>
    <w:bookmarkStart w:id="345" w:name="page346"/>
    <w:bookmarkEnd w:id="345"/>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3.3</w:t>
        <w:tab/>
        <w:t>Applicable Laws</w:t>
      </w:r>
    </w:p>
    <w:p>
      <w:pPr>
        <w:spacing w:after="0" w:line="135" w:lineRule="exact"/>
        <w:rPr>
          <w:sz w:val="20"/>
          <w:szCs w:val="20"/>
          <w:color w:val="auto"/>
        </w:rPr>
      </w:pPr>
    </w:p>
    <w:p>
      <w:pPr>
        <w:ind w:left="964" w:right="20" w:hanging="532"/>
        <w:spacing w:after="0" w:line="282" w:lineRule="auto"/>
        <w:tabs>
          <w:tab w:leader="none" w:pos="96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must ensure that all research and development activities undertaken by Licensee, its sub-contractors or Sub-licensees in respect of the Licensed Patents, Licensed Information, or Products are conducted in accordance with all Applicable Laws.</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must ensure that the Products are made and sold by Licensee or its Sublicensees in accordance with all Applicable Laws.</w:t>
      </w:r>
    </w:p>
    <w:p>
      <w:pPr>
        <w:spacing w:after="0" w:line="130" w:lineRule="exact"/>
        <w:rPr>
          <w:rFonts w:ascii="Times New Roman" w:cs="Times New Roman" w:eastAsia="Times New Roman" w:hAnsi="Times New Roman"/>
          <w:sz w:val="18"/>
          <w:szCs w:val="18"/>
          <w:color w:val="auto"/>
        </w:rPr>
      </w:pPr>
    </w:p>
    <w:p>
      <w:pPr>
        <w:jc w:val="both"/>
        <w:ind w:left="964" w:right="140" w:hanging="532"/>
        <w:spacing w:after="0" w:line="266" w:lineRule="auto"/>
        <w:tabs>
          <w:tab w:leader="none" w:pos="96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Monash must use reasonable endeavours to ensure that all research and development activities undertaken by Monash, its sub-contractors or its Sublicensees in respect of the Licensed Patents, Licensed Information, or Products are conducted in accordance with all Applicable Laws.</w:t>
      </w:r>
    </w:p>
    <w:p>
      <w:pPr>
        <w:spacing w:after="0" w:line="7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7"/>
          <w:szCs w:val="17"/>
          <w:b w:val="1"/>
          <w:bCs w:val="1"/>
          <w:color w:val="auto"/>
        </w:rPr>
        <w:t>Reporting of Activities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Within [***] following the end of each Calendar Year, Licensee will submit to Monash a written report summarizing [***].</w:t>
      </w:r>
    </w:p>
    <w:p>
      <w:pPr>
        <w:spacing w:after="0" w:line="370" w:lineRule="exact"/>
        <w:rPr>
          <w:sz w:val="20"/>
          <w:szCs w:val="20"/>
          <w:color w:val="auto"/>
        </w:rPr>
      </w:pPr>
    </w:p>
    <w:p>
      <w:pPr>
        <w:ind w:left="4" w:right="8040" w:hanging="4"/>
        <w:spacing w:after="0" w:line="385" w:lineRule="auto"/>
        <w:tabs>
          <w:tab w:leader="none" w:pos="436"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Monash’s Rights and Obligations 4.1 Technical assistance</w:t>
      </w:r>
    </w:p>
    <w:p>
      <w:pPr>
        <w:spacing w:after="0" w:line="1" w:lineRule="exact"/>
        <w:rPr>
          <w:sz w:val="20"/>
          <w:szCs w:val="20"/>
          <w:color w:val="auto"/>
        </w:rPr>
      </w:pPr>
    </w:p>
    <w:p>
      <w:pPr>
        <w:ind w:left="444" w:right="80"/>
        <w:spacing w:after="0" w:line="258" w:lineRule="auto"/>
        <w:rPr>
          <w:sz w:val="20"/>
          <w:szCs w:val="20"/>
          <w:color w:val="auto"/>
        </w:rPr>
      </w:pPr>
      <w:r>
        <w:rPr>
          <w:rFonts w:ascii="Times New Roman" w:cs="Times New Roman" w:eastAsia="Times New Roman" w:hAnsi="Times New Roman"/>
          <w:sz w:val="18"/>
          <w:szCs w:val="18"/>
          <w:color w:val="auto"/>
        </w:rPr>
        <w:t>To the extent reasonably possible, Monash will give or cause to be given to Licensee such reasonable technical assistance and advice based on Monash’s know-how relating to the Licensed Patents, Project IP, Background Technology and Licensed Information, as, in the reasonable opinion of Monash, may be necessary for Licensee to perform its obligations under this Agreement, which assistance and advice shall be free of charge during the pendency of the Research Projects, and provided that upon the expiry or termination of the Research Projects, Licensee shall pay Monash for such advice and assistance, based on [***] as applicable from time to time.</w:t>
      </w:r>
    </w:p>
    <w:p>
      <w:pPr>
        <w:spacing w:after="0" w:line="8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4.2</w:t>
        <w:tab/>
        <w:t>Limitation of liability</w:t>
      </w:r>
    </w:p>
    <w:p>
      <w:pPr>
        <w:spacing w:after="0" w:line="135" w:lineRule="exact"/>
        <w:rPr>
          <w:sz w:val="20"/>
          <w:szCs w:val="20"/>
          <w:color w:val="auto"/>
        </w:rPr>
      </w:pPr>
    </w:p>
    <w:p>
      <w:pPr>
        <w:ind w:left="964" w:right="60" w:hanging="532"/>
        <w:spacing w:after="0" w:line="312" w:lineRule="auto"/>
        <w:tabs>
          <w:tab w:leader="none" w:pos="964"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Monash’s liability in relation to any Loss suffered or incurred by Licensee relating to any technical assistance provided, or research carried out under the MTA or a Research Project or otherwise, by Monash shall be limited, to the maximum extent permitted by law, [***].</w:t>
      </w:r>
    </w:p>
    <w:p>
      <w:pPr>
        <w:spacing w:after="0" w:line="45" w:lineRule="exact"/>
        <w:rPr>
          <w:rFonts w:ascii="Times New Roman" w:cs="Times New Roman" w:eastAsia="Times New Roman" w:hAnsi="Times New Roman"/>
          <w:sz w:val="17"/>
          <w:szCs w:val="17"/>
          <w:color w:val="auto"/>
        </w:rPr>
      </w:pPr>
    </w:p>
    <w:p>
      <w:pPr>
        <w:ind w:left="964" w:hanging="532"/>
        <w:spacing w:after="0"/>
        <w:tabs>
          <w:tab w:leader="none" w:pos="96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Monash shall not be liable for any [***].</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9</w:t>
      </w:r>
    </w:p>
    <w:p>
      <w:pPr>
        <w:sectPr>
          <w:pgSz w:w="11900" w:h="16838" w:orient="portrait"/>
          <w:cols w:equalWidth="0" w:num="1">
            <w:col w:w="11024"/>
          </w:cols>
          <w:pgMar w:left="436" w:top="266" w:right="439" w:bottom="1440" w:gutter="0" w:footer="0" w:header="0"/>
        </w:sectPr>
      </w:pPr>
    </w:p>
    <w:bookmarkStart w:id="346" w:name="page347"/>
    <w:bookmarkEnd w:id="346"/>
    <w:p>
      <w:pPr>
        <w:ind w:left="424" w:hanging="424"/>
        <w:spacing w:after="0"/>
        <w:tabs>
          <w:tab w:leader="none" w:pos="424" w:val="left"/>
        </w:tabs>
        <w:numPr>
          <w:ilvl w:val="0"/>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Licence</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5.1</w:t>
        <w:tab/>
        <w:t>Licence granted to Licensee</w:t>
      </w:r>
    </w:p>
    <w:p>
      <w:pPr>
        <w:spacing w:after="0" w:line="135" w:lineRule="exact"/>
        <w:rPr>
          <w:sz w:val="20"/>
          <w:szCs w:val="20"/>
          <w:color w:val="auto"/>
        </w:rPr>
      </w:pPr>
    </w:p>
    <w:p>
      <w:pPr>
        <w:jc w:val="both"/>
        <w:ind w:left="964" w:right="100" w:hanging="532"/>
        <w:spacing w:after="0" w:line="266" w:lineRule="auto"/>
        <w:tabs>
          <w:tab w:leader="none" w:pos="96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Monash hereby grants to Licensee a worldwide exclusive (even as to Monash, other than pursuant to Clause 5.5) licence (including a right to sub-license), under Monash’ rights in the Licensed Patents, Licensed Information, and the Project IP, to (a) perform the Activities in the Field and (ii) otherwise Commercialise Products in the Field.</w:t>
      </w:r>
    </w:p>
    <w:p>
      <w:pPr>
        <w:spacing w:after="0" w:line="81" w:lineRule="exact"/>
        <w:rPr>
          <w:rFonts w:ascii="Times New Roman" w:cs="Times New Roman" w:eastAsia="Times New Roman" w:hAnsi="Times New Roman"/>
          <w:sz w:val="18"/>
          <w:szCs w:val="18"/>
          <w:color w:val="auto"/>
        </w:rPr>
      </w:pPr>
    </w:p>
    <w:p>
      <w:pPr>
        <w:ind w:left="964" w:right="60" w:hanging="532"/>
        <w:spacing w:after="0" w:line="282" w:lineRule="auto"/>
        <w:tabs>
          <w:tab w:leader="none" w:pos="96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Monash also grants to Licensee a worldwide non-exclusive licence (including a right to sub-license) to use any Background Technology or Monash Adaptation strictly to the extent necessary to exercise the licence in Clause 5.1(a).</w:t>
      </w:r>
    </w:p>
    <w:p>
      <w:pPr>
        <w:spacing w:after="0" w:line="63" w:lineRule="exact"/>
        <w:rPr>
          <w:rFonts w:ascii="Times New Roman" w:cs="Times New Roman" w:eastAsia="Times New Roman" w:hAnsi="Times New Roman"/>
          <w:sz w:val="18"/>
          <w:szCs w:val="18"/>
          <w:color w:val="auto"/>
        </w:rPr>
      </w:pPr>
    </w:p>
    <w:p>
      <w:pPr>
        <w:ind w:left="964" w:right="60" w:hanging="532"/>
        <w:spacing w:after="0" w:line="256" w:lineRule="auto"/>
        <w:tabs>
          <w:tab w:leader="none" w:pos="96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Monash grants to Licensee a first right and exclusive option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to secure an exclusive licence to the Monash Adaptations (including a right to sub-license) on reasonable commercial terms to be agreed between the parties. This Option may be exercised by Licensee in writing at any time for a period of [***] from the date of disclosure of the Monash Adaptation to Licensee (“</w:t>
      </w:r>
      <w:r>
        <w:rPr>
          <w:rFonts w:ascii="Times New Roman" w:cs="Times New Roman" w:eastAsia="Times New Roman" w:hAnsi="Times New Roman"/>
          <w:sz w:val="18"/>
          <w:szCs w:val="18"/>
          <w:b w:val="1"/>
          <w:bCs w:val="1"/>
          <w:color w:val="auto"/>
        </w:rPr>
        <w:t>Option Period</w:t>
      </w:r>
      <w:r>
        <w:rPr>
          <w:rFonts w:ascii="Times New Roman" w:cs="Times New Roman" w:eastAsia="Times New Roman" w:hAnsi="Times New Roman"/>
          <w:sz w:val="18"/>
          <w:szCs w:val="18"/>
          <w:color w:val="auto"/>
        </w:rPr>
        <w:t>”). If Licensee elects to exercise the Option during the Option Period, it shall do so by sending Monash a written notification of such election. Upon Licensee’s exercise of the Option, the parties shall enter into a licence agreement on terms to be agreed, provided that if Licensee does not exercise, or declines its right to, the Option during the Option Period, or if the Parties are unable to reach agreement on the terms of the licence agreement within [***] of the exercise of the Option, Licensee will have no rights to the Monash Adaptations.</w:t>
      </w:r>
    </w:p>
    <w:p>
      <w:pPr>
        <w:spacing w:after="0" w:line="88"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5.2</w:t>
        <w:tab/>
        <w:t>Right to sub-license</w:t>
      </w:r>
    </w:p>
    <w:p>
      <w:pPr>
        <w:spacing w:after="0" w:line="121" w:lineRule="exact"/>
        <w:rPr>
          <w:sz w:val="20"/>
          <w:szCs w:val="20"/>
          <w:color w:val="auto"/>
        </w:rPr>
      </w:pPr>
    </w:p>
    <w:p>
      <w:pPr>
        <w:ind w:left="444" w:right="220"/>
        <w:spacing w:after="0" w:line="282" w:lineRule="auto"/>
        <w:rPr>
          <w:sz w:val="20"/>
          <w:szCs w:val="20"/>
          <w:color w:val="auto"/>
        </w:rPr>
      </w:pPr>
      <w:r>
        <w:rPr>
          <w:rFonts w:ascii="Times New Roman" w:cs="Times New Roman" w:eastAsia="Times New Roman" w:hAnsi="Times New Roman"/>
          <w:sz w:val="18"/>
          <w:szCs w:val="18"/>
          <w:color w:val="auto"/>
        </w:rPr>
        <w:t>Licensee shall be free to grant sub-licences of the Licensed Patents, Licensed Information, and Project IP during the Term to any party provided that:</w:t>
      </w:r>
    </w:p>
    <w:p>
      <w:pPr>
        <w:spacing w:after="0" w:line="67" w:lineRule="exact"/>
        <w:rPr>
          <w:sz w:val="20"/>
          <w:szCs w:val="20"/>
          <w:color w:val="auto"/>
        </w:rPr>
      </w:pPr>
    </w:p>
    <w:p>
      <w:pPr>
        <w:ind w:left="964" w:right="180" w:hanging="532"/>
        <w:spacing w:after="0" w:line="282" w:lineRule="auto"/>
        <w:tabs>
          <w:tab w:leader="none" w:pos="96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a sublicense or a subcontract shall not in any way diminish, reduce or eliminate any of Licensee’s Obligations under this Agreement, and Licensee shall remain primarily liable for such obligations;</w:t>
      </w:r>
    </w:p>
    <w:p>
      <w:pPr>
        <w:spacing w:after="0" w:line="67"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provide a copy of the sublicence agreement to Monash, which may be redacted to protect sensitive information (other than information which Monash has a reasonable need to know to enforce its rights under this Agreement) and which shall be considered Confidential Information of Licensee; and</w:t>
      </w:r>
    </w:p>
    <w:p>
      <w:pPr>
        <w:spacing w:after="0" w:line="81" w:lineRule="exact"/>
        <w:rPr>
          <w:rFonts w:ascii="Times New Roman" w:cs="Times New Roman" w:eastAsia="Times New Roman" w:hAnsi="Times New Roman"/>
          <w:sz w:val="18"/>
          <w:szCs w:val="18"/>
          <w:color w:val="auto"/>
        </w:rPr>
      </w:pPr>
    </w:p>
    <w:p>
      <w:pPr>
        <w:ind w:left="964" w:right="460" w:hanging="532"/>
        <w:spacing w:after="0" w:line="282" w:lineRule="auto"/>
        <w:tabs>
          <w:tab w:leader="none" w:pos="96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only grant a sublicence to any Affiliate or third party which undertakes to perform those obligations of this Agreement relevant to such sublicence in accordance with the terms of this Agreement.</w:t>
      </w:r>
    </w:p>
    <w:p>
      <w:pPr>
        <w:spacing w:after="0" w:line="63"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5.3</w:t>
        <w:tab/>
        <w:t>Prosecution and Maintenance of the Licensed Patents</w:t>
      </w:r>
    </w:p>
    <w:p>
      <w:pPr>
        <w:spacing w:after="0" w:line="135" w:lineRule="exact"/>
        <w:rPr>
          <w:sz w:val="20"/>
          <w:szCs w:val="20"/>
          <w:color w:val="auto"/>
        </w:rPr>
      </w:pPr>
    </w:p>
    <w:p>
      <w:pPr>
        <w:ind w:left="964" w:right="20" w:hanging="532"/>
        <w:spacing w:after="0" w:line="266" w:lineRule="auto"/>
        <w:tabs>
          <w:tab w:leader="none" w:pos="964"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will, at its option, have the first right to file for, obtain, prosecute and maintain the Licensed Patents including patent filing, patent application prosecution and any other patent application costs as well as ongoing maintenance fees (“</w:t>
      </w:r>
      <w:r>
        <w:rPr>
          <w:rFonts w:ascii="Times New Roman" w:cs="Times New Roman" w:eastAsia="Times New Roman" w:hAnsi="Times New Roman"/>
          <w:sz w:val="18"/>
          <w:szCs w:val="18"/>
          <w:b w:val="1"/>
          <w:bCs w:val="1"/>
          <w:color w:val="auto"/>
        </w:rPr>
        <w:t>Prosecution and Maintenance</w:t>
      </w:r>
      <w:r>
        <w:rPr>
          <w:rFonts w:ascii="Times New Roman" w:cs="Times New Roman" w:eastAsia="Times New Roman" w:hAnsi="Times New Roman"/>
          <w:sz w:val="18"/>
          <w:szCs w:val="18"/>
          <w:color w:val="auto"/>
        </w:rPr>
        <w:t>”). Licensee will provide Monash with a copy of any material filings or other material correspondence with a patent office</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10</w:t>
      </w:r>
    </w:p>
    <w:p>
      <w:pPr>
        <w:sectPr>
          <w:pgSz w:w="11900" w:h="16838" w:orient="portrait"/>
          <w:cols w:equalWidth="0" w:num="1">
            <w:col w:w="11024"/>
          </w:cols>
          <w:pgMar w:left="436" w:top="266" w:right="439" w:bottom="1440" w:gutter="0" w:footer="0" w:header="0"/>
        </w:sectPr>
      </w:pPr>
    </w:p>
    <w:bookmarkStart w:id="347" w:name="page348"/>
    <w:bookmarkEnd w:id="347"/>
    <w:p>
      <w:pPr>
        <w:ind w:left="980"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least [***] in advance of filing and shall give [***] to all reasonable comments and requests made by Monash with respect to the Prosecution and Maintenance of the Licensed Patents. If Licensee decides not to file or to discontinue Prosecution and Maintenance of any Licensed Patent in any country, Licensee will give Monash not less than [***] written notice thereof, and thereafter, Monash will have the sole right to Prosecution and Maintenance of such Licensed Patent in such country, and for the avoidance of doubt, such patent shall remain included in the definition of the Licensed Patents.</w:t>
      </w:r>
    </w:p>
    <w:p>
      <w:pPr>
        <w:spacing w:after="0" w:line="89" w:lineRule="exact"/>
        <w:rPr>
          <w:sz w:val="20"/>
          <w:szCs w:val="20"/>
          <w:color w:val="auto"/>
        </w:rPr>
      </w:pPr>
    </w:p>
    <w:p>
      <w:pPr>
        <w:ind w:left="960" w:right="120" w:hanging="532"/>
        <w:spacing w:after="0" w:line="261" w:lineRule="auto"/>
        <w:tabs>
          <w:tab w:leader="none" w:pos="9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Commencement Date, Licensee will pay all costs incurred for Prosecution and Maintenance of the Licensed Patents and any Project IP and shall, within [***] of the Commencement Date, reimburse Monash for all expenses incurred in the filing of national phase patent applications for the Licensed Patents prior to the Commencement Date, including allowances for reasonable fees attributed to work performed by Monash’s internal patent attorneys.</w:t>
      </w:r>
    </w:p>
    <w:p>
      <w:pPr>
        <w:spacing w:after="0" w:line="85" w:lineRule="exact"/>
        <w:rPr>
          <w:rFonts w:ascii="Times New Roman" w:cs="Times New Roman" w:eastAsia="Times New Roman" w:hAnsi="Times New Roman"/>
          <w:sz w:val="18"/>
          <w:szCs w:val="18"/>
          <w:color w:val="auto"/>
        </w:rPr>
      </w:pPr>
    </w:p>
    <w:p>
      <w:pPr>
        <w:ind w:left="960" w:right="220" w:hanging="532"/>
        <w:spacing w:after="0" w:line="266" w:lineRule="auto"/>
        <w:tabs>
          <w:tab w:leader="none" w:pos="9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will, at the responsible Party’s request but at Licensee’s cost, execute all documents and do all things reasonably necessary to assist the responsible Party in the Prosecution and Maintenance and enforcement of the Licensed Patents, provided the requesting Party shall give the other Party no less than [***] prior notice.</w:t>
      </w:r>
    </w:p>
    <w:p>
      <w:pPr>
        <w:spacing w:after="0" w:line="7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color w:val="auto"/>
        </w:rPr>
        <w:t>Entitlement to license Licensed Patents, Licensed Information, and Background Technology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Monash warrants and represents to Licensee that:</w:t>
      </w:r>
    </w:p>
    <w:p>
      <w:pPr>
        <w:spacing w:after="0" w:line="131" w:lineRule="exact"/>
        <w:rPr>
          <w:sz w:val="20"/>
          <w:szCs w:val="20"/>
          <w:color w:val="auto"/>
        </w:rPr>
      </w:pPr>
    </w:p>
    <w:p>
      <w:pPr>
        <w:ind w:left="960" w:right="140" w:hanging="532"/>
        <w:spacing w:after="0" w:line="261" w:lineRule="auto"/>
        <w:tabs>
          <w:tab w:leader="none" w:pos="9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its actual knowledge or belief (as determined by reference to such Monash employees, contractors and agents engaged in administering this Agreement, the MTA or the Research Project), without the need to make additional enquiries, conduct searches or seek legal or patent opinion, it is free and entitled to grant the licences in the Field specified in this Clause 5 including, without limitation all necessary consents and assignments from the inventors of the Licensed Patents; and</w:t>
      </w:r>
    </w:p>
    <w:p>
      <w:pPr>
        <w:spacing w:after="0" w:line="85" w:lineRule="exact"/>
        <w:rPr>
          <w:rFonts w:ascii="Times New Roman" w:cs="Times New Roman" w:eastAsia="Times New Roman" w:hAnsi="Times New Roman"/>
          <w:sz w:val="18"/>
          <w:szCs w:val="18"/>
          <w:color w:val="auto"/>
        </w:rPr>
      </w:pPr>
    </w:p>
    <w:p>
      <w:pPr>
        <w:ind w:left="960" w:right="140" w:hanging="532"/>
        <w:spacing w:after="0" w:line="282" w:lineRule="auto"/>
        <w:tabs>
          <w:tab w:leader="none" w:pos="9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not assign, encumber or otherwise deal with (except as permitted by clause 5.5) Licensed Patents, Licensed Information, Project IP and its Background Technology within the Field, except with the prior written approval of the Licensee [***].</w:t>
      </w:r>
    </w:p>
    <w:p>
      <w:pPr>
        <w:spacing w:after="0" w:line="6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5.5</w:t>
        <w:tab/>
        <w:t>Licence granted to Monash</w:t>
      </w:r>
    </w:p>
    <w:p>
      <w:pPr>
        <w:spacing w:after="0" w:line="121" w:lineRule="exact"/>
        <w:rPr>
          <w:sz w:val="20"/>
          <w:szCs w:val="20"/>
          <w:color w:val="auto"/>
        </w:rPr>
      </w:pPr>
    </w:p>
    <w:p>
      <w:pPr>
        <w:ind w:left="440" w:right="100"/>
        <w:spacing w:after="0" w:line="261" w:lineRule="auto"/>
        <w:rPr>
          <w:sz w:val="20"/>
          <w:szCs w:val="20"/>
          <w:color w:val="auto"/>
        </w:rPr>
      </w:pPr>
      <w:r>
        <w:rPr>
          <w:rFonts w:ascii="Times New Roman" w:cs="Times New Roman" w:eastAsia="Times New Roman" w:hAnsi="Times New Roman"/>
          <w:sz w:val="18"/>
          <w:szCs w:val="18"/>
          <w:color w:val="auto"/>
        </w:rPr>
        <w:t>Licensee agrees that the rights granted to it in this Agreement are subject to Monash’s right (on a non-exclusive, perpetual, royalty-free basis) to practise the Licensed Patents, Licensed Information, and Project IP solely for academic, teaching and non-commercial research uses, which license shall include the right to sub-license for non-commercial collaborative research to other academic institutions or non-commercial research entities.</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11</w:t>
      </w:r>
    </w:p>
    <w:p>
      <w:pPr>
        <w:sectPr>
          <w:pgSz w:w="11900" w:h="16838" w:orient="portrait"/>
          <w:cols w:equalWidth="0" w:num="1">
            <w:col w:w="11020"/>
          </w:cols>
          <w:pgMar w:left="440" w:top="270" w:right="439" w:bottom="1440" w:gutter="0" w:footer="0" w:header="0"/>
        </w:sectPr>
      </w:pPr>
    </w:p>
    <w:bookmarkStart w:id="348" w:name="page349"/>
    <w:bookmarkEnd w:id="348"/>
    <w:p>
      <w:pPr>
        <w:ind w:left="424" w:hanging="424"/>
        <w:spacing w:after="0"/>
        <w:tabs>
          <w:tab w:leader="none" w:pos="424"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Research Projects</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6.1</w:t>
        <w:tab/>
        <w:t>Ownership of Project IP</w:t>
      </w:r>
    </w:p>
    <w:p>
      <w:pPr>
        <w:spacing w:after="0" w:line="121" w:lineRule="exact"/>
        <w:rPr>
          <w:sz w:val="20"/>
          <w:szCs w:val="20"/>
          <w:color w:val="auto"/>
        </w:rPr>
      </w:pPr>
    </w:p>
    <w:p>
      <w:pPr>
        <w:ind w:left="444" w:right="180"/>
        <w:spacing w:after="0" w:line="266" w:lineRule="auto"/>
        <w:rPr>
          <w:sz w:val="20"/>
          <w:szCs w:val="20"/>
          <w:color w:val="auto"/>
        </w:rPr>
      </w:pPr>
      <w:r>
        <w:rPr>
          <w:rFonts w:ascii="Times New Roman" w:cs="Times New Roman" w:eastAsia="Times New Roman" w:hAnsi="Times New Roman"/>
          <w:sz w:val="18"/>
          <w:szCs w:val="18"/>
          <w:color w:val="auto"/>
        </w:rPr>
        <w:t>Despite anything to the contrary in the MTA, all Project IP shall vest jointly in both Parties as tenants in common in equal shares. Monash may with Licensee’s prior written consent collaborate with third parties with respect to a Research Project on terms that any Improvements that result from the collaboration will be deemed Project IP.</w:t>
      </w:r>
    </w:p>
    <w:p>
      <w:pPr>
        <w:spacing w:after="0" w:line="7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6.2</w:t>
        <w:tab/>
        <w:t>Project IP subject to Licence</w:t>
      </w:r>
    </w:p>
    <w:p>
      <w:pPr>
        <w:spacing w:after="0" w:line="121" w:lineRule="exact"/>
        <w:rPr>
          <w:sz w:val="20"/>
          <w:szCs w:val="20"/>
          <w:color w:val="auto"/>
        </w:rPr>
      </w:pPr>
    </w:p>
    <w:p>
      <w:pPr>
        <w:ind w:left="444" w:right="880"/>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the Project IP will be deemed to be part of Licensed Patents and Licensed Information for all purposes in this Agreement and is exclusively licensed to Licensee pursuant to Clause 5.1(a).</w:t>
      </w:r>
    </w:p>
    <w:p>
      <w:pPr>
        <w:spacing w:after="0" w:line="63"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6.3</w:t>
        <w:tab/>
        <w:t>Parties to collaborate in the Research Project</w:t>
      </w:r>
    </w:p>
    <w:p>
      <w:pPr>
        <w:spacing w:after="0" w:line="121" w:lineRule="exact"/>
        <w:rPr>
          <w:sz w:val="20"/>
          <w:szCs w:val="20"/>
          <w:color w:val="auto"/>
        </w:rPr>
      </w:pPr>
    </w:p>
    <w:p>
      <w:pPr>
        <w:ind w:left="444" w:right="100"/>
        <w:spacing w:after="0" w:line="258" w:lineRule="auto"/>
        <w:rPr>
          <w:sz w:val="20"/>
          <w:szCs w:val="20"/>
          <w:color w:val="auto"/>
        </w:rPr>
      </w:pPr>
      <w:r>
        <w:rPr>
          <w:rFonts w:ascii="Times New Roman" w:cs="Times New Roman" w:eastAsia="Times New Roman" w:hAnsi="Times New Roman"/>
          <w:sz w:val="18"/>
          <w:szCs w:val="18"/>
          <w:color w:val="auto"/>
        </w:rPr>
        <w:t>The Parties will collaborate in conducting the research in relation to the Research Project for [***] of the Research Project. Monash agrees to provide advance notice to Licensee of any research projects at Monash that are relevant or adjacent to the Licensed Patents, Licensed Information or the Project IP, where the Project Leader specified in the Schedule has actual knowledge of such research projects, in order to provide Licensee with the option to provide funding for such research projects so that any such project would be included as a Research Project, under this Agreement if mutually agreed.</w:t>
      </w:r>
    </w:p>
    <w:p>
      <w:pPr>
        <w:spacing w:after="0" w:line="8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6.4</w:t>
        <w:tab/>
        <w:t>Research Results</w:t>
      </w:r>
    </w:p>
    <w:p>
      <w:pPr>
        <w:spacing w:after="0" w:line="121" w:lineRule="exact"/>
        <w:rPr>
          <w:sz w:val="20"/>
          <w:szCs w:val="20"/>
          <w:color w:val="auto"/>
        </w:rPr>
      </w:pPr>
    </w:p>
    <w:p>
      <w:pPr>
        <w:jc w:val="both"/>
        <w:ind w:left="444" w:right="100"/>
        <w:spacing w:after="0" w:line="266" w:lineRule="auto"/>
        <w:rPr>
          <w:sz w:val="20"/>
          <w:szCs w:val="20"/>
          <w:color w:val="auto"/>
        </w:rPr>
      </w:pPr>
      <w:r>
        <w:rPr>
          <w:rFonts w:ascii="Times New Roman" w:cs="Times New Roman" w:eastAsia="Times New Roman" w:hAnsi="Times New Roman"/>
          <w:sz w:val="18"/>
          <w:szCs w:val="18"/>
          <w:color w:val="auto"/>
        </w:rPr>
        <w:t>Each Party hereby agrees that all results under any Research Project shall be Project IP and shall be disclosed to the other Party promptly through the management process set out in Clause 6.8. Licensee reserves the right to decide the scope of further research and development activities [***] following review of the results and report from the Research Project, provided that [***].</w:t>
      </w:r>
    </w:p>
    <w:p>
      <w:pPr>
        <w:spacing w:after="0" w:line="7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6.5</w:t>
        <w:tab/>
        <w:t>Resources and personnel</w:t>
      </w:r>
    </w:p>
    <w:p>
      <w:pPr>
        <w:spacing w:after="0" w:line="121" w:lineRule="exact"/>
        <w:rPr>
          <w:sz w:val="20"/>
          <w:szCs w:val="20"/>
          <w:color w:val="auto"/>
        </w:rPr>
      </w:pPr>
    </w:p>
    <w:p>
      <w:pPr>
        <w:ind w:left="444" w:right="220"/>
        <w:spacing w:after="0" w:line="266" w:lineRule="auto"/>
        <w:rPr>
          <w:sz w:val="20"/>
          <w:szCs w:val="20"/>
          <w:color w:val="auto"/>
        </w:rPr>
      </w:pPr>
      <w:r>
        <w:rPr>
          <w:rFonts w:ascii="Times New Roman" w:cs="Times New Roman" w:eastAsia="Times New Roman" w:hAnsi="Times New Roman"/>
          <w:sz w:val="18"/>
          <w:szCs w:val="18"/>
          <w:color w:val="auto"/>
        </w:rPr>
        <w:t>Each Party will provide all necessary resources and personnel, to allow the research to be conducted [***], in accordance with the Research Project. Supervising personnel will be those indicated in the Project Details and/or such other persons as nominated by each Party and approved from time to time by the other Party [***].</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12</w:t>
      </w:r>
    </w:p>
    <w:p>
      <w:pPr>
        <w:sectPr>
          <w:pgSz w:w="11900" w:h="16838" w:orient="portrait"/>
          <w:cols w:equalWidth="0" w:num="1">
            <w:col w:w="11024"/>
          </w:cols>
          <w:pgMar w:left="436" w:top="266" w:right="439" w:bottom="1440" w:gutter="0" w:footer="0" w:header="0"/>
        </w:sectPr>
      </w:pPr>
    </w:p>
    <w:bookmarkStart w:id="349" w:name="page350"/>
    <w:bookmarkEnd w:id="349"/>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6.6</w:t>
        <w:tab/>
        <w:t>Research premises</w:t>
      </w:r>
    </w:p>
    <w:p>
      <w:pPr>
        <w:spacing w:after="0" w:line="121" w:lineRule="exact"/>
        <w:rPr>
          <w:sz w:val="20"/>
          <w:szCs w:val="20"/>
          <w:color w:val="auto"/>
        </w:rPr>
      </w:pPr>
    </w:p>
    <w:p>
      <w:pPr>
        <w:ind w:left="440" w:right="280"/>
        <w:spacing w:after="0" w:line="261" w:lineRule="auto"/>
        <w:rPr>
          <w:sz w:val="20"/>
          <w:szCs w:val="20"/>
          <w:color w:val="auto"/>
        </w:rPr>
      </w:pPr>
      <w:r>
        <w:rPr>
          <w:rFonts w:ascii="Times New Roman" w:cs="Times New Roman" w:eastAsia="Times New Roman" w:hAnsi="Times New Roman"/>
          <w:sz w:val="18"/>
          <w:szCs w:val="18"/>
          <w:color w:val="auto"/>
        </w:rPr>
        <w:t>Monash will allow Licensee full access to its premises for the purpose of inspecting the progress of the research, reviewing the resources being applied and generally ensuring compliance with the requirements of the Research Project, upon [***] notice and subject to [***] security requirements during usual business hours. Such persons may make tests and analyses of equipment and apparatus utilised in the research and examine any books and records maintained in relation to the performance of the research.</w:t>
      </w:r>
    </w:p>
    <w:p>
      <w:pPr>
        <w:spacing w:after="0" w:line="8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6.7</w:t>
        <w:tab/>
        <w:t>Conduct of Research Project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Party must:</w:t>
      </w:r>
    </w:p>
    <w:p>
      <w:pPr>
        <w:spacing w:after="0" w:line="131" w:lineRule="exact"/>
        <w:rPr>
          <w:sz w:val="20"/>
          <w:szCs w:val="20"/>
          <w:color w:val="auto"/>
        </w:rPr>
      </w:pPr>
    </w:p>
    <w:p>
      <w:pPr>
        <w:ind w:left="960" w:right="380" w:hanging="532"/>
        <w:spacing w:after="0" w:line="261" w:lineRule="auto"/>
        <w:tabs>
          <w:tab w:leader="none" w:pos="9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all reasonable endeavours to conduct the Research Project in accordance with this Agreement and the Project Details set out in the Schedule, provided however that Licensee acknowledges that research work is by its nature uncertain and Monash makes no representations and gives no warranties as to the standards, accuracy or outcomes of the Research Project or its ability to produce commercially useful results in a timely manner or at all;</w:t>
      </w:r>
    </w:p>
    <w:p>
      <w:pPr>
        <w:spacing w:after="0" w:line="85" w:lineRule="exact"/>
        <w:rPr>
          <w:rFonts w:ascii="Times New Roman" w:cs="Times New Roman" w:eastAsia="Times New Roman" w:hAnsi="Times New Roman"/>
          <w:sz w:val="18"/>
          <w:szCs w:val="18"/>
          <w:color w:val="auto"/>
        </w:rPr>
      </w:pPr>
    </w:p>
    <w:p>
      <w:pPr>
        <w:ind w:left="960" w:right="500" w:hanging="532"/>
        <w:spacing w:after="0" w:line="312" w:lineRule="auto"/>
        <w:tabs>
          <w:tab w:leader="none" w:pos="960"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all reasonable endeavours to conduct the research in an efficient, professional and businesslike manner, including instructing any scientists or investigators to maintain contemporaneous, complete and accurate written records of Research Project activities; and</w:t>
      </w:r>
    </w:p>
    <w:p>
      <w:pPr>
        <w:spacing w:after="0" w:line="45" w:lineRule="exact"/>
        <w:rPr>
          <w:rFonts w:ascii="Times New Roman" w:cs="Times New Roman" w:eastAsia="Times New Roman" w:hAnsi="Times New Roman"/>
          <w:sz w:val="17"/>
          <w:szCs w:val="17"/>
          <w:color w:val="auto"/>
        </w:rPr>
      </w:pPr>
    </w:p>
    <w:p>
      <w:pPr>
        <w:ind w:left="960" w:hanging="532"/>
        <w:spacing w:after="0"/>
        <w:tabs>
          <w:tab w:leader="none" w:pos="9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research is conducted in compliance with all relevant statutory and other requirements.</w:t>
      </w:r>
    </w:p>
    <w:p>
      <w:pPr>
        <w:spacing w:after="0" w:line="12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6.8</w:t>
        <w:tab/>
        <w:t>Project Management</w:t>
      </w:r>
    </w:p>
    <w:p>
      <w:pPr>
        <w:spacing w:after="0" w:line="121" w:lineRule="exact"/>
        <w:rPr>
          <w:sz w:val="20"/>
          <w:szCs w:val="20"/>
          <w:color w:val="auto"/>
        </w:rPr>
      </w:pPr>
    </w:p>
    <w:p>
      <w:pPr>
        <w:ind w:left="440" w:right="40"/>
        <w:spacing w:after="0" w:line="266" w:lineRule="auto"/>
        <w:rPr>
          <w:sz w:val="20"/>
          <w:szCs w:val="20"/>
          <w:color w:val="auto"/>
        </w:rPr>
      </w:pPr>
      <w:r>
        <w:rPr>
          <w:rFonts w:ascii="Times New Roman" w:cs="Times New Roman" w:eastAsia="Times New Roman" w:hAnsi="Times New Roman"/>
          <w:sz w:val="18"/>
          <w:szCs w:val="18"/>
          <w:color w:val="auto"/>
        </w:rPr>
        <w:t>Each Party must cooperate with the other Party and any other collaborating research organisations in relation to fulfilment of the Research Project. The management process involves two-way communication between the Parties through the committee or other process identified in the Project Details. Each Party’s supervising personnel will participate in meetings of any applicable committee, as required.</w:t>
      </w:r>
    </w:p>
    <w:p>
      <w:pPr>
        <w:spacing w:after="0" w:line="7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6.9</w:t>
        <w:tab/>
        <w:t>Project Committee</w:t>
      </w:r>
    </w:p>
    <w:p>
      <w:pPr>
        <w:spacing w:after="0" w:line="121" w:lineRule="exact"/>
        <w:rPr>
          <w:sz w:val="20"/>
          <w:szCs w:val="20"/>
          <w:color w:val="auto"/>
        </w:rPr>
      </w:pPr>
    </w:p>
    <w:p>
      <w:pPr>
        <w:ind w:left="440" w:right="240"/>
        <w:spacing w:after="0" w:line="261" w:lineRule="auto"/>
        <w:rPr>
          <w:sz w:val="20"/>
          <w:szCs w:val="20"/>
          <w:color w:val="auto"/>
        </w:rPr>
      </w:pPr>
      <w:r>
        <w:rPr>
          <w:rFonts w:ascii="Times New Roman" w:cs="Times New Roman" w:eastAsia="Times New Roman" w:hAnsi="Times New Roman"/>
          <w:sz w:val="18"/>
          <w:szCs w:val="18"/>
          <w:color w:val="auto"/>
        </w:rPr>
        <w:t>Unless otherwise specified in the Project Details, the project committee in relation to the Research Project shall be comprised of [***] Monash and Licensee representatives and, by agreement, other third parties as may be relevant. The project committee may meet, adjourn and otherwise regulate its meetings as it [***] thinks fit, including without limitation, convening and conferring by telephone or other means of audiovisual communications and permitting members to appoint alternatives.</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project committee will finalise the Project Details for the initial Research Project prior to the Commencement Date.</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13</w:t>
      </w:r>
    </w:p>
    <w:p>
      <w:pPr>
        <w:sectPr>
          <w:pgSz w:w="11900" w:h="16838" w:orient="portrait"/>
          <w:cols w:equalWidth="0" w:num="1">
            <w:col w:w="11020"/>
          </w:cols>
          <w:pgMar w:left="440" w:top="266" w:right="439" w:bottom="1440" w:gutter="0" w:footer="0" w:header="0"/>
        </w:sectPr>
      </w:pPr>
    </w:p>
    <w:bookmarkStart w:id="350" w:name="page351"/>
    <w:bookmarkEnd w:id="35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6.10 Modification of Research Project</w:t>
      </w:r>
    </w:p>
    <w:p>
      <w:pPr>
        <w:spacing w:after="0" w:line="121" w:lineRule="exact"/>
        <w:rPr>
          <w:sz w:val="20"/>
          <w:szCs w:val="20"/>
          <w:color w:val="auto"/>
        </w:rPr>
      </w:pPr>
    </w:p>
    <w:p>
      <w:pPr>
        <w:ind w:left="444" w:right="180"/>
        <w:spacing w:after="0" w:line="266" w:lineRule="auto"/>
        <w:rPr>
          <w:sz w:val="20"/>
          <w:szCs w:val="20"/>
          <w:color w:val="auto"/>
        </w:rPr>
      </w:pPr>
      <w:r>
        <w:rPr>
          <w:rFonts w:ascii="Times New Roman" w:cs="Times New Roman" w:eastAsia="Times New Roman" w:hAnsi="Times New Roman"/>
          <w:sz w:val="18"/>
          <w:szCs w:val="18"/>
          <w:color w:val="auto"/>
        </w:rPr>
        <w:t>If on the recommendation of the project committee, it appears that the research in relation to a Research Project in whole or part is not achieving its objectives or those objectives are not commercially viable, the Parties shall meet to discuss the Research Project, including whether any variation or modification of the Research Project is required.</w:t>
      </w:r>
    </w:p>
    <w:p>
      <w:pPr>
        <w:spacing w:after="0" w:line="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6.11  Records and Accounts; Information Reporting</w:t>
      </w:r>
    </w:p>
    <w:p>
      <w:pPr>
        <w:spacing w:after="0" w:line="121" w:lineRule="exact"/>
        <w:rPr>
          <w:sz w:val="20"/>
          <w:szCs w:val="20"/>
          <w:color w:val="auto"/>
        </w:rPr>
      </w:pPr>
    </w:p>
    <w:p>
      <w:pPr>
        <w:ind w:left="444" w:right="20"/>
        <w:spacing w:after="0" w:line="255" w:lineRule="auto"/>
        <w:rPr>
          <w:sz w:val="20"/>
          <w:szCs w:val="20"/>
          <w:color w:val="auto"/>
        </w:rPr>
      </w:pPr>
      <w:r>
        <w:rPr>
          <w:rFonts w:ascii="Times New Roman" w:cs="Times New Roman" w:eastAsia="Times New Roman" w:hAnsi="Times New Roman"/>
          <w:sz w:val="18"/>
          <w:szCs w:val="18"/>
          <w:color w:val="auto"/>
        </w:rPr>
        <w:t>Each Party must keep complete records and accounts in respect of the research carried out by that Party. The records and accounts must be sufficient to enable a complete understanding of all Project IP and contributions and expenditure made by the Party and all steps taken in the research. No later than [***] after either Party receives written notice of the making, creation, conception or reduction to practice of any Project IP, such Party shall provide disclosure of the same to the other Party. Such disclosure shall contain sufficient detail to enable the Parties to determine whether or not the Project IP contains patentable subject matter. Monash will provide to Licensee [***] written reports summarizing the Research Project activity not previously reported, which reports shall include [***]. In addition, Monash will provide Licensee with a final report of the activities performed and results and data obtained within [***] following the completion of the Research Project.</w:t>
      </w:r>
    </w:p>
    <w:p>
      <w:pPr>
        <w:spacing w:after="0" w:line="333" w:lineRule="exact"/>
        <w:rPr>
          <w:sz w:val="20"/>
          <w:szCs w:val="20"/>
          <w:color w:val="auto"/>
        </w:rPr>
      </w:pPr>
    </w:p>
    <w:p>
      <w:pPr>
        <w:ind w:left="424" w:hanging="424"/>
        <w:spacing w:after="0"/>
        <w:tabs>
          <w:tab w:leader="none" w:pos="424"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Payments</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7"/>
          <w:szCs w:val="17"/>
          <w:b w:val="1"/>
          <w:bCs w:val="1"/>
          <w:color w:val="auto"/>
        </w:rPr>
        <w:t>Research Funding</w:t>
      </w:r>
    </w:p>
    <w:p>
      <w:pPr>
        <w:spacing w:after="0" w:line="121" w:lineRule="exact"/>
        <w:rPr>
          <w:sz w:val="20"/>
          <w:szCs w:val="20"/>
          <w:color w:val="auto"/>
        </w:rPr>
      </w:pPr>
    </w:p>
    <w:p>
      <w:pPr>
        <w:ind w:left="444" w:right="120"/>
        <w:spacing w:after="0" w:line="282" w:lineRule="auto"/>
        <w:rPr>
          <w:sz w:val="20"/>
          <w:szCs w:val="20"/>
          <w:color w:val="auto"/>
        </w:rPr>
      </w:pPr>
      <w:r>
        <w:rPr>
          <w:rFonts w:ascii="Times New Roman" w:cs="Times New Roman" w:eastAsia="Times New Roman" w:hAnsi="Times New Roman"/>
          <w:sz w:val="18"/>
          <w:szCs w:val="18"/>
          <w:color w:val="auto"/>
        </w:rPr>
        <w:t>Licensee shall pay Monash for performance of the Research Project as mutually agreed between the Parties and set forth in the applicable Project Details. The Research Funding must be paid [***] unless otherwise agreed.</w:t>
      </w:r>
    </w:p>
    <w:p>
      <w:pPr>
        <w:spacing w:after="0" w:line="63"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7.2</w:t>
        <w:tab/>
        <w:t>Maintenance Fee</w:t>
      </w:r>
    </w:p>
    <w:p>
      <w:pPr>
        <w:spacing w:after="0" w:line="121" w:lineRule="exact"/>
        <w:rPr>
          <w:sz w:val="20"/>
          <w:szCs w:val="20"/>
          <w:color w:val="auto"/>
        </w:rPr>
      </w:pPr>
    </w:p>
    <w:p>
      <w:pPr>
        <w:ind w:left="444" w:right="40"/>
        <w:spacing w:after="0" w:line="261" w:lineRule="auto"/>
        <w:rPr>
          <w:sz w:val="20"/>
          <w:szCs w:val="20"/>
          <w:color w:val="auto"/>
        </w:rPr>
      </w:pPr>
      <w:r>
        <w:rPr>
          <w:rFonts w:ascii="Times New Roman" w:cs="Times New Roman" w:eastAsia="Times New Roman" w:hAnsi="Times New Roman"/>
          <w:sz w:val="18"/>
          <w:szCs w:val="18"/>
          <w:color w:val="auto"/>
        </w:rPr>
        <w:t>During the Term and commencing on the third anniversary of the Commencement Date, Licensee must pay the Maintenance Fee to Monash on [***]. The Maintenance Fee shall be [***] on the [***]anniversary of the Commencement Date, and [***] on the [***]anniversary of the Commencement Date but shall not be payable after the First Commercial Sale of a Product. This fee is non-refundable and will be credited against payments due under Clause 7.3 and Clause 7.4.</w:t>
      </w:r>
    </w:p>
    <w:p>
      <w:pPr>
        <w:spacing w:after="0" w:line="8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7"/>
          <w:szCs w:val="17"/>
          <w:b w:val="1"/>
          <w:bCs w:val="1"/>
          <w:color w:val="auto"/>
        </w:rPr>
        <w:t>Ongoing Net Income Sharing and Royalty Payments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during the Term, on a country-by-country and Product-by-Product basis, Licensee receives any Net Income or Net Sales, then it shall pay to</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Monash a proportion of its Net Income, or Net Sales of such Product as follows:</w:t>
      </w:r>
    </w:p>
    <w:p>
      <w:pPr>
        <w:spacing w:after="0" w:line="112" w:lineRule="exact"/>
        <w:rPr>
          <w:sz w:val="20"/>
          <w:szCs w:val="20"/>
          <w:color w:val="auto"/>
        </w:rPr>
      </w:pPr>
    </w:p>
    <w:p>
      <w:pPr>
        <w:ind w:left="964" w:hanging="532"/>
        <w:spacing w:after="0"/>
        <w:tabs>
          <w:tab w:leader="none" w:pos="96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Sharing</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14</w:t>
      </w:r>
    </w:p>
    <w:p>
      <w:pPr>
        <w:sectPr>
          <w:pgSz w:w="11900" w:h="16838" w:orient="portrait"/>
          <w:cols w:equalWidth="0" w:num="1">
            <w:col w:w="11024"/>
          </w:cols>
          <w:pgMar w:left="436" w:top="266" w:right="439" w:bottom="1440" w:gutter="0" w:footer="0" w:header="0"/>
        </w:sectPr>
      </w:pPr>
    </w:p>
    <w:bookmarkStart w:id="351" w:name="page352"/>
    <w:bookmarkEnd w:id="351"/>
    <w:p>
      <w:pPr>
        <w:ind w:left="440" w:right="660" w:hanging="439"/>
        <w:spacing w:after="0" w:line="286" w:lineRule="auto"/>
        <w:tabs>
          <w:tab w:leader="none" w:pos="4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Until such time as the first dosing of the first patient in the first Phase 1 Trial of any Product (the “</w:t>
      </w:r>
      <w:r>
        <w:rPr>
          <w:rFonts w:ascii="Times New Roman" w:cs="Times New Roman" w:eastAsia="Times New Roman" w:hAnsi="Times New Roman"/>
          <w:sz w:val="18"/>
          <w:szCs w:val="18"/>
          <w:b w:val="1"/>
          <w:bCs w:val="1"/>
          <w:color w:val="auto"/>
        </w:rPr>
        <w:t>First Phase 1 Trial</w:t>
      </w:r>
      <w:r>
        <w:rPr>
          <w:rFonts w:ascii="Times New Roman" w:cs="Times New Roman" w:eastAsia="Times New Roman" w:hAnsi="Times New Roman"/>
          <w:sz w:val="18"/>
          <w:szCs w:val="18"/>
          <w:color w:val="auto"/>
        </w:rPr>
        <w:t>”), the percentage of Net Income payable to Monash, for all sub-licences, shall be</w:t>
      </w:r>
    </w:p>
    <w:p>
      <w:pPr>
        <w:spacing w:after="0" w:line="50"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the percentage of Net Income payable to Monash pursuant to this Clause 7.3(a)(1) shall be referred to herein as the “</w:t>
      </w:r>
      <w:r>
        <w:rPr>
          <w:rFonts w:ascii="Times New Roman" w:cs="Times New Roman" w:eastAsia="Times New Roman" w:hAnsi="Times New Roman"/>
          <w:sz w:val="18"/>
          <w:szCs w:val="18"/>
          <w:b w:val="1"/>
          <w:bCs w:val="1"/>
          <w:color w:val="auto"/>
        </w:rPr>
        <w:t>Percent Net Income</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440" w:hanging="439"/>
        <w:spacing w:after="0" w:line="255" w:lineRule="auto"/>
        <w:tabs>
          <w:tab w:leader="none" w:pos="4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Effect of other third party licence payments stacking on Net Income: </w:t>
      </w:r>
      <w:r>
        <w:rPr>
          <w:rFonts w:ascii="Times New Roman" w:cs="Times New Roman" w:eastAsia="Times New Roman" w:hAnsi="Times New Roman"/>
          <w:sz w:val="18"/>
          <w:szCs w:val="18"/>
          <w:color w:val="auto"/>
        </w:rPr>
        <w:t>In the event Net Income is attributable (at least in part)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sublicensing of the rights of one or more third parties (in addition to the Licensed Patents and Licensed Information) to whom Licensee also has an obligation to pay a percent of such Net Income (on the basis that the bundling of rights is intended by Licensee to provide material benefit or advantage in the development and commercialisation of the bundled intellectual property), then the Net Income payable to Monash in that instance (other than any up-front, milestone, success, bonus, maintenance, periodic (including [***]) and minimum royalty payments due under any sub-licence agreement which are solely attributable to the Licensed Patents, Licensed Information, or Project IP and for which no payments are owed to any other licensor) shall be adjusted (“</w:t>
      </w:r>
      <w:r>
        <w:rPr>
          <w:rFonts w:ascii="Times New Roman" w:cs="Times New Roman" w:eastAsia="Times New Roman" w:hAnsi="Times New Roman"/>
          <w:sz w:val="18"/>
          <w:szCs w:val="18"/>
          <w:b w:val="1"/>
          <w:bCs w:val="1"/>
          <w:color w:val="auto"/>
        </w:rPr>
        <w:t>Adjusted 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Income</w:t>
      </w:r>
      <w:r>
        <w:rPr>
          <w:rFonts w:ascii="Times New Roman" w:cs="Times New Roman" w:eastAsia="Times New Roman" w:hAnsi="Times New Roman"/>
          <w:sz w:val="18"/>
          <w:szCs w:val="18"/>
          <w:color w:val="auto"/>
        </w:rPr>
        <w:t>”) by the ratio calculation methodology in accordance with the following paragraphs.</w:t>
      </w:r>
    </w:p>
    <w:p>
      <w:pPr>
        <w:spacing w:after="0" w:line="80" w:lineRule="exact"/>
        <w:rPr>
          <w:rFonts w:ascii="Times New Roman" w:cs="Times New Roman" w:eastAsia="Times New Roman" w:hAnsi="Times New Roman"/>
          <w:sz w:val="18"/>
          <w:szCs w:val="18"/>
          <w:color w:val="auto"/>
        </w:rPr>
      </w:pPr>
    </w:p>
    <w:p>
      <w:pPr>
        <w:ind w:left="440"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determining such Adjusted Net Income, Licensee shall inform Monash of such allocation, and Monash shall have the right to have a third party expert, [***], audit such allocation to determine whether such allocation is reasonable, which audit shall be conducted at the [***] of Monash and shall otherwise be conducted in accordance with the procedures set forth for financial audits set forth in Clause 7.11. In addition, the Percent Net Income stated above shall be reduced by [***] if the Product is not covered by a Valid Claim.</w:t>
      </w:r>
    </w:p>
    <w:p>
      <w:pPr>
        <w:spacing w:after="0" w:line="75" w:lineRule="exact"/>
        <w:rPr>
          <w:rFonts w:ascii="Times New Roman" w:cs="Times New Roman" w:eastAsia="Times New Roman" w:hAnsi="Times New Roman"/>
          <w:sz w:val="18"/>
          <w:szCs w:val="18"/>
          <w:color w:val="auto"/>
        </w:rPr>
      </w:pPr>
    </w:p>
    <w:p>
      <w:pPr>
        <w:ind w:left="44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Adjusted Net Income shall not be reduced below [***] of the Net Income otherwise payable to Monash in the case of one additional third party (whereupon this shall in no case be less than [***] of Net Income), or in the case of more than one third party, shall not be reduced below [***] of the Net Income otherwise payable to Monash (whereupon this shall in no case be reduced to less than [***] of Net Income).</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15</w:t>
      </w:r>
    </w:p>
    <w:p>
      <w:pPr>
        <w:sectPr>
          <w:pgSz w:w="11900" w:h="16838" w:orient="portrait"/>
          <w:cols w:equalWidth="0" w:num="1">
            <w:col w:w="10040"/>
          </w:cols>
          <w:pgMar w:left="1420" w:top="266" w:right="439" w:bottom="1440" w:gutter="0" w:footer="0" w:header="0"/>
        </w:sectPr>
      </w:pPr>
    </w:p>
    <w:bookmarkStart w:id="352" w:name="page353"/>
    <w:bookmarkEnd w:id="352"/>
    <w:p>
      <w:pPr>
        <w:jc w:val="both"/>
        <w:ind w:left="540" w:right="340" w:hanging="532"/>
        <w:spacing w:after="0" w:line="289" w:lineRule="auto"/>
        <w:tabs>
          <w:tab w:leader="none" w:pos="540"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Royalty obligations shall commence from the First Commercial Sale of a Licensed Product and continue, on a Product-by-Product and country-by-country basis, during the Term, for a period of up to [***] from the First Commercial Sale of such Product in such country. Royalties on Net Sales of Product effected during the foregoing period of the Term (the “</w:t>
      </w:r>
      <w:r>
        <w:rPr>
          <w:rFonts w:ascii="Times New Roman" w:cs="Times New Roman" w:eastAsia="Times New Roman" w:hAnsi="Times New Roman"/>
          <w:sz w:val="17"/>
          <w:szCs w:val="17"/>
          <w:b w:val="1"/>
          <w:bCs w:val="1"/>
          <w:color w:val="auto"/>
        </w:rPr>
        <w:t>Royalty Period</w:t>
      </w:r>
      <w:r>
        <w:rPr>
          <w:rFonts w:ascii="Times New Roman" w:cs="Times New Roman" w:eastAsia="Times New Roman" w:hAnsi="Times New Roman"/>
          <w:sz w:val="17"/>
          <w:szCs w:val="17"/>
          <w:color w:val="auto"/>
        </w:rPr>
        <w:t>”) shall be as follows:</w:t>
      </w:r>
    </w:p>
    <w:p>
      <w:pPr>
        <w:spacing w:after="0" w:line="16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Aggregate Net Sales of all Products</w:t>
            </w:r>
          </w:p>
        </w:tc>
        <w:tc>
          <w:tcPr>
            <w:tcW w:w="4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Royalty Rate</w:t>
            </w:r>
          </w:p>
        </w:tc>
        <w:tc>
          <w:tcPr>
            <w:tcW w:w="0" w:type="dxa"/>
            <w:vAlign w:val="bottom"/>
          </w:tcPr>
          <w:p>
            <w:pPr>
              <w:spacing w:after="0"/>
              <w:rPr>
                <w:sz w:val="1"/>
                <w:szCs w:val="1"/>
                <w:color w:val="auto"/>
              </w:rPr>
            </w:pPr>
          </w:p>
        </w:tc>
      </w:tr>
      <w:tr>
        <w:trPr>
          <w:trHeight w:val="195"/>
        </w:trPr>
        <w:tc>
          <w:tcPr>
            <w:tcW w:w="4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during any Calendar Year</w:t>
            </w:r>
          </w:p>
        </w:tc>
        <w:tc>
          <w:tcPr>
            <w:tcW w:w="4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1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Portion of Net Sales less than</w:t>
            </w:r>
          </w:p>
        </w:tc>
        <w:tc>
          <w:tcPr>
            <w:tcW w:w="2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US [***]</w:t>
            </w:r>
          </w:p>
        </w:tc>
        <w:tc>
          <w:tcPr>
            <w:tcW w:w="432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Portion of Net Sales equal to or greater than [***] up to [***]</w:t>
            </w: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Portion of Net Sales equal to or greater than [***] up to [***]</w:t>
            </w: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Portion of Net Sales equal to or greater than [***] up to [***]</w:t>
            </w: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234"/>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Portion of Net Sales equal to or greater than [***]</w:t>
            </w: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00" w:right="260" w:hanging="439"/>
        <w:spacing w:after="0" w:line="266" w:lineRule="auto"/>
        <w:tabs>
          <w:tab w:leader="none" w:pos="10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for so long as no Valid Claim of a Licensed Patent covers a Product in a country in which Net Sales were generated, the Royalty rate in such country shall be reduced by an amount equal to [***] of the proportion otherwise payable in accordance with the table above for the remainder of the Royalty Period.</w:t>
      </w:r>
    </w:p>
    <w:p>
      <w:pPr>
        <w:spacing w:after="0" w:line="81" w:lineRule="exact"/>
        <w:rPr>
          <w:rFonts w:ascii="Times New Roman" w:cs="Times New Roman" w:eastAsia="Times New Roman" w:hAnsi="Times New Roman"/>
          <w:sz w:val="18"/>
          <w:szCs w:val="18"/>
          <w:color w:val="auto"/>
        </w:rPr>
      </w:pPr>
    </w:p>
    <w:p>
      <w:pPr>
        <w:ind w:left="1000" w:right="100" w:hanging="439"/>
        <w:spacing w:after="0" w:line="277" w:lineRule="auto"/>
        <w:tabs>
          <w:tab w:leader="none" w:pos="1000"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for so long as the Commercialisation of a Product (but not any other component(s) within a Combination Product) reasonably requires Licensee to license one or more patents from a third party, then the Royalty rate payable on Net Sales of such Product may be reduced by an amount up to [***] of the royalty or other ongoing licence fee payable to such third party. For the avoidance of doubt, this reduction shall not apply to reduce the Royalty rate applicable to a Combination Product to the extent that the relevant Licensed Patents are required for the Commercialisation of the other component(s) comprised in any Combination Product.</w:t>
      </w:r>
    </w:p>
    <w:p>
      <w:pPr>
        <w:spacing w:after="0" w:line="73" w:lineRule="exact"/>
        <w:rPr>
          <w:rFonts w:ascii="Times New Roman" w:cs="Times New Roman" w:eastAsia="Times New Roman" w:hAnsi="Times New Roman"/>
          <w:sz w:val="17"/>
          <w:szCs w:val="17"/>
          <w:color w:val="auto"/>
        </w:rPr>
      </w:pPr>
    </w:p>
    <w:p>
      <w:pPr>
        <w:ind w:left="1000" w:right="40" w:hanging="439"/>
        <w:spacing w:after="0" w:line="266" w:lineRule="auto"/>
        <w:tabs>
          <w:tab w:leader="none" w:pos="10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for so long as the Royalty payable by Licensee to Monash on Net Sales by a Sub-licensee exceeds [***] of the royalty paid by the Sub-licensee to Licensee, the Royalty payable by Licensee to Monash shall be reduced to [***] of the royalty payable to Licensee from its Sublicensees.</w:t>
      </w:r>
    </w:p>
    <w:p>
      <w:pPr>
        <w:spacing w:after="0" w:line="68" w:lineRule="exact"/>
        <w:rPr>
          <w:sz w:val="20"/>
          <w:szCs w:val="20"/>
          <w:color w:val="auto"/>
        </w:rPr>
      </w:pPr>
    </w:p>
    <w:p>
      <w:pPr>
        <w:ind w:left="20" w:right="340"/>
        <w:spacing w:after="0" w:line="282" w:lineRule="auto"/>
        <w:rPr>
          <w:sz w:val="20"/>
          <w:szCs w:val="20"/>
          <w:color w:val="auto"/>
        </w:rPr>
      </w:pPr>
      <w:r>
        <w:rPr>
          <w:rFonts w:ascii="Times New Roman" w:cs="Times New Roman" w:eastAsia="Times New Roman" w:hAnsi="Times New Roman"/>
          <w:sz w:val="18"/>
          <w:szCs w:val="18"/>
          <w:color w:val="auto"/>
        </w:rPr>
        <w:t>In the case of Royalty rate reductions as provided for in (1)., (2)., or (3)., above, such Royalty rate reduction shall be capped and the minimum Royalty rate shall in no circumstances be lower than [***] of Net Sales payable to Monash for such Product.</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16</w:t>
      </w:r>
    </w:p>
    <w:p>
      <w:pPr>
        <w:sectPr>
          <w:pgSz w:w="11900" w:h="16838" w:orient="portrait"/>
          <w:cols w:equalWidth="0" w:num="1">
            <w:col w:w="10600"/>
          </w:cols>
          <w:pgMar w:left="860" w:top="270" w:right="439" w:bottom="1440" w:gutter="0" w:footer="0" w:header="0"/>
        </w:sectPr>
      </w:pPr>
    </w:p>
    <w:bookmarkStart w:id="353" w:name="page354"/>
    <w:bookmarkEnd w:id="353"/>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7.4</w:t>
        <w:tab/>
        <w:t>Milestone Payments</w:t>
      </w:r>
    </w:p>
    <w:p>
      <w:pPr>
        <w:spacing w:after="0" w:line="121" w:lineRule="exact"/>
        <w:rPr>
          <w:sz w:val="20"/>
          <w:szCs w:val="20"/>
          <w:color w:val="auto"/>
        </w:rPr>
      </w:pPr>
    </w:p>
    <w:p>
      <w:pPr>
        <w:ind w:left="440" w:right="580"/>
        <w:spacing w:after="0" w:line="282" w:lineRule="auto"/>
        <w:rPr>
          <w:sz w:val="20"/>
          <w:szCs w:val="20"/>
          <w:color w:val="auto"/>
        </w:rPr>
      </w:pPr>
      <w:r>
        <w:rPr>
          <w:rFonts w:ascii="Times New Roman" w:cs="Times New Roman" w:eastAsia="Times New Roman" w:hAnsi="Times New Roman"/>
          <w:sz w:val="18"/>
          <w:szCs w:val="18"/>
          <w:color w:val="auto"/>
        </w:rPr>
        <w:t>On achievement of the following development milestones by the first three Licensed Products, Licensee shall pay to Monash the following milestone payments on each of the following occurrences in relation to each such Licensed Product:</w:t>
      </w:r>
    </w:p>
    <w:p>
      <w:pPr>
        <w:spacing w:after="0" w:line="158" w:lineRule="exact"/>
        <w:rPr>
          <w:sz w:val="20"/>
          <w:szCs w:val="20"/>
          <w:color w:val="auto"/>
        </w:rPr>
      </w:pPr>
    </w:p>
    <w:tbl>
      <w:tblPr>
        <w:tblLayout w:type="fixed"/>
        <w:tblInd w:w="440" w:type="dxa"/>
        <w:tblCellMar>
          <w:top w:w="0" w:type="dxa"/>
          <w:left w:w="0" w:type="dxa"/>
          <w:bottom w:w="0" w:type="dxa"/>
          <w:right w:w="0" w:type="dxa"/>
        </w:tblCellMar>
      </w:tblPr>
      <w:tr>
        <w:trPr>
          <w:trHeight w:val="238"/>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Development Milestones</w:t>
            </w:r>
          </w:p>
        </w:tc>
        <w:tc>
          <w:tcPr>
            <w:tcW w:w="3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354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3540" w:type="dxa"/>
            <w:vAlign w:val="bottom"/>
            <w:shd w:val="clear" w:color="auto" w:fill="CCEEFF"/>
          </w:tcPr>
          <w:p>
            <w:pPr>
              <w:jc w:val="right"/>
              <w:ind w:right="3050"/>
              <w:spacing w:after="0"/>
              <w:rPr>
                <w:sz w:val="20"/>
                <w:szCs w:val="20"/>
                <w:color w:val="auto"/>
              </w:rPr>
            </w:pPr>
            <w:r>
              <w:rPr>
                <w:rFonts w:ascii="Times New Roman" w:cs="Times New Roman" w:eastAsia="Times New Roman" w:hAnsi="Times New Roman"/>
                <w:sz w:val="18"/>
                <w:szCs w:val="18"/>
                <w:color w:val="auto"/>
                <w:w w:val="97"/>
              </w:rPr>
              <w:t>[***]</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US50,000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540" w:type="dxa"/>
            <w:vAlign w:val="bottom"/>
          </w:tcPr>
          <w:p>
            <w:pPr>
              <w:jc w:val="right"/>
              <w:ind w:right="3050"/>
              <w:spacing w:after="0"/>
              <w:rPr>
                <w:sz w:val="20"/>
                <w:szCs w:val="20"/>
                <w:color w:val="auto"/>
              </w:rPr>
            </w:pPr>
            <w:r>
              <w:rPr>
                <w:rFonts w:ascii="Times New Roman" w:cs="Times New Roman" w:eastAsia="Times New Roman" w:hAnsi="Times New Roman"/>
                <w:sz w:val="18"/>
                <w:szCs w:val="18"/>
                <w:color w:val="auto"/>
                <w:w w:val="97"/>
              </w:rPr>
              <w:t>[***]</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US175,000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540" w:type="dxa"/>
            <w:vAlign w:val="bottom"/>
            <w:shd w:val="clear" w:color="auto" w:fill="CCEEFF"/>
          </w:tcPr>
          <w:p>
            <w:pPr>
              <w:jc w:val="right"/>
              <w:ind w:right="3050"/>
              <w:spacing w:after="0"/>
              <w:rPr>
                <w:sz w:val="20"/>
                <w:szCs w:val="20"/>
                <w:color w:val="auto"/>
              </w:rPr>
            </w:pPr>
            <w:r>
              <w:rPr>
                <w:rFonts w:ascii="Times New Roman" w:cs="Times New Roman" w:eastAsia="Times New Roman" w:hAnsi="Times New Roman"/>
                <w:sz w:val="18"/>
                <w:szCs w:val="18"/>
                <w:color w:val="auto"/>
                <w:w w:val="97"/>
              </w:rPr>
              <w:t>[***]</w:t>
            </w:r>
          </w:p>
        </w:tc>
        <w:tc>
          <w:tcPr>
            <w:tcW w:w="30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3540" w:type="dxa"/>
            <w:vAlign w:val="bottom"/>
          </w:tcPr>
          <w:p>
            <w:pPr>
              <w:jc w:val="right"/>
              <w:ind w:right="3050"/>
              <w:spacing w:after="0"/>
              <w:rPr>
                <w:sz w:val="20"/>
                <w:szCs w:val="20"/>
                <w:color w:val="auto"/>
              </w:rPr>
            </w:pPr>
            <w:r>
              <w:rPr>
                <w:rFonts w:ascii="Times New Roman" w:cs="Times New Roman" w:eastAsia="Times New Roman" w:hAnsi="Times New Roman"/>
                <w:sz w:val="18"/>
                <w:szCs w:val="18"/>
                <w:color w:val="auto"/>
                <w:w w:val="97"/>
              </w:rPr>
              <w:t>[***]</w:t>
            </w:r>
          </w:p>
        </w:tc>
        <w:tc>
          <w:tcPr>
            <w:tcW w:w="30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Commercial Milestones</w:t>
            </w:r>
          </w:p>
        </w:tc>
        <w:tc>
          <w:tcPr>
            <w:tcW w:w="3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354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3540" w:type="dxa"/>
            <w:vAlign w:val="bottom"/>
            <w:shd w:val="clear" w:color="auto" w:fill="CCEEFF"/>
          </w:tcPr>
          <w:p>
            <w:pPr>
              <w:jc w:val="right"/>
              <w:ind w:right="3050"/>
              <w:spacing w:after="0"/>
              <w:rPr>
                <w:sz w:val="20"/>
                <w:szCs w:val="20"/>
                <w:color w:val="auto"/>
              </w:rPr>
            </w:pPr>
            <w:r>
              <w:rPr>
                <w:rFonts w:ascii="Times New Roman" w:cs="Times New Roman" w:eastAsia="Times New Roman" w:hAnsi="Times New Roman"/>
                <w:sz w:val="18"/>
                <w:szCs w:val="18"/>
                <w:color w:val="auto"/>
                <w:w w:val="97"/>
              </w:rPr>
              <w:t>[***]</w:t>
            </w:r>
          </w:p>
        </w:tc>
        <w:tc>
          <w:tcPr>
            <w:tcW w:w="30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540" w:type="dxa"/>
            <w:vAlign w:val="bottom"/>
          </w:tcPr>
          <w:p>
            <w:pPr>
              <w:jc w:val="right"/>
              <w:ind w:right="3050"/>
              <w:spacing w:after="0"/>
              <w:rPr>
                <w:sz w:val="20"/>
                <w:szCs w:val="20"/>
                <w:color w:val="auto"/>
              </w:rPr>
            </w:pPr>
            <w:r>
              <w:rPr>
                <w:rFonts w:ascii="Times New Roman" w:cs="Times New Roman" w:eastAsia="Times New Roman" w:hAnsi="Times New Roman"/>
                <w:sz w:val="18"/>
                <w:szCs w:val="18"/>
                <w:color w:val="auto"/>
                <w:w w:val="97"/>
              </w:rPr>
              <w:t>[***]</w:t>
            </w:r>
          </w:p>
        </w:tc>
        <w:tc>
          <w:tcPr>
            <w:tcW w:w="30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540" w:type="dxa"/>
            <w:vAlign w:val="bottom"/>
            <w:shd w:val="clear" w:color="auto" w:fill="CCEEFF"/>
          </w:tcPr>
          <w:p>
            <w:pPr>
              <w:jc w:val="right"/>
              <w:ind w:right="3050"/>
              <w:spacing w:after="0"/>
              <w:rPr>
                <w:sz w:val="20"/>
                <w:szCs w:val="20"/>
                <w:color w:val="auto"/>
              </w:rPr>
            </w:pPr>
            <w:r>
              <w:rPr>
                <w:rFonts w:ascii="Times New Roman" w:cs="Times New Roman" w:eastAsia="Times New Roman" w:hAnsi="Times New Roman"/>
                <w:sz w:val="18"/>
                <w:szCs w:val="18"/>
                <w:color w:val="auto"/>
                <w:w w:val="97"/>
              </w:rPr>
              <w:t>[***]</w:t>
            </w:r>
          </w:p>
        </w:tc>
        <w:tc>
          <w:tcPr>
            <w:tcW w:w="30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40" w:right="260"/>
        <w:spacing w:after="0" w:line="312" w:lineRule="auto"/>
        <w:rPr>
          <w:sz w:val="20"/>
          <w:szCs w:val="20"/>
          <w:color w:val="auto"/>
        </w:rPr>
      </w:pPr>
      <w:r>
        <w:rPr>
          <w:rFonts w:ascii="Times New Roman" w:cs="Times New Roman" w:eastAsia="Times New Roman" w:hAnsi="Times New Roman"/>
          <w:sz w:val="17"/>
          <w:szCs w:val="17"/>
          <w:color w:val="auto"/>
        </w:rPr>
        <w:t>For the avoidance of doubt, if Licensee develops more than one Product, then Licensee shall pay an amount equal to [***] of each of the above Development Milestones for each additional Product that requires a separate regulatory approval, up to a maximum of three (3) Products.</w:t>
      </w:r>
    </w:p>
    <w:p>
      <w:pPr>
        <w:spacing w:after="0" w:line="4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7.5</w:t>
      </w:r>
      <w:r>
        <w:rPr>
          <w:sz w:val="20"/>
          <w:szCs w:val="20"/>
          <w:color w:val="auto"/>
        </w:rPr>
        <w:tab/>
      </w:r>
      <w:r>
        <w:rPr>
          <w:rFonts w:ascii="Times New Roman" w:cs="Times New Roman" w:eastAsia="Times New Roman" w:hAnsi="Times New Roman"/>
          <w:sz w:val="17"/>
          <w:szCs w:val="17"/>
          <w:b w:val="1"/>
          <w:bCs w:val="1"/>
          <w:color w:val="auto"/>
        </w:rPr>
        <w:t>Licensee Paid-Up Licence</w:t>
      </w:r>
    </w:p>
    <w:p>
      <w:pPr>
        <w:spacing w:after="0" w:line="121" w:lineRule="exact"/>
        <w:rPr>
          <w:sz w:val="20"/>
          <w:szCs w:val="20"/>
          <w:color w:val="auto"/>
        </w:rPr>
      </w:pPr>
    </w:p>
    <w:p>
      <w:pPr>
        <w:ind w:left="440" w:right="60"/>
        <w:spacing w:after="0" w:line="261" w:lineRule="auto"/>
        <w:rPr>
          <w:sz w:val="20"/>
          <w:szCs w:val="20"/>
          <w:color w:val="auto"/>
        </w:rPr>
      </w:pPr>
      <w:r>
        <w:rPr>
          <w:rFonts w:ascii="Times New Roman" w:cs="Times New Roman" w:eastAsia="Times New Roman" w:hAnsi="Times New Roman"/>
          <w:sz w:val="18"/>
          <w:szCs w:val="18"/>
          <w:color w:val="auto"/>
        </w:rPr>
        <w:t>Upon the expiration of Licensee’s obligation under Clause 7.3 to pay Royalties during the Term on Net Sales in a particular country, Licensee shall have a fully paid-up, nonexclusive licence in that country, with the right to sublicense, to research, develop, make, have made, use, sell, offer for sale, have sold, import, export or otherwise exploit, or transfer physical possession of or title in such Licensed Product for any use in that country.</w:t>
      </w:r>
    </w:p>
    <w:p>
      <w:pPr>
        <w:spacing w:after="0" w:line="8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7.6</w:t>
      </w:r>
      <w:r>
        <w:rPr>
          <w:sz w:val="20"/>
          <w:szCs w:val="20"/>
          <w:color w:val="auto"/>
        </w:rPr>
        <w:tab/>
      </w:r>
      <w:r>
        <w:rPr>
          <w:rFonts w:ascii="Times New Roman" w:cs="Times New Roman" w:eastAsia="Times New Roman" w:hAnsi="Times New Roman"/>
          <w:sz w:val="17"/>
          <w:szCs w:val="17"/>
          <w:b w:val="1"/>
          <w:bCs w:val="1"/>
          <w:color w:val="auto"/>
        </w:rPr>
        <w:t>Deduction of Taxes</w:t>
      </w:r>
    </w:p>
    <w:p>
      <w:pPr>
        <w:spacing w:after="0" w:line="121" w:lineRule="exact"/>
        <w:rPr>
          <w:sz w:val="20"/>
          <w:szCs w:val="20"/>
          <w:color w:val="auto"/>
        </w:rPr>
      </w:pPr>
    </w:p>
    <w:p>
      <w:pPr>
        <w:ind w:left="440" w:right="160"/>
        <w:spacing w:after="0" w:line="258" w:lineRule="auto"/>
        <w:rPr>
          <w:sz w:val="20"/>
          <w:szCs w:val="20"/>
          <w:color w:val="auto"/>
        </w:rPr>
      </w:pPr>
      <w:r>
        <w:rPr>
          <w:rFonts w:ascii="Times New Roman" w:cs="Times New Roman" w:eastAsia="Times New Roman" w:hAnsi="Times New Roman"/>
          <w:sz w:val="18"/>
          <w:szCs w:val="18"/>
          <w:color w:val="auto"/>
        </w:rPr>
        <w:t>All payments of royalties, milestones and licence fees under Clause 7, shall be made without deduction of income tax or other taxes charges or duties that may be imposed, except insofar as the Licensee is required to deduct the same to comply with applicable laws. The Parties shall cooperate and take all steps reasonably and lawfully available to them, [***] of Licensee, to avoid deducting such taxes and to obtain double taxation relief. If the Licensee is required to make any such deduction it shall provide Monash with such certificates or other documents as it can reasonably obtain to enable Monash to obtain appropriate relief from double taxation of the payment in question.</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17</w:t>
      </w:r>
    </w:p>
    <w:p>
      <w:pPr>
        <w:sectPr>
          <w:pgSz w:w="11900" w:h="16838" w:orient="portrait"/>
          <w:cols w:equalWidth="0" w:num="1">
            <w:col w:w="11020"/>
          </w:cols>
          <w:pgMar w:left="440" w:top="266" w:right="439" w:bottom="1440" w:gutter="0" w:footer="0" w:header="0"/>
        </w:sectPr>
      </w:pPr>
    </w:p>
    <w:bookmarkStart w:id="354" w:name="page355"/>
    <w:bookmarkEnd w:id="354"/>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7.7</w:t>
      </w:r>
      <w:r>
        <w:rPr>
          <w:sz w:val="20"/>
          <w:szCs w:val="20"/>
          <w:color w:val="auto"/>
        </w:rPr>
        <w:tab/>
      </w:r>
      <w:r>
        <w:rPr>
          <w:rFonts w:ascii="Times New Roman" w:cs="Times New Roman" w:eastAsia="Times New Roman" w:hAnsi="Times New Roman"/>
          <w:sz w:val="17"/>
          <w:szCs w:val="17"/>
          <w:b w:val="1"/>
          <w:bCs w:val="1"/>
          <w:color w:val="auto"/>
        </w:rPr>
        <w:t>Sales of Products</w:t>
      </w:r>
    </w:p>
    <w:p>
      <w:pPr>
        <w:spacing w:after="0" w:line="135" w:lineRule="exact"/>
        <w:rPr>
          <w:sz w:val="20"/>
          <w:szCs w:val="20"/>
          <w:color w:val="auto"/>
        </w:rPr>
      </w:pPr>
    </w:p>
    <w:p>
      <w:pPr>
        <w:ind w:left="960" w:right="200" w:hanging="532"/>
        <w:spacing w:after="0" w:line="266" w:lineRule="auto"/>
        <w:tabs>
          <w:tab w:leader="none" w:pos="9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payments under Clause 7.3 shall be due and payable upon the sale or other transfer of Product among Licensee and its Sub-licensees, but in such cases the payment shall be due and payable and calculated upon Licensee’s or its Sub- licensee’s sale of such Product to the first entity which is not Licensee or a Sublicensee.</w:t>
      </w:r>
    </w:p>
    <w:p>
      <w:pPr>
        <w:spacing w:after="0" w:line="81"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must ensure that sales of Products by Licensee and its Sub-licensees to third parties (excluding such limited quantities of promotional samples as are reasonable and customary in the markets in which such Product sales are to occur) are on an arm’s length basis and if in doubt Licensee will provide notification to Monash in advance.</w:t>
      </w:r>
    </w:p>
    <w:p>
      <w:pPr>
        <w:spacing w:after="0" w:line="7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7.8</w:t>
      </w:r>
      <w:r>
        <w:rPr>
          <w:sz w:val="20"/>
          <w:szCs w:val="20"/>
          <w:color w:val="auto"/>
        </w:rPr>
        <w:tab/>
      </w:r>
      <w:r>
        <w:rPr>
          <w:rFonts w:ascii="Times New Roman" w:cs="Times New Roman" w:eastAsia="Times New Roman" w:hAnsi="Times New Roman"/>
          <w:sz w:val="17"/>
          <w:szCs w:val="17"/>
          <w:b w:val="1"/>
          <w:bCs w:val="1"/>
          <w:color w:val="auto"/>
        </w:rPr>
        <w:t>Timing of payments and interest</w:t>
      </w:r>
    </w:p>
    <w:p>
      <w:pPr>
        <w:spacing w:after="0" w:line="135" w:lineRule="exact"/>
        <w:rPr>
          <w:sz w:val="20"/>
          <w:szCs w:val="20"/>
          <w:color w:val="auto"/>
        </w:rPr>
      </w:pPr>
    </w:p>
    <w:p>
      <w:pPr>
        <w:ind w:left="960" w:right="60" w:hanging="532"/>
        <w:spacing w:after="0" w:line="266" w:lineRule="auto"/>
        <w:tabs>
          <w:tab w:leader="none" w:pos="9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pay to Monash any monies due under Clause 7 on a [***]basis, within [***] after the end of each [***]. With respect to Net Income and Net Sales generated during the Term but received after the end of the Term, Licensee shall pay Monash the applicable monies due under Clause 7 within [***] of receipt.</w:t>
      </w:r>
    </w:p>
    <w:p>
      <w:pPr>
        <w:spacing w:after="0" w:line="81"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must pay interest on any money that it owes in relation to this agreement but fails to pay on time. Such interest accrues [***]. The rate of interest shall be [***].</w:t>
      </w:r>
    </w:p>
    <w:p>
      <w:pPr>
        <w:spacing w:after="0" w:line="6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7.9</w:t>
        <w:tab/>
        <w:t>Royalty Reports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Within [***] of the end of each Calendar Year, Licensee will make written reports setting out:</w:t>
      </w:r>
    </w:p>
    <w:p>
      <w:pPr>
        <w:spacing w:after="0" w:line="131" w:lineRule="exact"/>
        <w:rPr>
          <w:sz w:val="20"/>
          <w:szCs w:val="20"/>
          <w:color w:val="auto"/>
        </w:rPr>
      </w:pPr>
    </w:p>
    <w:p>
      <w:pPr>
        <w:ind w:left="960" w:hanging="532"/>
        <w:spacing w:after="0"/>
        <w:tabs>
          <w:tab w:leader="none" w:pos="9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and Net Sales revenue earned from all Products during that Financial Year;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for calculation of Royalties;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Royalty payable for that Calendar Year;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projections for the following Calendar Year.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7.10 Currency and form of payment</w:t>
      </w:r>
    </w:p>
    <w:p>
      <w:pPr>
        <w:spacing w:after="0" w:line="121" w:lineRule="exact"/>
        <w:rPr>
          <w:sz w:val="20"/>
          <w:szCs w:val="20"/>
          <w:color w:val="auto"/>
        </w:rPr>
      </w:pPr>
    </w:p>
    <w:p>
      <w:pPr>
        <w:ind w:left="440" w:right="140"/>
        <w:spacing w:after="0" w:line="266" w:lineRule="auto"/>
        <w:rPr>
          <w:sz w:val="20"/>
          <w:szCs w:val="20"/>
          <w:color w:val="auto"/>
        </w:rPr>
      </w:pPr>
      <w:r>
        <w:rPr>
          <w:rFonts w:ascii="Times New Roman" w:cs="Times New Roman" w:eastAsia="Times New Roman" w:hAnsi="Times New Roman"/>
          <w:sz w:val="18"/>
          <w:szCs w:val="18"/>
          <w:color w:val="auto"/>
        </w:rPr>
        <w:t>All payments to be made by Licensee to Monash under this agreement shall be made in United States dollars or such other currency as agreed by the Parties from time to time and be paid via wire transfer or such other method as is specified by Monash from time to time in immediately available funds to a bank account in Australia in Monash’s name designated in writing by Monash from time to time.</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18</w:t>
      </w:r>
    </w:p>
    <w:p>
      <w:pPr>
        <w:sectPr>
          <w:pgSz w:w="11900" w:h="16838" w:orient="portrait"/>
          <w:cols w:equalWidth="0" w:num="1">
            <w:col w:w="11020"/>
          </w:cols>
          <w:pgMar w:left="440" w:top="266" w:right="439" w:bottom="1440" w:gutter="0" w:footer="0" w:header="0"/>
        </w:sectPr>
      </w:pPr>
    </w:p>
    <w:bookmarkStart w:id="355" w:name="page356"/>
    <w:bookmarkEnd w:id="35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7.11  Books of account</w:t>
      </w:r>
    </w:p>
    <w:p>
      <w:pPr>
        <w:spacing w:after="0" w:line="121" w:lineRule="exact"/>
        <w:rPr>
          <w:sz w:val="20"/>
          <w:szCs w:val="20"/>
          <w:color w:val="auto"/>
        </w:rPr>
      </w:pPr>
    </w:p>
    <w:p>
      <w:pPr>
        <w:ind w:left="444" w:right="540"/>
        <w:spacing w:after="0" w:line="266" w:lineRule="auto"/>
        <w:rPr>
          <w:sz w:val="20"/>
          <w:szCs w:val="20"/>
          <w:color w:val="auto"/>
        </w:rPr>
      </w:pPr>
      <w:r>
        <w:rPr>
          <w:rFonts w:ascii="Times New Roman" w:cs="Times New Roman" w:eastAsia="Times New Roman" w:hAnsi="Times New Roman"/>
          <w:sz w:val="18"/>
          <w:szCs w:val="18"/>
          <w:color w:val="auto"/>
        </w:rPr>
        <w:t>Licensee must keep proper and accurate books of account and records which must contain all information and financial statements as to the production, manufacture and supply of the Products and the receipts and expenses in respect of those Products, so as to enable a correct computation to be made of the Royalty payable in respect of the Products.</w:t>
      </w:r>
    </w:p>
    <w:p>
      <w:pPr>
        <w:spacing w:after="0" w:line="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7.12 Inspection and audit of books</w:t>
      </w:r>
    </w:p>
    <w:p>
      <w:pPr>
        <w:spacing w:after="0" w:line="135" w:lineRule="exact"/>
        <w:rPr>
          <w:sz w:val="20"/>
          <w:szCs w:val="20"/>
          <w:color w:val="auto"/>
        </w:rPr>
      </w:pPr>
    </w:p>
    <w:p>
      <w:pPr>
        <w:ind w:left="964" w:right="200" w:hanging="532"/>
        <w:spacing w:after="0" w:line="254" w:lineRule="auto"/>
        <w:tabs>
          <w:tab w:leader="none" w:pos="964"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must, upon reasonable notice and subject to reasonable security requirement during usual business hours, permit an internationally recognised, independent, certified or chartered public accounting firm appointed by Monash (the “</w:t>
      </w:r>
      <w:r>
        <w:rPr>
          <w:rFonts w:ascii="Times New Roman" w:cs="Times New Roman" w:eastAsia="Times New Roman" w:hAnsi="Times New Roman"/>
          <w:sz w:val="18"/>
          <w:szCs w:val="18"/>
          <w:b w:val="1"/>
          <w:bCs w:val="1"/>
          <w:color w:val="auto"/>
        </w:rPr>
        <w:t>Auditor</w:t>
      </w:r>
      <w:r>
        <w:rPr>
          <w:rFonts w:ascii="Times New Roman" w:cs="Times New Roman" w:eastAsia="Times New Roman" w:hAnsi="Times New Roman"/>
          <w:sz w:val="18"/>
          <w:szCs w:val="18"/>
          <w:color w:val="auto"/>
        </w:rPr>
        <w:t>”) to access all records kept by Licensee in relation to the manufacture and supply of the Products to the extent relevant to calculation of the Royalty payable by Licensee in respect of any Calendar Year and to inspect and take copies of such records. Any such inspection will be at Monash’s [***] (except as set forth in Clause 7.12(b) below) and will be limited to [***]. The Auditor must sign Licensee’s reasonable form confidentiality agreement prior to any such access and all books and records reviewed will be deemed Licensee’s Confidential Information. The Auditor will be permitted to provide Monash with only a report of the results of its findings, and will provide a copy of any such report to Licensee. The Auditor’s report will be deemed Licensee’s Confidential Information.</w:t>
      </w:r>
    </w:p>
    <w:p>
      <w:pPr>
        <w:spacing w:after="0" w:line="97" w:lineRule="exact"/>
        <w:rPr>
          <w:rFonts w:ascii="Times New Roman" w:cs="Times New Roman" w:eastAsia="Times New Roman" w:hAnsi="Times New Roman"/>
          <w:sz w:val="18"/>
          <w:szCs w:val="18"/>
          <w:color w:val="auto"/>
        </w:rPr>
      </w:pPr>
    </w:p>
    <w:p>
      <w:pPr>
        <w:ind w:left="964" w:right="20" w:hanging="532"/>
        <w:spacing w:after="0" w:line="261" w:lineRule="auto"/>
        <w:tabs>
          <w:tab w:leader="none" w:pos="964"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inspection or audit made pursuant to Clause 7.12(a) reveals that any amount paid by Licensee to Monash is less than the amount required by this Agreement, Licensee must [***] pay to Monash the shortfall. If any such shortfall in payment is in excess of [***] of the amount which had initially been paid by Licensee, Licensee must immediately reimburse Monash for [***] incurred in connection with the audit or inspection which disclosed that shortfall [***].</w:t>
      </w:r>
    </w:p>
    <w:p>
      <w:pPr>
        <w:spacing w:after="0" w:line="85" w:lineRule="exact"/>
        <w:rPr>
          <w:rFonts w:ascii="Times New Roman" w:cs="Times New Roman" w:eastAsia="Times New Roman" w:hAnsi="Times New Roman"/>
          <w:sz w:val="18"/>
          <w:szCs w:val="18"/>
          <w:color w:val="auto"/>
        </w:rPr>
      </w:pPr>
    </w:p>
    <w:p>
      <w:pPr>
        <w:ind w:left="964" w:right="400" w:hanging="532"/>
        <w:spacing w:after="0" w:line="282" w:lineRule="auto"/>
        <w:tabs>
          <w:tab w:leader="none" w:pos="964"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made under Clause 7.12(b), are without prejudice to any other remedies that Monash may have under this Agreement or otherwise.</w:t>
      </w:r>
    </w:p>
    <w:p>
      <w:pPr>
        <w:spacing w:after="0" w:line="3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Intellectual Property Infringement</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8.1</w:t>
        <w:tab/>
        <w:t>Notification</w:t>
      </w:r>
    </w:p>
    <w:p>
      <w:pPr>
        <w:spacing w:after="0" w:line="135" w:lineRule="exact"/>
        <w:rPr>
          <w:sz w:val="20"/>
          <w:szCs w:val="20"/>
          <w:color w:val="auto"/>
        </w:rPr>
      </w:pPr>
    </w:p>
    <w:p>
      <w:pPr>
        <w:ind w:left="964" w:right="240" w:hanging="532"/>
        <w:spacing w:after="0" w:line="312" w:lineRule="auto"/>
        <w:tabs>
          <w:tab w:leader="none" w:pos="964"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agrees to [***]notify the other in writing of any potential infringement of any of the Licensed Patents, or misuse or misappropriation of Licensed Information or Project IP by third parties which may come to its attention (“</w:t>
      </w:r>
      <w:r>
        <w:rPr>
          <w:rFonts w:ascii="Times New Roman" w:cs="Times New Roman" w:eastAsia="Times New Roman" w:hAnsi="Times New Roman"/>
          <w:sz w:val="17"/>
          <w:szCs w:val="17"/>
          <w:b w:val="1"/>
          <w:bCs w:val="1"/>
          <w:color w:val="auto"/>
        </w:rPr>
        <w:t>Third Party Infringement</w:t>
      </w:r>
      <w:r>
        <w:rPr>
          <w:rFonts w:ascii="Times New Roman" w:cs="Times New Roman" w:eastAsia="Times New Roman" w:hAnsi="Times New Roman"/>
          <w:sz w:val="17"/>
          <w:szCs w:val="17"/>
          <w:color w:val="auto"/>
        </w:rPr>
        <w:t>”).</w:t>
      </w:r>
    </w:p>
    <w:p>
      <w:pPr>
        <w:spacing w:after="0" w:line="45" w:lineRule="exact"/>
        <w:rPr>
          <w:rFonts w:ascii="Times New Roman" w:cs="Times New Roman" w:eastAsia="Times New Roman" w:hAnsi="Times New Roman"/>
          <w:sz w:val="17"/>
          <w:szCs w:val="17"/>
          <w:color w:val="auto"/>
        </w:rPr>
      </w:pPr>
    </w:p>
    <w:p>
      <w:pPr>
        <w:ind w:left="964" w:right="220" w:hanging="532"/>
        <w:spacing w:after="0" w:line="266" w:lineRule="auto"/>
        <w:tabs>
          <w:tab w:leader="none" w:pos="964"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party becomes aware of a patent or other third party IP right which may be infringed by the Commercialisation of the Licensed Patents, Project IP or Products (“</w:t>
      </w:r>
      <w:r>
        <w:rPr>
          <w:rFonts w:ascii="Times New Roman" w:cs="Times New Roman" w:eastAsia="Times New Roman" w:hAnsi="Times New Roman"/>
          <w:sz w:val="18"/>
          <w:szCs w:val="18"/>
          <w:b w:val="1"/>
          <w:bCs w:val="1"/>
          <w:color w:val="auto"/>
        </w:rPr>
        <w:t>Necessary Third Party IP</w:t>
      </w:r>
      <w:r>
        <w:rPr>
          <w:rFonts w:ascii="Times New Roman" w:cs="Times New Roman" w:eastAsia="Times New Roman" w:hAnsi="Times New Roman"/>
          <w:sz w:val="18"/>
          <w:szCs w:val="18"/>
          <w:color w:val="auto"/>
        </w:rPr>
        <w:t>”), or receives a notice or is the subject of any action filed against it alleging such infringement (“</w:t>
      </w:r>
      <w:r>
        <w:rPr>
          <w:rFonts w:ascii="Times New Roman" w:cs="Times New Roman" w:eastAsia="Times New Roman" w:hAnsi="Times New Roman"/>
          <w:sz w:val="18"/>
          <w:szCs w:val="18"/>
          <w:b w:val="1"/>
          <w:bCs w:val="1"/>
          <w:color w:val="auto"/>
        </w:rPr>
        <w:t>Infringement Claim</w:t>
      </w:r>
      <w:r>
        <w:rPr>
          <w:rFonts w:ascii="Times New Roman" w:cs="Times New Roman" w:eastAsia="Times New Roman" w:hAnsi="Times New Roman"/>
          <w:sz w:val="18"/>
          <w:szCs w:val="18"/>
          <w:color w:val="auto"/>
        </w:rPr>
        <w:t>”), that party will [***]notify the other party.</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19</w:t>
      </w:r>
    </w:p>
    <w:p>
      <w:pPr>
        <w:sectPr>
          <w:pgSz w:w="11900" w:h="16838" w:orient="portrait"/>
          <w:cols w:equalWidth="0" w:num="1">
            <w:col w:w="11024"/>
          </w:cols>
          <w:pgMar w:left="436" w:top="266" w:right="439" w:bottom="1440" w:gutter="0" w:footer="0" w:header="0"/>
        </w:sectPr>
      </w:pPr>
    </w:p>
    <w:bookmarkStart w:id="356" w:name="page357"/>
    <w:bookmarkEnd w:id="356"/>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8.2</w:t>
      </w:r>
      <w:r>
        <w:rPr>
          <w:sz w:val="20"/>
          <w:szCs w:val="20"/>
          <w:color w:val="auto"/>
        </w:rPr>
        <w:tab/>
      </w:r>
      <w:r>
        <w:rPr>
          <w:rFonts w:ascii="Times New Roman" w:cs="Times New Roman" w:eastAsia="Times New Roman" w:hAnsi="Times New Roman"/>
          <w:sz w:val="17"/>
          <w:szCs w:val="17"/>
          <w:b w:val="1"/>
          <w:bCs w:val="1"/>
          <w:color w:val="auto"/>
        </w:rPr>
        <w:t>Actions and assistance</w:t>
      </w:r>
    </w:p>
    <w:p>
      <w:pPr>
        <w:spacing w:after="0" w:line="135" w:lineRule="exact"/>
        <w:rPr>
          <w:sz w:val="20"/>
          <w:szCs w:val="20"/>
          <w:color w:val="auto"/>
        </w:rPr>
      </w:pPr>
    </w:p>
    <w:p>
      <w:pPr>
        <w:jc w:val="both"/>
        <w:ind w:left="960" w:right="40" w:hanging="532"/>
        <w:spacing w:after="0" w:line="261" w:lineRule="auto"/>
        <w:tabs>
          <w:tab w:leader="none" w:pos="9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meet to discuss and consult with each other regarding the best way to respond to any Third Party Infringement, Necessary Third Party IP or Infringement Claim (collectively, “</w:t>
      </w:r>
      <w:r>
        <w:rPr>
          <w:rFonts w:ascii="Times New Roman" w:cs="Times New Roman" w:eastAsia="Times New Roman" w:hAnsi="Times New Roman"/>
          <w:sz w:val="18"/>
          <w:szCs w:val="18"/>
          <w:b w:val="1"/>
          <w:bCs w:val="1"/>
          <w:color w:val="auto"/>
        </w:rPr>
        <w:t>FTO Issues</w:t>
      </w:r>
      <w:r>
        <w:rPr>
          <w:rFonts w:ascii="Times New Roman" w:cs="Times New Roman" w:eastAsia="Times New Roman" w:hAnsi="Times New Roman"/>
          <w:sz w:val="18"/>
          <w:szCs w:val="18"/>
          <w:color w:val="auto"/>
        </w:rPr>
        <w:t>”), provided that if the Parties do not agree on a joint programme of action with respect to FTO Issues, including how the costs of such action are to be borne and how any damages or other sums received from such action are to be distributed, then [***].</w:t>
      </w:r>
    </w:p>
    <w:p>
      <w:pPr>
        <w:spacing w:after="0" w:line="85" w:lineRule="exact"/>
        <w:rPr>
          <w:rFonts w:ascii="Times New Roman" w:cs="Times New Roman" w:eastAsia="Times New Roman" w:hAnsi="Times New Roman"/>
          <w:sz w:val="18"/>
          <w:szCs w:val="18"/>
          <w:color w:val="auto"/>
        </w:rPr>
      </w:pPr>
    </w:p>
    <w:p>
      <w:pPr>
        <w:ind w:left="960" w:right="360" w:hanging="532"/>
        <w:spacing w:after="0" w:line="282" w:lineRule="auto"/>
        <w:tabs>
          <w:tab w:leader="none" w:pos="9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commencing any legal action under Clause 8.2(a) or amending any patent claims or specifications that would have the effect of reducing or limiting the extent of the patent coverage of the Licensed Patents, [***].</w:t>
      </w:r>
    </w:p>
    <w:p>
      <w:pPr>
        <w:spacing w:after="0" w:line="67" w:lineRule="exact"/>
        <w:rPr>
          <w:rFonts w:ascii="Times New Roman" w:cs="Times New Roman" w:eastAsia="Times New Roman" w:hAnsi="Times New Roman"/>
          <w:sz w:val="18"/>
          <w:szCs w:val="18"/>
          <w:color w:val="auto"/>
        </w:rPr>
      </w:pPr>
    </w:p>
    <w:p>
      <w:pPr>
        <w:ind w:left="960" w:right="340" w:hanging="532"/>
        <w:spacing w:after="0" w:line="282" w:lineRule="auto"/>
        <w:tabs>
          <w:tab w:leader="none" w:pos="9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alleged FTO Issue extends beyond the Field to include the Field Exemption, the Parties shall also [***] cooperate with Monash’s other licensees (if any) in relation to any such action.</w:t>
      </w:r>
    </w:p>
    <w:p>
      <w:pPr>
        <w:spacing w:after="0" w:line="67" w:lineRule="exact"/>
        <w:rPr>
          <w:rFonts w:ascii="Times New Roman" w:cs="Times New Roman" w:eastAsia="Times New Roman" w:hAnsi="Times New Roman"/>
          <w:sz w:val="18"/>
          <w:szCs w:val="18"/>
          <w:color w:val="auto"/>
        </w:rPr>
      </w:pPr>
    </w:p>
    <w:p>
      <w:pPr>
        <w:ind w:left="960" w:right="20" w:hanging="532"/>
        <w:spacing w:after="0" w:line="261" w:lineRule="auto"/>
        <w:tabs>
          <w:tab w:leader="none" w:pos="9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Licensee does not take any action under Clause 8.2(a) (which action may include, without limitation, sending a notice of infringement or entering settlement or licensing discussions) within [***] after the discussion contemplated in Clause 8.2(a), Monash may upon [***] prior written notice to Licensee take action in relation to such FTO Issues[***] and shall be entitled to keep any proceeds of any Third Party Infringement action.</w:t>
      </w:r>
    </w:p>
    <w:p>
      <w:pPr>
        <w:spacing w:after="0" w:line="85" w:lineRule="exact"/>
        <w:rPr>
          <w:rFonts w:ascii="Times New Roman" w:cs="Times New Roman" w:eastAsia="Times New Roman" w:hAnsi="Times New Roman"/>
          <w:sz w:val="18"/>
          <w:szCs w:val="18"/>
          <w:color w:val="auto"/>
        </w:rPr>
      </w:pPr>
    </w:p>
    <w:p>
      <w:pPr>
        <w:jc w:val="both"/>
        <w:ind w:left="960" w:right="40" w:hanging="532"/>
        <w:spacing w:after="0" w:line="266" w:lineRule="auto"/>
        <w:tabs>
          <w:tab w:leader="none" w:pos="9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will co-operate [***] with, and [***], the other party in respect of any action brought by or against the other party in relation to that potential infringement. Without limiting the foregoing, upon Licensee’s request [***] where Licensee is the responsible Party, Monash will join as a party plaintiff in any action regarding FTO Issues.</w:t>
      </w:r>
    </w:p>
    <w:p>
      <w:pPr>
        <w:spacing w:after="0" w:line="81" w:lineRule="exact"/>
        <w:rPr>
          <w:rFonts w:ascii="Times New Roman" w:cs="Times New Roman" w:eastAsia="Times New Roman" w:hAnsi="Times New Roman"/>
          <w:sz w:val="18"/>
          <w:szCs w:val="18"/>
          <w:color w:val="auto"/>
        </w:rPr>
      </w:pPr>
    </w:p>
    <w:p>
      <w:pPr>
        <w:ind w:left="960" w:right="260" w:hanging="532"/>
        <w:spacing w:after="0" w:line="261" w:lineRule="auto"/>
        <w:tabs>
          <w:tab w:leader="none" w:pos="9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reimburse Monash for any [***]expenses incurred in assisting it in connection with FTO Issues and shall pay Monash Royalties, in accordance with Clause 7, on any damages received from such action as if the amount of such damages (after deduction of both Parties’ [***]expenses in such action) in relation to the action were Net Sales or Net Income as determined by the Licensee acting [***] having [***]regard to the relevant infringing conduct and basis on which the damages have been calculated.</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20</w:t>
      </w:r>
    </w:p>
    <w:p>
      <w:pPr>
        <w:sectPr>
          <w:pgSz w:w="11900" w:h="16838" w:orient="portrait"/>
          <w:cols w:equalWidth="0" w:num="1">
            <w:col w:w="11020"/>
          </w:cols>
          <w:pgMar w:left="440" w:top="266" w:right="439" w:bottom="1440" w:gutter="0" w:footer="0" w:header="0"/>
        </w:sectPr>
      </w:pPr>
    </w:p>
    <w:bookmarkStart w:id="357" w:name="page358"/>
    <w:bookmarkEnd w:id="357"/>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8.3</w:t>
      </w:r>
      <w:r>
        <w:rPr>
          <w:sz w:val="20"/>
          <w:szCs w:val="20"/>
          <w:color w:val="auto"/>
        </w:rPr>
        <w:tab/>
      </w:r>
      <w:r>
        <w:rPr>
          <w:rFonts w:ascii="Times New Roman" w:cs="Times New Roman" w:eastAsia="Times New Roman" w:hAnsi="Times New Roman"/>
          <w:sz w:val="17"/>
          <w:szCs w:val="17"/>
          <w:b w:val="1"/>
          <w:bCs w:val="1"/>
          <w:color w:val="auto"/>
        </w:rPr>
        <w:t>Indemnity</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Where one Party independently commences or defends litigation in accordance with this Clause 8, that Party:</w:t>
      </w:r>
    </w:p>
    <w:p>
      <w:pPr>
        <w:spacing w:after="0" w:line="131" w:lineRule="exact"/>
        <w:rPr>
          <w:sz w:val="20"/>
          <w:szCs w:val="20"/>
          <w:color w:val="auto"/>
        </w:rPr>
      </w:pPr>
    </w:p>
    <w:p>
      <w:pPr>
        <w:ind w:left="964" w:right="20" w:hanging="532"/>
        <w:spacing w:after="0" w:line="266" w:lineRule="auto"/>
        <w:tabs>
          <w:tab w:leader="none" w:pos="964"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indemnify and keep indemnified the other Party from and against all loss, damage, costs, charges, expenses and other liabilities which may be suffered or incurred by the other Party arising out of any claim so asserted or action instituted by the Party which commences or defends litigation in accordance with this Clause 8; and</w:t>
      </w:r>
    </w:p>
    <w:p>
      <w:pPr>
        <w:spacing w:after="0" w:line="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bear [***] of the costs thereof including any damages or costs awarded against Monash and/or Licensee.</w:t>
      </w:r>
    </w:p>
    <w:p>
      <w:pPr>
        <w:spacing w:after="0" w:line="36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121" w:lineRule="exact"/>
        <w:rPr>
          <w:rFonts w:ascii="Times New Roman" w:cs="Times New Roman" w:eastAsia="Times New Roman" w:hAnsi="Times New Roman"/>
          <w:sz w:val="18"/>
          <w:szCs w:val="18"/>
          <w:b w:val="1"/>
          <w:bCs w:val="1"/>
          <w:color w:val="auto"/>
        </w:rPr>
      </w:pPr>
    </w:p>
    <w:p>
      <w:pPr>
        <w:ind w:left="444" w:right="2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this Clause 9, no Party shall (without the written consent of the other party) disclose the terms of this Agreement or any Confidential Information of the other Party to any third party or use any Confidential Information of the other party except for the purpose for which it was disclosed, except for disclosures:</w:t>
      </w:r>
    </w:p>
    <w:p>
      <w:pPr>
        <w:spacing w:after="0" w:line="81"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form of scientific publications expressly permitted under the MTA but nevertheless subject to Clause 10.1; or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by law or government authorities;</w:t>
      </w:r>
    </w:p>
    <w:p>
      <w:pPr>
        <w:spacing w:after="0" w:line="130" w:lineRule="exact"/>
        <w:rPr>
          <w:rFonts w:ascii="Times New Roman" w:cs="Times New Roman" w:eastAsia="Times New Roman" w:hAnsi="Times New Roman"/>
          <w:sz w:val="18"/>
          <w:szCs w:val="18"/>
          <w:color w:val="auto"/>
        </w:rPr>
      </w:pPr>
    </w:p>
    <w:p>
      <w:pPr>
        <w:ind w:left="964" w:right="40" w:hanging="532"/>
        <w:spacing w:after="0" w:line="282" w:lineRule="auto"/>
        <w:tabs>
          <w:tab w:leader="none" w:pos="964"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Sub-licensees, agents, contractors and employees or financial, insurance, or legal advisers and potential investors or lenders on a need to know basis and provided they agree to be bound by obligations of confidentiality; or</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necessary in connection with:</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or prosecuting patent applications;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prosecuting or defending litigation;</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research studies or clinical trials; or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regulatory approval of a Product;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and entering into a Sublicensee agreement, provided that such disclosure is subject to a written confidentiality agreement [***].</w:t>
      </w:r>
    </w:p>
    <w:p>
      <w:pPr>
        <w:spacing w:after="0" w:line="117" w:lineRule="exact"/>
        <w:rPr>
          <w:sz w:val="20"/>
          <w:szCs w:val="20"/>
          <w:color w:val="auto"/>
        </w:rPr>
      </w:pPr>
    </w:p>
    <w:p>
      <w:pPr>
        <w:ind w:left="444" w:right="180"/>
        <w:spacing w:after="0" w:line="282" w:lineRule="auto"/>
        <w:rPr>
          <w:sz w:val="20"/>
          <w:szCs w:val="20"/>
          <w:color w:val="auto"/>
        </w:rPr>
      </w:pPr>
      <w:r>
        <w:rPr>
          <w:rFonts w:ascii="Times New Roman" w:cs="Times New Roman" w:eastAsia="Times New Roman" w:hAnsi="Times New Roman"/>
          <w:sz w:val="18"/>
          <w:szCs w:val="18"/>
          <w:color w:val="auto"/>
        </w:rPr>
        <w:t>The Parties acknowledge and agree, following execution of this Agreement, they may decide to make a public announcement regarding entering into this Agreement (and if so, the terms of the public announcement shall be mutually agreed).</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21</w:t>
      </w:r>
    </w:p>
    <w:p>
      <w:pPr>
        <w:sectPr>
          <w:pgSz w:w="11900" w:h="16838" w:orient="portrait"/>
          <w:cols w:equalWidth="0" w:num="1">
            <w:col w:w="11024"/>
          </w:cols>
          <w:pgMar w:left="436" w:top="266" w:right="439" w:bottom="1440" w:gutter="0" w:footer="0" w:header="0"/>
        </w:sectPr>
      </w:pPr>
    </w:p>
    <w:bookmarkStart w:id="358" w:name="page359"/>
    <w:bookmarkEnd w:id="358"/>
    <w:p>
      <w:pPr>
        <w:ind w:left="4" w:right="8580" w:hanging="4"/>
        <w:spacing w:after="0" w:line="408" w:lineRule="auto"/>
        <w:tabs>
          <w:tab w:leader="none" w:pos="436" w:val="left"/>
        </w:tabs>
        <w:numPr>
          <w:ilvl w:val="0"/>
          <w:numId w:val="2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Publications and publicity 10.1 Proposed publications</w:t>
      </w:r>
    </w:p>
    <w:p>
      <w:pPr>
        <w:spacing w:after="0" w:line="1" w:lineRule="exact"/>
        <w:rPr>
          <w:sz w:val="20"/>
          <w:szCs w:val="20"/>
          <w:color w:val="auto"/>
        </w:rPr>
      </w:pPr>
    </w:p>
    <w:p>
      <w:pPr>
        <w:ind w:left="444" w:right="180"/>
        <w:spacing w:after="0" w:line="282" w:lineRule="auto"/>
        <w:rPr>
          <w:sz w:val="20"/>
          <w:szCs w:val="20"/>
          <w:color w:val="auto"/>
        </w:rPr>
      </w:pPr>
      <w:r>
        <w:rPr>
          <w:rFonts w:ascii="Times New Roman" w:cs="Times New Roman" w:eastAsia="Times New Roman" w:hAnsi="Times New Roman"/>
          <w:sz w:val="18"/>
          <w:szCs w:val="18"/>
          <w:color w:val="auto"/>
        </w:rPr>
        <w:t>If Monash wishes to make any publication in respect of the Research Project, including thesis publications as described in Clause 10.2, it will, at least [***] prior to submitting the publication;</w:t>
      </w:r>
    </w:p>
    <w:p>
      <w:pPr>
        <w:spacing w:after="0" w:line="67" w:lineRule="exact"/>
        <w:rPr>
          <w:sz w:val="20"/>
          <w:szCs w:val="20"/>
          <w:color w:val="auto"/>
        </w:rPr>
      </w:pPr>
    </w:p>
    <w:p>
      <w:pPr>
        <w:ind w:left="964" w:hanging="532"/>
        <w:spacing w:after="0"/>
        <w:tabs>
          <w:tab w:leader="none" w:pos="96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 a copy of the proposed publication to Licensee; and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from the publication any Confidential Information of Licensee, at the request of Licensee; and</w:t>
      </w:r>
    </w:p>
    <w:p>
      <w:pPr>
        <w:spacing w:after="0" w:line="130" w:lineRule="exact"/>
        <w:rPr>
          <w:rFonts w:ascii="Times New Roman" w:cs="Times New Roman" w:eastAsia="Times New Roman" w:hAnsi="Times New Roman"/>
          <w:sz w:val="18"/>
          <w:szCs w:val="18"/>
          <w:color w:val="auto"/>
        </w:rPr>
      </w:pPr>
    </w:p>
    <w:p>
      <w:pPr>
        <w:ind w:left="964" w:right="240" w:hanging="532"/>
        <w:spacing w:after="0" w:line="282" w:lineRule="auto"/>
        <w:tabs>
          <w:tab w:leader="none" w:pos="96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Licensee [***] to seek such legal protection of the Research Project results, Licensed Patents, Project IP and future improvements and/or any material contained in the proposed publication as it considers necessary.</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10.2 Thesis publication</w:t>
      </w:r>
    </w:p>
    <w:p>
      <w:pPr>
        <w:spacing w:after="0" w:line="121" w:lineRule="exact"/>
        <w:rPr>
          <w:sz w:val="20"/>
          <w:szCs w:val="20"/>
          <w:color w:val="auto"/>
        </w:rPr>
      </w:pPr>
    </w:p>
    <w:p>
      <w:pPr>
        <w:ind w:left="444" w:right="80"/>
        <w:spacing w:after="0" w:line="261" w:lineRule="auto"/>
        <w:rPr>
          <w:sz w:val="20"/>
          <w:szCs w:val="20"/>
          <w:color w:val="auto"/>
        </w:rPr>
      </w:pPr>
      <w:r>
        <w:rPr>
          <w:rFonts w:ascii="Times New Roman" w:cs="Times New Roman" w:eastAsia="Times New Roman" w:hAnsi="Times New Roman"/>
          <w:sz w:val="18"/>
          <w:szCs w:val="18"/>
          <w:color w:val="auto"/>
        </w:rPr>
        <w:t>The Parties acknowledge that where a researcher who is actively involved in noncommercial research using the Licensed Patents and requires their results to be published, in whole or in part, as part of their examination for the award of a postgraduate research degree (Examination Work), which for the avoidance of doubt shall include a thesis, the results may be published subject to compliance with Clause 10.1 and on the following additional conditions:</w:t>
      </w:r>
    </w:p>
    <w:p>
      <w:pPr>
        <w:spacing w:after="0" w:line="85" w:lineRule="exact"/>
        <w:rPr>
          <w:sz w:val="20"/>
          <w:szCs w:val="20"/>
          <w:color w:val="auto"/>
        </w:rPr>
      </w:pPr>
    </w:p>
    <w:p>
      <w:pPr>
        <w:ind w:left="964" w:hanging="532"/>
        <w:spacing w:after="0"/>
        <w:tabs>
          <w:tab w:leader="none" w:pos="96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candidate owns copyright in the Examination Work and/or thesis; and</w:t>
      </w:r>
    </w:p>
    <w:p>
      <w:pPr>
        <w:spacing w:after="0" w:line="130" w:lineRule="exact"/>
        <w:rPr>
          <w:rFonts w:ascii="Times New Roman" w:cs="Times New Roman" w:eastAsia="Times New Roman" w:hAnsi="Times New Roman"/>
          <w:sz w:val="18"/>
          <w:szCs w:val="18"/>
          <w:color w:val="auto"/>
        </w:rPr>
      </w:pPr>
    </w:p>
    <w:p>
      <w:pPr>
        <w:ind w:left="964" w:right="40" w:hanging="532"/>
        <w:spacing w:after="0" w:line="282" w:lineRule="auto"/>
        <w:tabs>
          <w:tab w:leader="none" w:pos="96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Examination Work and/or thesis, other than papers published before examination, may be distributed to the candidate’s examiners, on a confidential basis if requested by Licensee; and</w:t>
      </w:r>
    </w:p>
    <w:p>
      <w:pPr>
        <w:spacing w:after="0" w:line="67" w:lineRule="exact"/>
        <w:rPr>
          <w:rFonts w:ascii="Times New Roman" w:cs="Times New Roman" w:eastAsia="Times New Roman" w:hAnsi="Times New Roman"/>
          <w:sz w:val="18"/>
          <w:szCs w:val="18"/>
          <w:color w:val="auto"/>
        </w:rPr>
      </w:pPr>
    </w:p>
    <w:p>
      <w:pPr>
        <w:ind w:left="964" w:right="40" w:hanging="532"/>
        <w:spacing w:after="0" w:line="266" w:lineRule="auto"/>
        <w:tabs>
          <w:tab w:leader="none" w:pos="96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thesis, other than papers published before examination, will be maintained only in the “restricted” section of the library of the educational institution of which the candidate is a student for such period as is reasonable to obtain protection of any intellectual property and in accordance with the statutes and regulations of the educational institution.</w:t>
      </w:r>
    </w:p>
    <w:p>
      <w:pPr>
        <w:spacing w:after="0" w:line="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10.3 Use of name of the other party</w:t>
      </w:r>
    </w:p>
    <w:p>
      <w:pPr>
        <w:spacing w:after="0" w:line="121" w:lineRule="exact"/>
        <w:rPr>
          <w:sz w:val="20"/>
          <w:szCs w:val="20"/>
          <w:color w:val="auto"/>
        </w:rPr>
      </w:pPr>
    </w:p>
    <w:p>
      <w:pPr>
        <w:ind w:left="444" w:right="20"/>
        <w:spacing w:after="0" w:line="266" w:lineRule="auto"/>
        <w:rPr>
          <w:sz w:val="20"/>
          <w:szCs w:val="20"/>
          <w:color w:val="auto"/>
        </w:rPr>
      </w:pPr>
      <w:r>
        <w:rPr>
          <w:rFonts w:ascii="Times New Roman" w:cs="Times New Roman" w:eastAsia="Times New Roman" w:hAnsi="Times New Roman"/>
          <w:sz w:val="18"/>
          <w:szCs w:val="18"/>
          <w:color w:val="auto"/>
        </w:rPr>
        <w:t>Neither Party may use the other Party’s name, logos, trade marks or indicia; or the name of any of its Personnel or Affiliates in any announcement, press release or other publicity material without, express, prior written consent of the other party (such not to be [***] where such announcement or release occurs in connection with publicity of this Agreement).</w:t>
      </w:r>
    </w:p>
    <w:p>
      <w:pPr>
        <w:spacing w:after="0" w:line="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10.4 No endorsement</w:t>
      </w:r>
    </w:p>
    <w:p>
      <w:pPr>
        <w:spacing w:after="0" w:line="121" w:lineRule="exact"/>
        <w:rPr>
          <w:sz w:val="20"/>
          <w:szCs w:val="20"/>
          <w:color w:val="auto"/>
        </w:rPr>
      </w:pPr>
    </w:p>
    <w:p>
      <w:pPr>
        <w:ind w:left="444" w:right="200"/>
        <w:spacing w:after="0" w:line="282" w:lineRule="auto"/>
        <w:rPr>
          <w:sz w:val="20"/>
          <w:szCs w:val="20"/>
          <w:color w:val="auto"/>
        </w:rPr>
      </w:pPr>
      <w:r>
        <w:rPr>
          <w:rFonts w:ascii="Times New Roman" w:cs="Times New Roman" w:eastAsia="Times New Roman" w:hAnsi="Times New Roman"/>
          <w:sz w:val="18"/>
          <w:szCs w:val="18"/>
          <w:color w:val="auto"/>
        </w:rPr>
        <w:t>Neither Party may represent that another Party or any associated entity endorses its business or the Research Project, Licensed Patents, Licensed Information, Project IP or future improvements.</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22</w:t>
      </w:r>
    </w:p>
    <w:p>
      <w:pPr>
        <w:sectPr>
          <w:pgSz w:w="11900" w:h="16838" w:orient="portrait"/>
          <w:cols w:equalWidth="0" w:num="1">
            <w:col w:w="11024"/>
          </w:cols>
          <w:pgMar w:left="436" w:top="266" w:right="439" w:bottom="1440" w:gutter="0" w:footer="0" w:header="0"/>
        </w:sectPr>
      </w:pPr>
    </w:p>
    <w:bookmarkStart w:id="359" w:name="page360"/>
    <w:bookmarkEnd w:id="35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10.5 Patent Listings</w:t>
      </w:r>
    </w:p>
    <w:p>
      <w:pPr>
        <w:spacing w:after="0" w:line="121" w:lineRule="exact"/>
        <w:rPr>
          <w:sz w:val="20"/>
          <w:szCs w:val="20"/>
          <w:color w:val="auto"/>
        </w:rPr>
      </w:pPr>
    </w:p>
    <w:p>
      <w:pPr>
        <w:ind w:left="444" w:right="60"/>
        <w:spacing w:after="0" w:line="277" w:lineRule="auto"/>
        <w:rPr>
          <w:sz w:val="20"/>
          <w:szCs w:val="20"/>
          <w:color w:val="auto"/>
        </w:rPr>
      </w:pPr>
      <w:r>
        <w:rPr>
          <w:rFonts w:ascii="Times New Roman" w:cs="Times New Roman" w:eastAsia="Times New Roman" w:hAnsi="Times New Roman"/>
          <w:sz w:val="17"/>
          <w:szCs w:val="17"/>
          <w:color w:val="auto"/>
        </w:rPr>
        <w:t>Notwithstanding anything to the contrary set forth in this Agreement, Licensee shall have [***] to make all filings with regulatory authorities in the territory with respect to the Products and Licensed Patents covering Products, including as required or allowed (a) in the United States, in the FDA’s ‘</w:t>
      </w:r>
      <w:r>
        <w:rPr>
          <w:rFonts w:ascii="Times New Roman" w:cs="Times New Roman" w:eastAsia="Times New Roman" w:hAnsi="Times New Roman"/>
          <w:sz w:val="17"/>
          <w:szCs w:val="17"/>
          <w:i w:val="1"/>
          <w:iCs w:val="1"/>
          <w:color w:val="auto"/>
        </w:rPr>
        <w:t>Approved Drug Products with Therapeutic Equivalence Evaluations</w:t>
      </w:r>
      <w:r>
        <w:rPr>
          <w:rFonts w:ascii="Times New Roman" w:cs="Times New Roman" w:eastAsia="Times New Roman" w:hAnsi="Times New Roman"/>
          <w:sz w:val="17"/>
          <w:szCs w:val="17"/>
          <w:color w:val="auto"/>
        </w:rPr>
        <w:t>’ (or the so-called ‘Orange Book’) and (b) in the European Union, under the national implementations of Article 10.1(a)(iii) of Directive 2001/EC/83 or other international equivalents. Monash shall cooperate with Licensee’s reasonable requests in connection with the foregoing, including executing any documents reasonably requested by Licensee [***].</w:t>
      </w:r>
    </w:p>
    <w:p>
      <w:pPr>
        <w:spacing w:after="0" w:line="312" w:lineRule="exact"/>
        <w:rPr>
          <w:sz w:val="20"/>
          <w:szCs w:val="20"/>
          <w:color w:val="auto"/>
        </w:rPr>
      </w:pPr>
    </w:p>
    <w:p>
      <w:pPr>
        <w:ind w:left="4" w:right="8640" w:hanging="4"/>
        <w:spacing w:after="0" w:line="385" w:lineRule="auto"/>
        <w:tabs>
          <w:tab w:leader="none" w:pos="436"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Indemnity and Insurance 11.1 Indemnity</w:t>
      </w:r>
    </w:p>
    <w:p>
      <w:pPr>
        <w:spacing w:after="0" w:line="1" w:lineRule="exact"/>
        <w:rPr>
          <w:sz w:val="20"/>
          <w:szCs w:val="20"/>
          <w:color w:val="auto"/>
        </w:rPr>
      </w:pPr>
    </w:p>
    <w:p>
      <w:pPr>
        <w:ind w:left="444" w:right="520"/>
        <w:spacing w:after="0" w:line="282" w:lineRule="auto"/>
        <w:rPr>
          <w:sz w:val="20"/>
          <w:szCs w:val="20"/>
          <w:color w:val="auto"/>
        </w:rPr>
      </w:pPr>
      <w:r>
        <w:rPr>
          <w:rFonts w:ascii="Times New Roman" w:cs="Times New Roman" w:eastAsia="Times New Roman" w:hAnsi="Times New Roman"/>
          <w:sz w:val="18"/>
          <w:szCs w:val="18"/>
          <w:color w:val="auto"/>
        </w:rPr>
        <w:t xml:space="preserve">Licensee indemnifies and agrees to keep fully indemnified on demand each of Monash, and its respective directors, officers, employees and students (collectively, the </w:t>
      </w:r>
      <w:r>
        <w:rPr>
          <w:rFonts w:ascii="Times New Roman" w:cs="Times New Roman" w:eastAsia="Times New Roman" w:hAnsi="Times New Roman"/>
          <w:sz w:val="18"/>
          <w:szCs w:val="18"/>
          <w:b w:val="1"/>
          <w:bCs w:val="1"/>
          <w:color w:val="auto"/>
        </w:rPr>
        <w:t>Indemnified</w:t>
      </w:r>
      <w:r>
        <w:rPr>
          <w:rFonts w:ascii="Times New Roman" w:cs="Times New Roman" w:eastAsia="Times New Roman" w:hAnsi="Times New Roman"/>
          <w:sz w:val="18"/>
          <w:szCs w:val="18"/>
          <w:color w:val="auto"/>
        </w:rPr>
        <w:t>) against:</w:t>
      </w:r>
    </w:p>
    <w:p>
      <w:pPr>
        <w:spacing w:after="0" w:line="67" w:lineRule="exact"/>
        <w:rPr>
          <w:sz w:val="20"/>
          <w:szCs w:val="20"/>
          <w:color w:val="auto"/>
        </w:rPr>
      </w:pPr>
    </w:p>
    <w:p>
      <w:pPr>
        <w:ind w:left="964" w:right="360" w:hanging="532"/>
        <w:spacing w:after="0" w:line="282" w:lineRule="auto"/>
        <w:tabs>
          <w:tab w:leader="none" w:pos="964"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which may be brought against the indemnified or any of them and whether at common law, in equity or pursuant to statute or otherwise to the extent arising out of:</w:t>
      </w:r>
    </w:p>
    <w:p>
      <w:pPr>
        <w:spacing w:after="0" w:line="6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Commercialisation or use of the Licensed Patents by Licensee,</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manufacture, marketing, sale, distribution or use of Products by Licensee; and</w:t>
      </w:r>
    </w:p>
    <w:p>
      <w:pPr>
        <w:spacing w:after="0" w:line="130" w:lineRule="exact"/>
        <w:rPr>
          <w:rFonts w:ascii="Times New Roman" w:cs="Times New Roman" w:eastAsia="Times New Roman" w:hAnsi="Times New Roman"/>
          <w:sz w:val="18"/>
          <w:szCs w:val="18"/>
          <w:color w:val="auto"/>
        </w:rPr>
      </w:pPr>
    </w:p>
    <w:p>
      <w:pPr>
        <w:ind w:left="1424" w:right="280" w:hanging="439"/>
        <w:spacing w:after="0" w:line="282" w:lineRule="auto"/>
        <w:tabs>
          <w:tab w:leader="none" w:pos="1424"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unlawful act or omission by Licensee (including, without limitation, any negligence or breach of contract or duty or failure to comply with any laws);</w:t>
      </w:r>
    </w:p>
    <w:p>
      <w:pPr>
        <w:spacing w:after="0" w:line="5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(collectively called “</w:t>
      </w:r>
      <w:r>
        <w:rPr>
          <w:rFonts w:ascii="Times New Roman" w:cs="Times New Roman" w:eastAsia="Times New Roman" w:hAnsi="Times New Roman"/>
          <w:sz w:val="18"/>
          <w:szCs w:val="18"/>
          <w:b w:val="1"/>
          <w:bCs w:val="1"/>
          <w:color w:val="auto"/>
        </w:rPr>
        <w:t>Licensee’s Obligations</w:t>
      </w:r>
      <w:r>
        <w:rPr>
          <w:rFonts w:ascii="Times New Roman" w:cs="Times New Roman" w:eastAsia="Times New Roman" w:hAnsi="Times New Roman"/>
          <w:sz w:val="18"/>
          <w:szCs w:val="18"/>
          <w:color w:val="auto"/>
        </w:rPr>
        <w:t>”); and</w:t>
      </w:r>
    </w:p>
    <w:p>
      <w:pPr>
        <w:spacing w:after="0" w:line="135" w:lineRule="exact"/>
        <w:rPr>
          <w:sz w:val="20"/>
          <w:szCs w:val="20"/>
          <w:color w:val="auto"/>
        </w:rPr>
      </w:pPr>
    </w:p>
    <w:p>
      <w:pPr>
        <w:ind w:left="444" w:right="7020" w:hanging="12"/>
        <w:spacing w:after="0" w:line="383" w:lineRule="auto"/>
        <w:tabs>
          <w:tab w:leader="none" w:pos="97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this agreement by Licensee, excluding:</w:t>
      </w:r>
    </w:p>
    <w:p>
      <w:pPr>
        <w:ind w:left="964" w:right="300" w:hanging="532"/>
        <w:spacing w:after="0" w:line="282" w:lineRule="auto"/>
        <w:tabs>
          <w:tab w:leader="none" w:pos="964"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costs, damages, expenses, claims, liabilities and losses to the extent arising as a result of any breach of this agreement, or any gross negligence or wilful act or omission by the Indemnified; and</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indirect or consequential loss or damage or loss of profits.</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23</w:t>
      </w:r>
    </w:p>
    <w:p>
      <w:pPr>
        <w:sectPr>
          <w:pgSz w:w="11900" w:h="16838" w:orient="portrait"/>
          <w:cols w:equalWidth="0" w:num="1">
            <w:col w:w="11024"/>
          </w:cols>
          <w:pgMar w:left="436" w:top="266" w:right="439" w:bottom="1440" w:gutter="0" w:footer="0" w:header="0"/>
        </w:sectPr>
      </w:pPr>
    </w:p>
    <w:bookmarkStart w:id="360" w:name="page361"/>
    <w:bookmarkEnd w:id="36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11.2  Release</w:t>
      </w:r>
    </w:p>
    <w:p>
      <w:pPr>
        <w:spacing w:after="0" w:line="121" w:lineRule="exact"/>
        <w:rPr>
          <w:sz w:val="20"/>
          <w:szCs w:val="20"/>
          <w:color w:val="auto"/>
        </w:rPr>
      </w:pPr>
    </w:p>
    <w:p>
      <w:pPr>
        <w:ind w:left="444" w:right="460"/>
        <w:spacing w:after="0" w:line="282" w:lineRule="auto"/>
        <w:rPr>
          <w:sz w:val="20"/>
          <w:szCs w:val="20"/>
          <w:color w:val="auto"/>
        </w:rPr>
      </w:pPr>
      <w:r>
        <w:rPr>
          <w:rFonts w:ascii="Times New Roman" w:cs="Times New Roman" w:eastAsia="Times New Roman" w:hAnsi="Times New Roman"/>
          <w:sz w:val="18"/>
          <w:szCs w:val="18"/>
          <w:color w:val="auto"/>
        </w:rPr>
        <w:t>Licensee hereby fully releases each indemnified from and against all Loss directly or indirectly relating to Licensee’s Obligations, except for claims described in Clause 10.1(c) of this Agreement.</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11.3  Continuing Indemnity</w:t>
      </w:r>
    </w:p>
    <w:p>
      <w:pPr>
        <w:spacing w:after="0" w:line="121" w:lineRule="exact"/>
        <w:rPr>
          <w:sz w:val="20"/>
          <w:szCs w:val="20"/>
          <w:color w:val="auto"/>
        </w:rPr>
      </w:pPr>
    </w:p>
    <w:p>
      <w:pPr>
        <w:ind w:left="444" w:right="520"/>
        <w:spacing w:after="0" w:line="282" w:lineRule="auto"/>
        <w:rPr>
          <w:sz w:val="20"/>
          <w:szCs w:val="20"/>
          <w:color w:val="auto"/>
        </w:rPr>
      </w:pPr>
      <w:r>
        <w:rPr>
          <w:rFonts w:ascii="Times New Roman" w:cs="Times New Roman" w:eastAsia="Times New Roman" w:hAnsi="Times New Roman"/>
          <w:sz w:val="18"/>
          <w:szCs w:val="18"/>
          <w:color w:val="auto"/>
        </w:rPr>
        <w:t>The indemnity in Clause 11.1 is a continuing obligation despite any settlement of account or any other thing and survives termination of the Licence and the expiry or termination of this Agreement.</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11.4  Insurance</w:t>
      </w:r>
    </w:p>
    <w:p>
      <w:pPr>
        <w:spacing w:after="0" w:line="121" w:lineRule="exact"/>
        <w:rPr>
          <w:sz w:val="20"/>
          <w:szCs w:val="20"/>
          <w:color w:val="auto"/>
        </w:rPr>
      </w:pPr>
    </w:p>
    <w:p>
      <w:pPr>
        <w:ind w:left="444" w:right="160"/>
        <w:spacing w:after="0" w:line="261" w:lineRule="auto"/>
        <w:rPr>
          <w:sz w:val="20"/>
          <w:szCs w:val="20"/>
          <w:color w:val="auto"/>
        </w:rPr>
      </w:pPr>
      <w:r>
        <w:rPr>
          <w:rFonts w:ascii="Times New Roman" w:cs="Times New Roman" w:eastAsia="Times New Roman" w:hAnsi="Times New Roman"/>
          <w:sz w:val="18"/>
          <w:szCs w:val="18"/>
          <w:color w:val="auto"/>
        </w:rPr>
        <w:t>Licensee must, at its [***] and before it commences human clinical development of Products, effect and maintain thereafter during the Term and for a period of no less than[***] thereafter in respect of all Products, [***] insurance against public liability and product liability and all other risks usually insured in accordance with industry custom and practice. Licensee must, on reasonable request by Monash, provide to Monash a copy of any insurance policy and the certificate of currency in respect of each such policy.</w:t>
      </w:r>
    </w:p>
    <w:p>
      <w:pPr>
        <w:spacing w:after="0" w:line="324" w:lineRule="exact"/>
        <w:rPr>
          <w:sz w:val="20"/>
          <w:szCs w:val="20"/>
          <w:color w:val="auto"/>
        </w:rPr>
      </w:pPr>
    </w:p>
    <w:p>
      <w:pPr>
        <w:ind w:left="424" w:hanging="424"/>
        <w:spacing w:after="0"/>
        <w:tabs>
          <w:tab w:leader="none" w:pos="424"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12.1 Termination for Due Cause or Otherwise</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Without limiting any other rights it may have, a Party may terminate this agreement by written notice to the other if the other Party:</w:t>
      </w:r>
    </w:p>
    <w:p>
      <w:pPr>
        <w:spacing w:after="0" w:line="131" w:lineRule="exact"/>
        <w:rPr>
          <w:sz w:val="20"/>
          <w:szCs w:val="20"/>
          <w:color w:val="auto"/>
        </w:rPr>
      </w:pPr>
    </w:p>
    <w:p>
      <w:pPr>
        <w:ind w:left="964" w:right="400" w:hanging="532"/>
        <w:spacing w:after="0" w:line="282" w:lineRule="auto"/>
        <w:tabs>
          <w:tab w:leader="none" w:pos="964"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pay when due any sum payable under this Agreement and such default continues for a period of [***] after receipt of a written notice requiring payment;</w:t>
      </w:r>
    </w:p>
    <w:p>
      <w:pPr>
        <w:spacing w:after="0" w:line="67" w:lineRule="exact"/>
        <w:rPr>
          <w:rFonts w:ascii="Times New Roman" w:cs="Times New Roman" w:eastAsia="Times New Roman" w:hAnsi="Times New Roman"/>
          <w:sz w:val="18"/>
          <w:szCs w:val="18"/>
          <w:color w:val="auto"/>
        </w:rPr>
      </w:pPr>
    </w:p>
    <w:p>
      <w:pPr>
        <w:ind w:left="964" w:right="420" w:hanging="532"/>
        <w:spacing w:after="0" w:line="282" w:lineRule="auto"/>
        <w:tabs>
          <w:tab w:leader="none" w:pos="964"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material breach of any of its other obligations under this Agreement and, if that breach is capable of remedy, does not rectify that breach within [***] after receipt of a notice to remedy that breach or such other period of time agreed to by the parties;</w:t>
      </w:r>
    </w:p>
    <w:p>
      <w:pPr>
        <w:spacing w:after="0" w:line="67" w:lineRule="exact"/>
        <w:rPr>
          <w:rFonts w:ascii="Times New Roman" w:cs="Times New Roman" w:eastAsia="Times New Roman" w:hAnsi="Times New Roman"/>
          <w:sz w:val="18"/>
          <w:szCs w:val="18"/>
          <w:color w:val="auto"/>
        </w:rPr>
      </w:pPr>
    </w:p>
    <w:p>
      <w:pPr>
        <w:ind w:left="964" w:right="120" w:hanging="532"/>
        <w:spacing w:after="0" w:line="282" w:lineRule="auto"/>
        <w:tabs>
          <w:tab w:leader="none" w:pos="964"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unable to pay its debts as they fall due, or makes a general assignment, scheme of arrangement or composition with or for the benefit of its creditors;</w:t>
      </w:r>
    </w:p>
    <w:p>
      <w:pPr>
        <w:spacing w:after="0" w:line="67" w:lineRule="exact"/>
        <w:rPr>
          <w:rFonts w:ascii="Times New Roman" w:cs="Times New Roman" w:eastAsia="Times New Roman" w:hAnsi="Times New Roman"/>
          <w:sz w:val="18"/>
          <w:szCs w:val="18"/>
          <w:color w:val="auto"/>
        </w:rPr>
      </w:pPr>
    </w:p>
    <w:p>
      <w:pPr>
        <w:ind w:left="964" w:right="740" w:hanging="532"/>
        <w:spacing w:after="0" w:line="282" w:lineRule="auto"/>
        <w:tabs>
          <w:tab w:leader="none" w:pos="964"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ceases to carry on business or disposes of the whole or a material part of its business other than as permitted under Clause 16.2 to reconstruct or amalgamate while solvent on terms acceptable by the other party (which acceptance will not be [***]);</w:t>
      </w:r>
    </w:p>
    <w:p>
      <w:pPr>
        <w:spacing w:after="0" w:line="67" w:lineRule="exact"/>
        <w:rPr>
          <w:rFonts w:ascii="Times New Roman" w:cs="Times New Roman" w:eastAsia="Times New Roman" w:hAnsi="Times New Roman"/>
          <w:sz w:val="18"/>
          <w:szCs w:val="18"/>
          <w:color w:val="auto"/>
        </w:rPr>
      </w:pPr>
    </w:p>
    <w:p>
      <w:pPr>
        <w:ind w:left="964" w:right="140" w:hanging="532"/>
        <w:spacing w:after="0" w:line="282" w:lineRule="auto"/>
        <w:tabs>
          <w:tab w:leader="none" w:pos="964"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takes any corporate action or any steps are taken or legal proceedings (provided that in circumstances in which such legal proceedings are involuntary, a party shall have [***] to obtain a dismissal of such a proceeding) are stated for:</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24</w:t>
      </w:r>
    </w:p>
    <w:p>
      <w:pPr>
        <w:sectPr>
          <w:pgSz w:w="11900" w:h="16838" w:orient="portrait"/>
          <w:cols w:equalWidth="0" w:num="1">
            <w:col w:w="11024"/>
          </w:cols>
          <w:pgMar w:left="436" w:top="266" w:right="439" w:bottom="1440" w:gutter="0" w:footer="0" w:header="0"/>
        </w:sectPr>
      </w:pPr>
    </w:p>
    <w:bookmarkStart w:id="361" w:name="page362"/>
    <w:bookmarkEnd w:id="361"/>
    <w:p>
      <w:pPr>
        <w:ind w:left="960" w:right="440" w:hanging="532"/>
        <w:spacing w:after="0" w:line="282" w:lineRule="auto"/>
        <w:tabs>
          <w:tab w:leader="none" w:pos="9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its winding-up, dissolution, liquidation, or re-organisation, other than as permitted by Clause 16.2 to reconstruct or amalgamate while solvent on terms approved by the other party (which approval will not be [***]); or</w:t>
      </w:r>
    </w:p>
    <w:p>
      <w:pPr>
        <w:spacing w:after="0" w:line="67" w:lineRule="exact"/>
        <w:rPr>
          <w:rFonts w:ascii="Times New Roman" w:cs="Times New Roman" w:eastAsia="Times New Roman" w:hAnsi="Times New Roman"/>
          <w:sz w:val="18"/>
          <w:szCs w:val="18"/>
          <w:color w:val="auto"/>
        </w:rPr>
      </w:pPr>
    </w:p>
    <w:p>
      <w:pPr>
        <w:ind w:left="960" w:right="80" w:hanging="532"/>
        <w:spacing w:after="0" w:line="282" w:lineRule="auto"/>
        <w:tabs>
          <w:tab w:leader="none" w:pos="9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controller, receiver, administrator, official manager, trustee or similar officer of it or of any of its revenues and assets; or</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seeks protection or is granted protection from its creditors, under any applicable legislation;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12.2 Discontinuing the Activities</w:t>
      </w:r>
    </w:p>
    <w:p>
      <w:pPr>
        <w:spacing w:after="0" w:line="135" w:lineRule="exact"/>
        <w:rPr>
          <w:sz w:val="20"/>
          <w:szCs w:val="20"/>
          <w:color w:val="auto"/>
        </w:rPr>
      </w:pPr>
    </w:p>
    <w:p>
      <w:pPr>
        <w:ind w:left="960" w:right="220" w:hanging="532"/>
        <w:spacing w:after="0" w:line="282" w:lineRule="auto"/>
        <w:tabs>
          <w:tab w:leader="none" w:pos="9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Licensee, [***], determines that the Activities are no longer commercially viable, it may give Monash [***] notice to this effect.</w:t>
      </w:r>
    </w:p>
    <w:p>
      <w:pPr>
        <w:spacing w:after="0" w:line="67"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this notice being given, the Parties will meet and negotiate [***] the future Commercialisation and respective rights of each party. In the event that the Parties are unable to reach a continuing agreement within that [***] period, either party may [***]terminate this Agreement upon written notice to that effect to the other party.</w:t>
      </w:r>
    </w:p>
    <w:p>
      <w:pPr>
        <w:spacing w:after="0" w:line="81" w:lineRule="exact"/>
        <w:rPr>
          <w:rFonts w:ascii="Times New Roman" w:cs="Times New Roman" w:eastAsia="Times New Roman" w:hAnsi="Times New Roman"/>
          <w:sz w:val="18"/>
          <w:szCs w:val="18"/>
          <w:color w:val="auto"/>
        </w:rPr>
      </w:pPr>
    </w:p>
    <w:p>
      <w:pPr>
        <w:ind w:left="960" w:right="300" w:hanging="532"/>
        <w:spacing w:after="0" w:line="266" w:lineRule="auto"/>
        <w:tabs>
          <w:tab w:leader="none" w:pos="9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Agreement is terminated under this Clause 12.2, the licences granted under Clause 5.1 shall be deemed to terminate as at the date of termination of this Agreement, and any further licence fee payment which would otherwise have been payable but for the termination will no longer be payable.</w:t>
      </w:r>
    </w:p>
    <w:p>
      <w:pPr>
        <w:spacing w:after="0" w:line="81" w:lineRule="exact"/>
        <w:rPr>
          <w:rFonts w:ascii="Times New Roman" w:cs="Times New Roman" w:eastAsia="Times New Roman" w:hAnsi="Times New Roman"/>
          <w:sz w:val="18"/>
          <w:szCs w:val="18"/>
          <w:color w:val="auto"/>
        </w:rPr>
      </w:pPr>
    </w:p>
    <w:p>
      <w:pPr>
        <w:ind w:left="960" w:right="460" w:hanging="532"/>
        <w:spacing w:after="0" w:line="266" w:lineRule="auto"/>
        <w:tabs>
          <w:tab w:leader="none" w:pos="9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Agreement is terminated under this Clause 12.2, a final royalty report will be promptly prepared and sent to Monash. That report will include details of Net Income and Net Sales as at the date of termination including a calculation of any payments due to Monash. Licensee will remit any payment to Monash within [***] of sending that report.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12.3 Consequences of Termination</w:t>
      </w:r>
    </w:p>
    <w:p>
      <w:pPr>
        <w:spacing w:after="0" w:line="121" w:lineRule="exact"/>
        <w:rPr>
          <w:sz w:val="20"/>
          <w:szCs w:val="20"/>
          <w:color w:val="auto"/>
        </w:rPr>
      </w:pPr>
    </w:p>
    <w:p>
      <w:pPr>
        <w:ind w:left="440" w:right="60"/>
        <w:spacing w:after="0" w:line="266" w:lineRule="auto"/>
        <w:rPr>
          <w:sz w:val="20"/>
          <w:szCs w:val="20"/>
          <w:color w:val="auto"/>
        </w:rPr>
      </w:pPr>
      <w:r>
        <w:rPr>
          <w:rFonts w:ascii="Times New Roman" w:cs="Times New Roman" w:eastAsia="Times New Roman" w:hAnsi="Times New Roman"/>
          <w:sz w:val="18"/>
          <w:szCs w:val="18"/>
          <w:color w:val="auto"/>
        </w:rPr>
        <w:t>Subject to this Clause, upon termination of this Agreement, all further rights and obligations under this Agreement are at an end (except those that are expressly or by implication intended to survive termination). Clauses 5.5, 9, 10, and 11 shall survive the termination or expiration of this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12.4 Rights prior to Termination</w:t>
      </w:r>
    </w:p>
    <w:p>
      <w:pPr>
        <w:spacing w:after="0" w:line="121" w:lineRule="exact"/>
        <w:rPr>
          <w:sz w:val="20"/>
          <w:szCs w:val="20"/>
          <w:color w:val="auto"/>
        </w:rPr>
      </w:pPr>
    </w:p>
    <w:p>
      <w:pPr>
        <w:ind w:left="440" w:right="260"/>
        <w:spacing w:after="0" w:line="282" w:lineRule="auto"/>
        <w:rPr>
          <w:sz w:val="20"/>
          <w:szCs w:val="20"/>
          <w:color w:val="auto"/>
        </w:rPr>
      </w:pPr>
      <w:r>
        <w:rPr>
          <w:rFonts w:ascii="Times New Roman" w:cs="Times New Roman" w:eastAsia="Times New Roman" w:hAnsi="Times New Roman"/>
          <w:sz w:val="18"/>
          <w:szCs w:val="18"/>
          <w:color w:val="auto"/>
        </w:rPr>
        <w:t>Any termination of this Agreement will not affect the enforceability of any other obligations of a Party or rights against a Party accrued prior to termination.</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25</w:t>
      </w:r>
    </w:p>
    <w:p>
      <w:pPr>
        <w:sectPr>
          <w:pgSz w:w="11900" w:h="16838" w:orient="portrait"/>
          <w:cols w:equalWidth="0" w:num="1">
            <w:col w:w="11020"/>
          </w:cols>
          <w:pgMar w:left="440" w:top="270" w:right="439" w:bottom="1440" w:gutter="0" w:footer="0" w:header="0"/>
        </w:sectPr>
      </w:pPr>
    </w:p>
    <w:bookmarkStart w:id="362" w:name="page363"/>
    <w:bookmarkEnd w:id="362"/>
    <w:p>
      <w:pPr>
        <w:ind w:left="424" w:hanging="424"/>
        <w:spacing w:after="0"/>
        <w:tabs>
          <w:tab w:leader="none" w:pos="424" w:val="left"/>
        </w:tabs>
        <w:numPr>
          <w:ilvl w:val="0"/>
          <w:numId w:val="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Force Majeure</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13.1 Effect of Force Majeure</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Where a Party is unable, wholly or in part, by reason of Force Majeure, to carry out any obligation under this Agreement, and that party:</w:t>
      </w:r>
    </w:p>
    <w:p>
      <w:pPr>
        <w:spacing w:after="0" w:line="131" w:lineRule="exact"/>
        <w:rPr>
          <w:sz w:val="20"/>
          <w:szCs w:val="20"/>
          <w:color w:val="auto"/>
        </w:rPr>
      </w:pPr>
    </w:p>
    <w:p>
      <w:pPr>
        <w:ind w:left="964" w:right="60" w:hanging="532"/>
        <w:spacing w:after="0" w:line="282" w:lineRule="auto"/>
        <w:tabs>
          <w:tab w:leader="none" w:pos="96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the other Party prompt notice of that Force Majeure including reasonable particulars and anticipated extent to which it will be unable to perform or be delayed in performing that obligation; and</w:t>
      </w:r>
    </w:p>
    <w:p>
      <w:pPr>
        <w:spacing w:after="0" w:line="67" w:lineRule="exact"/>
        <w:rPr>
          <w:rFonts w:ascii="Times New Roman" w:cs="Times New Roman" w:eastAsia="Times New Roman" w:hAnsi="Times New Roman"/>
          <w:sz w:val="18"/>
          <w:szCs w:val="18"/>
          <w:color w:val="auto"/>
        </w:rPr>
      </w:pPr>
    </w:p>
    <w:p>
      <w:pPr>
        <w:ind w:left="964" w:right="80" w:hanging="532"/>
        <w:spacing w:after="0" w:line="261" w:lineRule="auto"/>
        <w:tabs>
          <w:tab w:leader="none" w:pos="96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what it reasonably can to remove that Force Majeure as quickly as reasonably possible (this does not require the settlement of strikes, lockouts or other labour disputes or claims or demands by any government on terms contrary to the wishes of the Party affected), that obligation is suspended so far as it is affected by Force Majeure during the continuance of that Force Majeure and that party shall be allowed a [***] extension of time to perform its obligations.</w:t>
      </w: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13.2 Remedial action</w:t>
      </w:r>
    </w:p>
    <w:p>
      <w:pPr>
        <w:spacing w:after="0" w:line="121" w:lineRule="exact"/>
        <w:rPr>
          <w:sz w:val="20"/>
          <w:szCs w:val="20"/>
          <w:color w:val="auto"/>
        </w:rPr>
      </w:pPr>
    </w:p>
    <w:p>
      <w:pPr>
        <w:ind w:left="444" w:right="700"/>
        <w:spacing w:after="0" w:line="282" w:lineRule="auto"/>
        <w:rPr>
          <w:sz w:val="20"/>
          <w:szCs w:val="20"/>
          <w:color w:val="auto"/>
        </w:rPr>
      </w:pPr>
      <w:r>
        <w:rPr>
          <w:rFonts w:ascii="Times New Roman" w:cs="Times New Roman" w:eastAsia="Times New Roman" w:hAnsi="Times New Roman"/>
          <w:sz w:val="18"/>
          <w:szCs w:val="18"/>
          <w:color w:val="auto"/>
        </w:rPr>
        <w:t>If, after [***], the Force Majeure has not ceased, the Parties shall meet [***] to discuss the situation and endeavour to achieve a mutually satisfactory resolution to the problem.</w:t>
      </w:r>
    </w:p>
    <w:p>
      <w:pPr>
        <w:spacing w:after="0" w:line="306" w:lineRule="exact"/>
        <w:rPr>
          <w:sz w:val="20"/>
          <w:szCs w:val="20"/>
          <w:color w:val="auto"/>
        </w:rPr>
      </w:pPr>
    </w:p>
    <w:p>
      <w:pPr>
        <w:ind w:left="4" w:right="9140" w:hanging="4"/>
        <w:spacing w:after="0" w:line="408" w:lineRule="auto"/>
        <w:tabs>
          <w:tab w:leader="none" w:pos="436" w:val="left"/>
        </w:tabs>
        <w:numPr>
          <w:ilvl w:val="0"/>
          <w:numId w:val="2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Dispute Resolution 14.1 [***] negotiation</w:t>
      </w:r>
    </w:p>
    <w:p>
      <w:pPr>
        <w:spacing w:after="0" w:line="1" w:lineRule="exact"/>
        <w:rPr>
          <w:sz w:val="20"/>
          <w:szCs w:val="20"/>
          <w:color w:val="auto"/>
        </w:rPr>
      </w:pPr>
    </w:p>
    <w:p>
      <w:pPr>
        <w:ind w:left="444" w:right="720"/>
        <w:spacing w:after="0" w:line="282" w:lineRule="auto"/>
        <w:rPr>
          <w:sz w:val="20"/>
          <w:szCs w:val="20"/>
          <w:color w:val="auto"/>
        </w:rPr>
      </w:pPr>
      <w:r>
        <w:rPr>
          <w:rFonts w:ascii="Times New Roman" w:cs="Times New Roman" w:eastAsia="Times New Roman" w:hAnsi="Times New Roman"/>
          <w:sz w:val="18"/>
          <w:szCs w:val="18"/>
          <w:color w:val="auto"/>
        </w:rPr>
        <w:t>The Parties shall without delay and in [***] attempt to resolve any dispute or difference which may arise between them in relation to this Agreement.</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14.2 Disputes generally</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Any dispute or difference relating to a matter shall be resolved in accordance with the following procedure:</w:t>
      </w:r>
    </w:p>
    <w:p>
      <w:pPr>
        <w:spacing w:after="0" w:line="131" w:lineRule="exact"/>
        <w:rPr>
          <w:sz w:val="20"/>
          <w:szCs w:val="20"/>
          <w:color w:val="auto"/>
        </w:rPr>
      </w:pPr>
    </w:p>
    <w:p>
      <w:pPr>
        <w:ind w:left="964" w:right="420" w:hanging="532"/>
        <w:spacing w:after="0" w:line="282" w:lineRule="auto"/>
        <w:tabs>
          <w:tab w:leader="none" w:pos="96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claiming that a dispute exists shall notify the other party in writing that a dispute exists and forthwith submit such dispute or difference to the senior representatives of each Party for resolution;</w:t>
      </w:r>
    </w:p>
    <w:p>
      <w:pPr>
        <w:spacing w:after="0" w:line="67" w:lineRule="exact"/>
        <w:rPr>
          <w:rFonts w:ascii="Times New Roman" w:cs="Times New Roman" w:eastAsia="Times New Roman" w:hAnsi="Times New Roman"/>
          <w:sz w:val="18"/>
          <w:szCs w:val="18"/>
          <w:color w:val="auto"/>
        </w:rPr>
      </w:pPr>
    </w:p>
    <w:p>
      <w:pPr>
        <w:ind w:left="964" w:right="80" w:hanging="532"/>
        <w:spacing w:after="0" w:line="282" w:lineRule="auto"/>
        <w:tabs>
          <w:tab w:leader="none" w:pos="96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senior representatives are unable to resolve the dispute or difference within a reasonable time, a meeting shall be convened forthwith between an Officer of Licensee and a senior representative of Monash for resolution of the dispute or difference; and</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26</w:t>
      </w:r>
    </w:p>
    <w:p>
      <w:pPr>
        <w:sectPr>
          <w:pgSz w:w="11900" w:h="16838" w:orient="portrait"/>
          <w:cols w:equalWidth="0" w:num="1">
            <w:col w:w="11024"/>
          </w:cols>
          <w:pgMar w:left="436" w:top="266" w:right="439" w:bottom="1440" w:gutter="0" w:footer="0" w:header="0"/>
        </w:sectPr>
      </w:pPr>
    </w:p>
    <w:bookmarkStart w:id="363" w:name="page364"/>
    <w:bookmarkEnd w:id="363"/>
    <w:p>
      <w:pPr>
        <w:ind w:left="964" w:right="140" w:hanging="532"/>
        <w:spacing w:after="0" w:line="282" w:lineRule="auto"/>
        <w:tabs>
          <w:tab w:leader="none" w:pos="96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dispute or difference is not resolved by the persons referred to in Clause 14.2(b) above, within such time as they agree but not being more than [***], Clause 14.3 (mediation) shall apply.</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14.3 Mediation</w:t>
      </w:r>
    </w:p>
    <w:p>
      <w:pPr>
        <w:spacing w:after="0" w:line="121" w:lineRule="exact"/>
        <w:rPr>
          <w:sz w:val="20"/>
          <w:szCs w:val="20"/>
          <w:color w:val="auto"/>
        </w:rPr>
      </w:pPr>
    </w:p>
    <w:p>
      <w:pPr>
        <w:jc w:val="both"/>
        <w:ind w:left="444" w:right="60"/>
        <w:spacing w:after="0" w:line="261" w:lineRule="auto"/>
        <w:rPr>
          <w:sz w:val="20"/>
          <w:szCs w:val="20"/>
          <w:color w:val="auto"/>
        </w:rPr>
      </w:pPr>
      <w:r>
        <w:rPr>
          <w:rFonts w:ascii="Times New Roman" w:cs="Times New Roman" w:eastAsia="Times New Roman" w:hAnsi="Times New Roman"/>
          <w:sz w:val="18"/>
          <w:szCs w:val="18"/>
          <w:color w:val="auto"/>
        </w:rPr>
        <w:t>If any dispute or difference is not resolved by negotiation in accordance with the above procedure, the Parties agree that it shall first be referred to mediation before either of them shall be entitled to commence any proceedings in a court of competent jurisdiction or otherwise in respect of such dispute or difference. However, this (and the procedure referred to under Clause 14.2) shall not preclude a Party from seeking urgent interlocutory relief in a court of competent jurisdiction.</w:t>
      </w:r>
    </w:p>
    <w:p>
      <w:pPr>
        <w:spacing w:after="0" w:line="324" w:lineRule="exact"/>
        <w:rPr>
          <w:sz w:val="20"/>
          <w:szCs w:val="20"/>
          <w:color w:val="auto"/>
        </w:rPr>
      </w:pPr>
    </w:p>
    <w:p>
      <w:pPr>
        <w:jc w:val="right"/>
        <w:ind w:left="4" w:right="10000" w:hanging="4"/>
        <w:spacing w:after="0" w:line="385" w:lineRule="auto"/>
        <w:tabs>
          <w:tab w:leader="none" w:pos="436"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 15.1 Method</w:t>
      </w:r>
    </w:p>
    <w:p>
      <w:pPr>
        <w:spacing w:after="0" w:line="1" w:lineRule="exact"/>
        <w:rPr>
          <w:sz w:val="20"/>
          <w:szCs w:val="20"/>
          <w:color w:val="auto"/>
        </w:rPr>
      </w:pPr>
    </w:p>
    <w:p>
      <w:pPr>
        <w:ind w:left="444" w:right="80"/>
        <w:spacing w:after="0" w:line="261" w:lineRule="auto"/>
        <w:rPr>
          <w:sz w:val="20"/>
          <w:szCs w:val="20"/>
          <w:color w:val="auto"/>
        </w:rPr>
      </w:pPr>
      <w:r>
        <w:rPr>
          <w:rFonts w:ascii="Times New Roman" w:cs="Times New Roman" w:eastAsia="Times New Roman" w:hAnsi="Times New Roman"/>
          <w:sz w:val="18"/>
          <w:szCs w:val="18"/>
          <w:color w:val="auto"/>
        </w:rPr>
        <w:t>A notice, consent or other communication under this Agreement is only effective if it is in writing and either left at the addressee’s address or sent to the addressee by mail or email. If it is sent by mail, it is taken to have been received [***] after it is posted. If it is sent by email, it is taken to have been received at the time indicated on confirmation of transmission. However, if transmission is completed after 5.00pm on a Business Day or is sent on a day that is not a Business Day, the message is taken to have been received at 9.00am on the next Business Day.</w:t>
      </w: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15.2 Address for service</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 Party’s address and email address are those set out below, or as the Party notifies the sender from time to time:</w:t>
      </w:r>
    </w:p>
    <w:p>
      <w:pPr>
        <w:spacing w:after="0" w:line="11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12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Address    101 Seaport Blvd., Floor 12, Boston, MA 02210, USA</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Attention:  [***]</w:t>
      </w:r>
    </w:p>
    <w:p>
      <w:pPr>
        <w:spacing w:after="0" w:line="9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with a copy by email: [***]</w:t>
      </w:r>
    </w:p>
    <w:p>
      <w:pPr>
        <w:spacing w:after="0" w:line="11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Monash</w:t>
      </w:r>
    </w:p>
    <w:p>
      <w:pPr>
        <w:spacing w:after="0" w:line="12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Address: Monash University, Wellington Road, Clayton, VIC 3800 Australia</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Attention: [***], Monash Innovation</w:t>
      </w:r>
    </w:p>
    <w:p>
      <w:pPr>
        <w:spacing w:after="0" w:line="9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with copy by email: [***]</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27</w:t>
      </w:r>
    </w:p>
    <w:p>
      <w:pPr>
        <w:sectPr>
          <w:pgSz w:w="11900" w:h="16838" w:orient="portrait"/>
          <w:cols w:equalWidth="0" w:num="1">
            <w:col w:w="11024"/>
          </w:cols>
          <w:pgMar w:left="436" w:top="270" w:right="439" w:bottom="1440" w:gutter="0" w:footer="0" w:header="0"/>
        </w:sectPr>
      </w:pPr>
    </w:p>
    <w:bookmarkStart w:id="364" w:name="page365"/>
    <w:bookmarkEnd w:id="364"/>
    <w:p>
      <w:pPr>
        <w:ind w:left="424" w:hanging="424"/>
        <w:spacing w:after="0"/>
        <w:tabs>
          <w:tab w:leader="none" w:pos="424" w:val="left"/>
        </w:tabs>
        <w:numPr>
          <w:ilvl w:val="0"/>
          <w:numId w:val="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16.1 Amendment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Agreement may only be varied or replaced by a document duly executed by the Parties.</w:t>
      </w:r>
    </w:p>
    <w:p>
      <w:pPr>
        <w:spacing w:after="0" w:line="1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16.2 Assignment</w:t>
      </w:r>
    </w:p>
    <w:p>
      <w:pPr>
        <w:spacing w:after="0" w:line="121" w:lineRule="exact"/>
        <w:rPr>
          <w:sz w:val="20"/>
          <w:szCs w:val="20"/>
          <w:color w:val="auto"/>
        </w:rPr>
      </w:pPr>
    </w:p>
    <w:p>
      <w:pPr>
        <w:ind w:left="444" w:right="80"/>
        <w:spacing w:after="0" w:line="256" w:lineRule="auto"/>
        <w:rPr>
          <w:sz w:val="20"/>
          <w:szCs w:val="20"/>
          <w:color w:val="auto"/>
        </w:rPr>
      </w:pPr>
      <w:r>
        <w:rPr>
          <w:rFonts w:ascii="Times New Roman" w:cs="Times New Roman" w:eastAsia="Times New Roman" w:hAnsi="Times New Roman"/>
          <w:sz w:val="18"/>
          <w:szCs w:val="18"/>
          <w:color w:val="auto"/>
        </w:rPr>
        <w:t>A Party shall not dispose of or encumber any right under this Agreement without the prior written consent of the other party, provided, however, that either Party may assign this Agreement, without the consent of the other Party, (i) to any of its Affiliates, if the assigning Party guarantees the full performance of its Affiliates’ obligations hereunder, or (ii) in connection with the transfer or sale of all or substantially all of its assets or business or in the event of its merger or consolidation with another company, if the successor party agrees in writing to be bound by this Agreement. Monash may subcontract or collaborate with third parties in respect of any aspect of the research and development under this Agreement or the MTA with the prior written consent of Licensee (such consent not to be [***]).</w:t>
      </w:r>
    </w:p>
    <w:p>
      <w:pPr>
        <w:spacing w:after="0" w:line="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16.3 Governing law</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Agreement is governed by the law in force in Victoria, Australia.</w:t>
      </w:r>
    </w:p>
    <w:p>
      <w:pPr>
        <w:spacing w:after="0" w:line="1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16.4 Costs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Unless otherwise agreed, each party shall bear [***] in relation to the preparation and execution of this Agreement.</w:t>
      </w:r>
    </w:p>
    <w:p>
      <w:pPr>
        <w:spacing w:after="0" w:line="1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16.5 Further assurance</w:t>
      </w:r>
    </w:p>
    <w:p>
      <w:pPr>
        <w:spacing w:after="0" w:line="121" w:lineRule="exact"/>
        <w:rPr>
          <w:sz w:val="20"/>
          <w:szCs w:val="20"/>
          <w:color w:val="auto"/>
        </w:rPr>
      </w:pPr>
    </w:p>
    <w:p>
      <w:pPr>
        <w:ind w:left="444" w:right="20"/>
        <w:spacing w:after="0" w:line="282" w:lineRule="auto"/>
        <w:rPr>
          <w:sz w:val="20"/>
          <w:szCs w:val="20"/>
          <w:color w:val="auto"/>
        </w:rPr>
      </w:pPr>
      <w:r>
        <w:rPr>
          <w:rFonts w:ascii="Times New Roman" w:cs="Times New Roman" w:eastAsia="Times New Roman" w:hAnsi="Times New Roman"/>
          <w:sz w:val="18"/>
          <w:szCs w:val="18"/>
          <w:color w:val="auto"/>
        </w:rPr>
        <w:t>Each party must do anything (including execute any document), and must ensure that its employees and agents do anything (including execute any document), that the other party may reasonably require to give full effect to this Agreement.</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16.6 Waiver of rights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 right may only be waived in writing, signed by the Party giving the waiver, and:</w:t>
      </w:r>
    </w:p>
    <w:p>
      <w:pPr>
        <w:spacing w:after="0" w:line="131" w:lineRule="exact"/>
        <w:rPr>
          <w:sz w:val="20"/>
          <w:szCs w:val="20"/>
          <w:color w:val="auto"/>
        </w:rPr>
      </w:pPr>
    </w:p>
    <w:p>
      <w:pPr>
        <w:ind w:left="964" w:right="180" w:hanging="532"/>
        <w:spacing w:after="0" w:line="282" w:lineRule="auto"/>
        <w:tabs>
          <w:tab w:leader="none" w:pos="96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conduct of a Party (including a failure to exercise, or delay in exercising, the right) operates as a waiver of the right or otherwise prevents the exercise of the right;</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waiver of a right on one or more occasions does not operate as a waiver of that right if it arises again; and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 right does not prevent any further exercise of that right or of any other right.</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28</w:t>
      </w:r>
    </w:p>
    <w:p>
      <w:pPr>
        <w:sectPr>
          <w:pgSz w:w="11900" w:h="16838" w:orient="portrait"/>
          <w:cols w:equalWidth="0" w:num="1">
            <w:col w:w="11024"/>
          </w:cols>
          <w:pgMar w:left="436" w:top="266" w:right="439"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16.7 Original Agreement; Entire Agreement</w:t>
      </w:r>
    </w:p>
    <w:p>
      <w:pPr>
        <w:spacing w:after="0" w:line="121" w:lineRule="exact"/>
        <w:rPr>
          <w:sz w:val="20"/>
          <w:szCs w:val="20"/>
          <w:color w:val="auto"/>
        </w:rPr>
      </w:pPr>
    </w:p>
    <w:p>
      <w:pPr>
        <w:ind w:left="440" w:right="360"/>
        <w:spacing w:after="0" w:line="266" w:lineRule="auto"/>
        <w:rPr>
          <w:sz w:val="20"/>
          <w:szCs w:val="20"/>
          <w:color w:val="auto"/>
        </w:rPr>
      </w:pPr>
      <w:r>
        <w:rPr>
          <w:rFonts w:ascii="Times New Roman" w:cs="Times New Roman" w:eastAsia="Times New Roman" w:hAnsi="Times New Roman"/>
          <w:sz w:val="18"/>
          <w:szCs w:val="18"/>
          <w:color w:val="auto"/>
        </w:rPr>
        <w:t>This Agreement, as amended and restated, constitutes the entire understanding among the Parties with respect to the subject matter hereof and supersedes and replaces the MTA and the Original Agreement and all prior and contemporaneous agreements, understandings, writings and discussions among the Parties with respect to issues addressed in this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16.8 Consents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 this Agreement contemplates that a Party may agree or consent to something (however it is described), the Party may:</w:t>
      </w:r>
    </w:p>
    <w:p>
      <w:pPr>
        <w:spacing w:after="0" w:line="131" w:lineRule="exact"/>
        <w:rPr>
          <w:sz w:val="20"/>
          <w:szCs w:val="20"/>
          <w:color w:val="auto"/>
        </w:rPr>
      </w:pPr>
    </w:p>
    <w:p>
      <w:pPr>
        <w:ind w:left="960" w:hanging="532"/>
        <w:spacing w:after="0"/>
        <w:tabs>
          <w:tab w:leader="none" w:pos="9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or consent, or not agree or consent, [***]; and</w:t>
      </w:r>
    </w:p>
    <w:p>
      <w:pPr>
        <w:spacing w:after="0" w:line="130" w:lineRule="exact"/>
        <w:rPr>
          <w:rFonts w:ascii="Times New Roman" w:cs="Times New Roman" w:eastAsia="Times New Roman" w:hAnsi="Times New Roman"/>
          <w:sz w:val="18"/>
          <w:szCs w:val="18"/>
          <w:color w:val="auto"/>
        </w:rPr>
      </w:pPr>
    </w:p>
    <w:p>
      <w:pPr>
        <w:ind w:left="960" w:right="160" w:hanging="532"/>
        <w:spacing w:after="0" w:line="282" w:lineRule="auto"/>
        <w:tabs>
          <w:tab w:leader="none" w:pos="9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or consent subject to conditions, unless this Agreement expressly contemplates otherwise, including by providing that such consent is not to be [***].</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16.9 Relationship</w:t>
      </w:r>
    </w:p>
    <w:p>
      <w:pPr>
        <w:spacing w:after="0" w:line="121" w:lineRule="exact"/>
        <w:rPr>
          <w:sz w:val="20"/>
          <w:szCs w:val="20"/>
          <w:color w:val="auto"/>
        </w:rPr>
      </w:pPr>
    </w:p>
    <w:p>
      <w:pPr>
        <w:ind w:left="440" w:right="780"/>
        <w:spacing w:after="0" w:line="312" w:lineRule="auto"/>
        <w:rPr>
          <w:sz w:val="20"/>
          <w:szCs w:val="20"/>
          <w:color w:val="auto"/>
        </w:rPr>
      </w:pPr>
      <w:r>
        <w:rPr>
          <w:rFonts w:ascii="Times New Roman" w:cs="Times New Roman" w:eastAsia="Times New Roman" w:hAnsi="Times New Roman"/>
          <w:sz w:val="17"/>
          <w:szCs w:val="17"/>
          <w:color w:val="auto"/>
        </w:rPr>
        <w:t>Nothing in this Agreement is to be treated as creating a partnership or joint venture between the Parties under the laws of any applicable jurisdiction and no party may act or has any authority to act as agent of or in any way bind or commit the other party to any obligation.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16.10 Counterparts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Agreement may be executed in counterparts which may be exchanged in facsimile or electronic form.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16.11 Attorneys</w:t>
      </w:r>
    </w:p>
    <w:p>
      <w:pPr>
        <w:spacing w:after="0" w:line="121" w:lineRule="exact"/>
        <w:rPr>
          <w:sz w:val="20"/>
          <w:szCs w:val="20"/>
          <w:color w:val="auto"/>
        </w:rPr>
      </w:pPr>
    </w:p>
    <w:p>
      <w:pPr>
        <w:ind w:left="440" w:right="600"/>
        <w:spacing w:after="0" w:line="282" w:lineRule="auto"/>
        <w:rPr>
          <w:sz w:val="20"/>
          <w:szCs w:val="20"/>
          <w:color w:val="auto"/>
        </w:rPr>
      </w:pPr>
      <w:r>
        <w:rPr>
          <w:rFonts w:ascii="Times New Roman" w:cs="Times New Roman" w:eastAsia="Times New Roman" w:hAnsi="Times New Roman"/>
          <w:sz w:val="18"/>
          <w:szCs w:val="18"/>
          <w:color w:val="auto"/>
        </w:rPr>
        <w:t>Each person who executes this Agreement on behalf of a Party under a power of attorney declares that he or she is not aware of any fact or circumstance that might affect his or her authority to do so under that power of attorney.</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29</w:t>
      </w:r>
    </w:p>
    <w:p>
      <w:pPr>
        <w:sectPr>
          <w:pgSz w:w="11900" w:h="16838" w:orient="portrait"/>
          <w:cols w:equalWidth="0" w:num="1">
            <w:col w:w="11020"/>
          </w:cols>
          <w:pgMar w:left="440" w:top="266" w:right="439"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1 - Project Details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30</w:t>
      </w:r>
    </w:p>
    <w:p>
      <w:pPr>
        <w:sectPr>
          <w:pgSz w:w="11900" w:h="16838" w:orient="portrait"/>
          <w:cols w:equalWidth="0" w:num="1">
            <w:col w:w="11020"/>
          </w:cols>
          <w:pgMar w:left="440" w:top="266" w:right="439"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2 - Application of Definitions and Calculations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31</w:t>
      </w:r>
    </w:p>
    <w:p>
      <w:pPr>
        <w:sectPr>
          <w:pgSz w:w="11900" w:h="16838" w:orient="portrait"/>
          <w:cols w:equalWidth="0" w:num="1">
            <w:col w:w="11020"/>
          </w:cols>
          <w:pgMar w:left="440" w:top="266" w:right="439"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3 - Development Plan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4 - Patents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32</w:t>
      </w:r>
    </w:p>
    <w:p>
      <w:pPr>
        <w:sectPr>
          <w:pgSz w:w="11900" w:h="16838" w:orient="portrait"/>
          <w:cols w:equalWidth="0" w:num="1">
            <w:col w:w="11020"/>
          </w:cols>
          <w:pgMar w:left="440" w:top="266" w:right="439"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Executed as an agreement 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Executed 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Monash University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Professor Sharon Pickering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Authorised Representative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Professor Sharon Pickering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Authorised Representative (please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04 March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Executed 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Daphne Zohar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Authorised Representative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Authorised Representative (please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 March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33</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708C9AF"/>
    <w:multiLevelType w:val="hybridMultilevel"/>
    <w:lvl w:ilvl="0">
      <w:lvlJc w:val="left"/>
      <w:lvlText w:val="•"/>
      <w:numFmt w:val="bullet"/>
      <w:start w:val="1"/>
    </w:lvl>
  </w:abstractNum>
  <w:abstractNum w:abstractNumId="1">
    <w:nsid w:val="5B25ACE2"/>
    <w:multiLevelType w:val="hybridMultilevel"/>
    <w:lvl w:ilvl="0">
      <w:lvlJc w:val="left"/>
      <w:lvlText w:val="•"/>
      <w:numFmt w:val="bullet"/>
      <w:start w:val="1"/>
    </w:lvl>
  </w:abstractNum>
  <w:abstractNum w:abstractNumId="2">
    <w:nsid w:val="175DFCF0"/>
    <w:multiLevelType w:val="hybridMultilevel"/>
    <w:lvl w:ilvl="0">
      <w:lvlJc w:val="left"/>
      <w:lvlText w:val="•"/>
      <w:numFmt w:val="bullet"/>
      <w:start w:val="1"/>
    </w:lvl>
  </w:abstractNum>
  <w:abstractNum w:abstractNumId="3">
    <w:nsid w:val="4F97E3E4"/>
    <w:multiLevelType w:val="hybridMultilevel"/>
    <w:lvl w:ilvl="0">
      <w:lvlJc w:val="left"/>
      <w:lvlText w:val="•"/>
      <w:numFmt w:val="bullet"/>
      <w:start w:val="1"/>
    </w:lvl>
  </w:abstractNum>
  <w:abstractNum w:abstractNumId="4">
    <w:nsid w:val="53B0A9E"/>
    <w:multiLevelType w:val="hybridMultilevel"/>
    <w:lvl w:ilvl="0">
      <w:lvlJc w:val="left"/>
      <w:lvlText w:val="•"/>
      <w:numFmt w:val="bullet"/>
      <w:start w:val="1"/>
    </w:lvl>
  </w:abstractNum>
  <w:abstractNum w:abstractNumId="5">
    <w:nsid w:val="34FD6B4F"/>
    <w:multiLevelType w:val="hybridMultilevel"/>
    <w:lvl w:ilvl="0">
      <w:lvlJc w:val="left"/>
      <w:lvlText w:val="•"/>
      <w:numFmt w:val="bullet"/>
      <w:start w:val="1"/>
    </w:lvl>
  </w:abstractNum>
  <w:abstractNum w:abstractNumId="6">
    <w:nsid w:val="5915FF32"/>
    <w:multiLevelType w:val="hybridMultilevel"/>
    <w:lvl w:ilvl="0">
      <w:lvlJc w:val="left"/>
      <w:lvlText w:val="•"/>
      <w:numFmt w:val="bullet"/>
      <w:start w:val="1"/>
    </w:lvl>
  </w:abstractNum>
  <w:abstractNum w:abstractNumId="7">
    <w:nsid w:val="56438D15"/>
    <w:multiLevelType w:val="hybridMultilevel"/>
    <w:lvl w:ilvl="0">
      <w:lvlJc w:val="left"/>
      <w:lvlText w:val="•"/>
      <w:numFmt w:val="bullet"/>
      <w:start w:val="1"/>
    </w:lvl>
  </w:abstractNum>
  <w:abstractNum w:abstractNumId="8">
    <w:nsid w:val="519E3149"/>
    <w:multiLevelType w:val="hybridMultilevel"/>
    <w:lvl w:ilvl="0">
      <w:lvlJc w:val="left"/>
      <w:lvlText w:val="(%1)"/>
      <w:numFmt w:val="decimal"/>
      <w:start w:val="1"/>
    </w:lvl>
  </w:abstractNum>
  <w:abstractNum w:abstractNumId="9">
    <w:nsid w:val="2C6E4AFD"/>
    <w:multiLevelType w:val="hybridMultilevel"/>
    <w:lvl w:ilvl="0">
      <w:lvlJc w:val="left"/>
      <w:lvlText w:val="(%1)"/>
      <w:numFmt w:val="decimal"/>
      <w:start w:val="1"/>
    </w:lvl>
  </w:abstractNum>
  <w:abstractNum w:abstractNumId="10">
    <w:nsid w:val="17A1B582"/>
    <w:multiLevelType w:val="hybridMultilevel"/>
    <w:lvl w:ilvl="0">
      <w:lvlJc w:val="left"/>
      <w:lvlText w:val="(%1)"/>
      <w:numFmt w:val="decimal"/>
      <w:start w:val="3"/>
    </w:lvl>
  </w:abstractNum>
  <w:abstractNum w:abstractNumId="11">
    <w:nsid w:val="4DF72E4E"/>
    <w:multiLevelType w:val="hybridMultilevel"/>
    <w:lvl w:ilvl="0">
      <w:lvlJc w:val="left"/>
      <w:lvlText w:val="•"/>
      <w:numFmt w:val="bullet"/>
      <w:start w:val="1"/>
    </w:lvl>
  </w:abstractNum>
  <w:abstractNum w:abstractNumId="12">
    <w:nsid w:val="5046B5A9"/>
    <w:multiLevelType w:val="hybridMultilevel"/>
    <w:lvl w:ilvl="0">
      <w:lvlJc w:val="left"/>
      <w:lvlText w:val="•"/>
      <w:numFmt w:val="bullet"/>
      <w:start w:val="1"/>
    </w:lvl>
  </w:abstractNum>
  <w:abstractNum w:abstractNumId="13">
    <w:nsid w:val="5D888A08"/>
    <w:multiLevelType w:val="hybridMultilevel"/>
    <w:lvl w:ilvl="0">
      <w:lvlJc w:val="left"/>
      <w:lvlText w:val="•"/>
      <w:numFmt w:val="bullet"/>
      <w:start w:val="1"/>
    </w:lvl>
  </w:abstractNum>
  <w:abstractNum w:abstractNumId="14">
    <w:nsid w:val="2A082C70"/>
    <w:multiLevelType w:val="hybridMultilevel"/>
    <w:lvl w:ilvl="0">
      <w:lvlJc w:val="left"/>
      <w:lvlText w:val="•"/>
      <w:numFmt w:val="bullet"/>
      <w:start w:val="1"/>
    </w:lvl>
  </w:abstractNum>
  <w:abstractNum w:abstractNumId="15">
    <w:nsid w:val="5EC6AFD4"/>
    <w:multiLevelType w:val="hybridMultilevel"/>
    <w:lvl w:ilvl="0">
      <w:lvlJc w:val="left"/>
      <w:lvlText w:val="•"/>
      <w:numFmt w:val="bullet"/>
      <w:start w:val="1"/>
    </w:lvl>
  </w:abstractNum>
  <w:abstractNum w:abstractNumId="16">
    <w:nsid w:val="19E21BB2"/>
    <w:multiLevelType w:val="hybridMultilevel"/>
    <w:lvl w:ilvl="0">
      <w:lvlJc w:val="left"/>
      <w:lvlText w:val="•"/>
      <w:numFmt w:val="bullet"/>
      <w:start w:val="1"/>
    </w:lvl>
  </w:abstractNum>
  <w:abstractNum w:abstractNumId="17">
    <w:nsid w:val="75E0858A"/>
    <w:multiLevelType w:val="hybridMultilevel"/>
    <w:lvl w:ilvl="0">
      <w:lvlJc w:val="left"/>
      <w:lvlText w:val="•"/>
      <w:numFmt w:val="bullet"/>
      <w:start w:val="1"/>
    </w:lvl>
  </w:abstractNum>
  <w:abstractNum w:abstractNumId="18">
    <w:nsid w:val="57A61A29"/>
    <w:multiLevelType w:val="hybridMultilevel"/>
    <w:lvl w:ilvl="0">
      <w:lvlJc w:val="left"/>
      <w:lvlText w:val="•"/>
      <w:numFmt w:val="bullet"/>
      <w:start w:val="1"/>
    </w:lvl>
  </w:abstractNum>
  <w:abstractNum w:abstractNumId="19">
    <w:nsid w:val="5399C654"/>
    <w:multiLevelType w:val="hybridMultilevel"/>
    <w:lvl w:ilvl="0">
      <w:lvlJc w:val="left"/>
      <w:lvlText w:val="•"/>
      <w:numFmt w:val="bullet"/>
      <w:start w:val="1"/>
    </w:lvl>
  </w:abstractNum>
  <w:abstractNum w:abstractNumId="20">
    <w:nsid w:val="20EE1348"/>
    <w:multiLevelType w:val="hybridMultilevel"/>
    <w:lvl w:ilvl="0">
      <w:lvlJc w:val="left"/>
      <w:lvlText w:val="•"/>
      <w:numFmt w:val="bullet"/>
      <w:start w:val="1"/>
    </w:lvl>
  </w:abstractNum>
  <w:abstractNum w:abstractNumId="21">
    <w:nsid w:val="4427069A"/>
    <w:multiLevelType w:val="hybridMultilevel"/>
    <w:lvl w:ilvl="0">
      <w:lvlJc w:val="left"/>
      <w:lvlText w:val="•"/>
      <w:numFmt w:val="bullet"/>
      <w:start w:val="1"/>
    </w:lvl>
  </w:abstractNum>
  <w:abstractNum w:abstractNumId="22">
    <w:nsid w:val="B37E80A"/>
    <w:multiLevelType w:val="hybridMultilevel"/>
    <w:lvl w:ilvl="0">
      <w:lvlJc w:val="left"/>
      <w:lvlText w:val="•"/>
      <w:numFmt w:val="bullet"/>
      <w:start w:val="1"/>
    </w:lvl>
  </w:abstractNum>
  <w:abstractNum w:abstractNumId="23">
    <w:nsid w:val="2157F6BC"/>
    <w:multiLevelType w:val="hybridMultilevel"/>
    <w:lvl w:ilvl="0">
      <w:lvlJc w:val="left"/>
      <w:lvlText w:val="•"/>
      <w:numFmt w:val="bullet"/>
      <w:start w:val="1"/>
    </w:lvl>
  </w:abstractNum>
  <w:abstractNum w:abstractNumId="24">
    <w:nsid w:val="704E1DD5"/>
    <w:multiLevelType w:val="hybridMultilevel"/>
    <w:lvl w:ilvl="0">
      <w:lvlJc w:val="left"/>
      <w:lvlText w:val="•"/>
      <w:numFmt w:val="bullet"/>
      <w:start w:val="1"/>
    </w:lvl>
  </w:abstractNum>
  <w:abstractNum w:abstractNumId="25">
    <w:nsid w:val="57D2F10E"/>
    <w:multiLevelType w:val="hybridMultilevel"/>
    <w:lvl w:ilvl="0">
      <w:lvlJc w:val="left"/>
      <w:lvlText w:val="•"/>
      <w:numFmt w:val="bullet"/>
      <w:start w:val="1"/>
    </w:lvl>
  </w:abstractNum>
  <w:abstractNum w:abstractNumId="26">
    <w:nsid w:val="BFFAE18"/>
    <w:multiLevelType w:val="hybridMultilevel"/>
    <w:lvl w:ilvl="0">
      <w:lvlJc w:val="left"/>
      <w:lvlText w:val="•"/>
      <w:numFmt w:val="bullet"/>
      <w:start w:val="1"/>
    </w:lvl>
  </w:abstractNum>
  <w:abstractNum w:abstractNumId="27">
    <w:nsid w:val="E3E47A8"/>
    <w:multiLevelType w:val="hybridMultilevel"/>
    <w:lvl w:ilvl="0">
      <w:lvlJc w:val="left"/>
      <w:lvlText w:val="•"/>
      <w:numFmt w:val="bullet"/>
      <w:start w:val="1"/>
    </w:lvl>
  </w:abstractNum>
  <w:abstractNum w:abstractNumId="28">
    <w:nsid w:val="2E48F044"/>
    <w:multiLevelType w:val="hybridMultilevel"/>
    <w:lvl w:ilvl="0">
      <w:lvlJc w:val="left"/>
      <w:lvlText w:val="•"/>
      <w:numFmt w:val="bullet"/>
      <w:start w:val="1"/>
    </w:lvl>
  </w:abstractNum>
  <w:abstractNum w:abstractNumId="29">
    <w:nsid w:val="49D0FEAC"/>
    <w:multiLevelType w:val="hybridMultilevel"/>
    <w:lvl w:ilvl="0">
      <w:lvlJc w:val="left"/>
      <w:lvlText w:val="•"/>
      <w:numFmt w:val="bullet"/>
      <w:start w:val="1"/>
    </w:lvl>
  </w:abstractNum>
  <w:abstractNum w:abstractNumId="30">
    <w:nsid w:val="4BEE5A5B"/>
    <w:multiLevelType w:val="hybridMultilevel"/>
    <w:lvl w:ilvl="0">
      <w:lvlJc w:val="left"/>
      <w:lvlText w:val="•"/>
      <w:numFmt w:val="bullet"/>
      <w:start w:val="1"/>
    </w:lvl>
  </w:abstractNum>
  <w:abstractNum w:abstractNumId="31">
    <w:nsid w:val="5551B9F3"/>
    <w:multiLevelType w:val="hybridMultilevel"/>
    <w:lvl w:ilvl="0">
      <w:lvlJc w:val="left"/>
      <w:lvlText w:val="•"/>
      <w:numFmt w:val="bullet"/>
      <w:start w:val="1"/>
    </w:lvl>
  </w:abstractNum>
  <w:abstractNum w:abstractNumId="32">
    <w:nsid w:val="24F6AB8E"/>
    <w:multiLevelType w:val="hybridMultilevel"/>
    <w:lvl w:ilvl="0">
      <w:lvlJc w:val="left"/>
      <w:lvlText w:val="•"/>
      <w:numFmt w:val="bullet"/>
      <w:start w:val="1"/>
    </w:lvl>
  </w:abstractNum>
  <w:abstractNum w:abstractNumId="33">
    <w:nsid w:val="634C574C"/>
    <w:multiLevelType w:val="hybridMultilevel"/>
    <w:lvl w:ilvl="0">
      <w:lvlJc w:val="left"/>
      <w:lvlText w:val="•"/>
      <w:numFmt w:val="bullet"/>
      <w:start w:val="1"/>
    </w:lvl>
  </w:abstractNum>
  <w:abstractNum w:abstractNumId="34">
    <w:nsid w:val="24E99DD7"/>
    <w:multiLevelType w:val="hybridMultilevel"/>
    <w:lvl w:ilvl="0">
      <w:lvlJc w:val="left"/>
      <w:lvlText w:val="•"/>
      <w:numFmt w:val="bullet"/>
      <w:start w:val="1"/>
    </w:lvl>
  </w:abstractNum>
  <w:abstractNum w:abstractNumId="35">
    <w:nsid w:val="2A31B62D"/>
    <w:multiLevelType w:val="hybridMultilevel"/>
    <w:lvl w:ilvl="0">
      <w:lvlJc w:val="left"/>
      <w:lvlText w:val="•"/>
      <w:numFmt w:val="bullet"/>
      <w:start w:val="1"/>
    </w:lvl>
  </w:abstractNum>
  <w:abstractNum w:abstractNumId="36">
    <w:nsid w:val="1849C29B"/>
    <w:multiLevelType w:val="hybridMultilevel"/>
    <w:lvl w:ilvl="0">
      <w:lvlJc w:val="left"/>
      <w:lvlText w:val="%1"/>
      <w:numFmt w:val="upperLetter"/>
      <w:start w:val="35"/>
    </w:lvl>
  </w:abstractNum>
  <w:abstractNum w:abstractNumId="37">
    <w:nsid w:val="7DFF9D09"/>
    <w:multiLevelType w:val="hybridMultilevel"/>
    <w:lvl w:ilvl="0">
      <w:lvlJc w:val="left"/>
      <w:lvlText w:val="•"/>
      <w:numFmt w:val="bullet"/>
      <w:start w:val="1"/>
    </w:lvl>
  </w:abstractNum>
  <w:abstractNum w:abstractNumId="38">
    <w:nsid w:val="754342"/>
    <w:multiLevelType w:val="hybridMultilevel"/>
    <w:lvl w:ilvl="0">
      <w:lvlJc w:val="left"/>
      <w:lvlText w:val="(%1)"/>
      <w:numFmt w:val="decimal"/>
      <w:start w:val="1"/>
    </w:lvl>
  </w:abstractNum>
  <w:abstractNum w:abstractNumId="39">
    <w:nsid w:val="69E7F3E5"/>
    <w:multiLevelType w:val="hybridMultilevel"/>
    <w:lvl w:ilvl="0">
      <w:lvlJc w:val="left"/>
      <w:lvlText w:val="(%1)"/>
      <w:numFmt w:val="decimal"/>
      <w:start w:val="4"/>
    </w:lvl>
  </w:abstractNum>
  <w:abstractNum w:abstractNumId="40">
    <w:nsid w:val="2A6DE806"/>
    <w:multiLevelType w:val="hybridMultilevel"/>
    <w:lvl w:ilvl="0">
      <w:lvlJc w:val="left"/>
      <w:lvlText w:val="•"/>
      <w:numFmt w:val="bullet"/>
      <w:start w:val="1"/>
    </w:lvl>
  </w:abstractNum>
  <w:abstractNum w:abstractNumId="41">
    <w:nsid w:val="1816F8C4"/>
    <w:multiLevelType w:val="hybridMultilevel"/>
    <w:lvl w:ilvl="0">
      <w:lvlJc w:val="left"/>
      <w:lvlText w:val="•"/>
      <w:numFmt w:val="bullet"/>
      <w:start w:val="1"/>
    </w:lvl>
  </w:abstractNum>
  <w:abstractNum w:abstractNumId="42">
    <w:nsid w:val="37DF2233"/>
    <w:multiLevelType w:val="hybridMultilevel"/>
    <w:lvl w:ilvl="0">
      <w:lvlJc w:val="left"/>
      <w:lvlText w:val="•"/>
      <w:numFmt w:val="bullet"/>
      <w:start w:val="1"/>
    </w:lvl>
  </w:abstractNum>
  <w:abstractNum w:abstractNumId="43">
    <w:nsid w:val="7AB49DAF"/>
    <w:multiLevelType w:val="hybridMultilevel"/>
    <w:lvl w:ilvl="0">
      <w:lvlJc w:val="left"/>
      <w:lvlText w:val="•"/>
      <w:numFmt w:val="bullet"/>
      <w:start w:val="1"/>
    </w:lvl>
  </w:abstractNum>
  <w:abstractNum w:abstractNumId="44">
    <w:nsid w:val="759F82CD"/>
    <w:multiLevelType w:val="hybridMultilevel"/>
    <w:lvl w:ilvl="0">
      <w:lvlJc w:val="left"/>
      <w:lvlText w:val="•"/>
      <w:numFmt w:val="bullet"/>
      <w:start w:val="1"/>
    </w:lvl>
  </w:abstractNum>
  <w:abstractNum w:abstractNumId="45">
    <w:nsid w:val="61E74EA3"/>
    <w:multiLevelType w:val="hybridMultilevel"/>
    <w:lvl w:ilvl="0">
      <w:lvlJc w:val="left"/>
      <w:lvlText w:val="•"/>
      <w:numFmt w:val="bullet"/>
      <w:start w:val="1"/>
    </w:lvl>
  </w:abstractNum>
  <w:abstractNum w:abstractNumId="46">
    <w:nsid w:val="597B4D84"/>
    <w:multiLevelType w:val="hybridMultilevel"/>
    <w:lvl w:ilvl="0">
      <w:lvlJc w:val="left"/>
      <w:lvlText w:val="•"/>
      <w:numFmt w:val="bullet"/>
      <w:start w:val="1"/>
    </w:lvl>
  </w:abstractNum>
  <w:abstractNum w:abstractNumId="47">
    <w:nsid w:val="F819E7F"/>
    <w:multiLevelType w:val="hybridMultilevel"/>
    <w:lvl w:ilvl="0">
      <w:lvlJc w:val="left"/>
      <w:lvlText w:val="•"/>
      <w:numFmt w:val="bullet"/>
      <w:start w:val="1"/>
    </w:lvl>
  </w:abstractNum>
  <w:abstractNum w:abstractNumId="48">
    <w:nsid w:val="57C7D42D"/>
    <w:multiLevelType w:val="hybridMultilevel"/>
    <w:lvl w:ilvl="0">
      <w:lvlJc w:val="left"/>
      <w:lvlText w:val="•"/>
      <w:numFmt w:val="bullet"/>
      <w:start w:val="1"/>
    </w:lvl>
  </w:abstractNum>
  <w:abstractNum w:abstractNumId="49">
    <w:nsid w:val="312167AD"/>
    <w:multiLevelType w:val="hybridMultilevel"/>
    <w:lvl w:ilvl="0">
      <w:lvlJc w:val="left"/>
      <w:lvlText w:val="•"/>
      <w:numFmt w:val="bullet"/>
      <w:start w:val="1"/>
    </w:lvl>
  </w:abstractNum>
  <w:abstractNum w:abstractNumId="50">
    <w:nsid w:val="631B64D4"/>
    <w:multiLevelType w:val="hybridMultilevel"/>
    <w:lvl w:ilvl="0">
      <w:lvlJc w:val="left"/>
      <w:lvlText w:val="•"/>
      <w:numFmt w:val="bullet"/>
      <w:start w:val="1"/>
    </w:lvl>
  </w:abstractNum>
  <w:abstractNum w:abstractNumId="51">
    <w:nsid w:val="78B5E776"/>
    <w:multiLevelType w:val="hybridMultilevel"/>
    <w:lvl w:ilvl="0">
      <w:lvlJc w:val="left"/>
      <w:lvlText w:val="•"/>
      <w:numFmt w:val="bullet"/>
      <w:start w:val="1"/>
    </w:lvl>
  </w:abstractNum>
  <w:abstractNum w:abstractNumId="52">
    <w:nsid w:val="75486E47"/>
    <w:multiLevelType w:val="hybridMultilevel"/>
    <w:lvl w:ilvl="0">
      <w:lvlJc w:val="left"/>
      <w:lvlText w:val="•"/>
      <w:numFmt w:val="bullet"/>
      <w:start w:val="1"/>
    </w:lvl>
  </w:abstractNum>
  <w:abstractNum w:abstractNumId="53">
    <w:nsid w:val="6E534CDE"/>
    <w:multiLevelType w:val="hybridMultilevel"/>
    <w:lvl w:ilvl="0">
      <w:lvlJc w:val="left"/>
      <w:lvlText w:val="•"/>
      <w:numFmt w:val="bullet"/>
      <w:start w:val="1"/>
    </w:lvl>
  </w:abstractNum>
  <w:abstractNum w:abstractNumId="54">
    <w:nsid w:val="1A0DDE32"/>
    <w:multiLevelType w:val="hybridMultilevel"/>
    <w:lvl w:ilvl="0">
      <w:lvlJc w:val="left"/>
      <w:lvlText w:val="•"/>
      <w:numFmt w:val="bullet"/>
      <w:start w:val="1"/>
    </w:lvl>
  </w:abstractNum>
  <w:abstractNum w:abstractNumId="55">
    <w:nsid w:val="65968C1C"/>
    <w:multiLevelType w:val="hybridMultilevel"/>
    <w:lvl w:ilvl="0">
      <w:lvlJc w:val="left"/>
      <w:lvlText w:val="•"/>
      <w:numFmt w:val="bullet"/>
      <w:start w:val="1"/>
    </w:lvl>
  </w:abstractNum>
  <w:abstractNum w:abstractNumId="56">
    <w:nsid w:val="46263DEC"/>
    <w:multiLevelType w:val="hybridMultilevel"/>
    <w:lvl w:ilvl="0">
      <w:lvlJc w:val="left"/>
      <w:lvlText w:val="•"/>
      <w:numFmt w:val="bullet"/>
      <w:start w:val="1"/>
    </w:lvl>
  </w:abstractNum>
  <w:abstractNum w:abstractNumId="57">
    <w:nsid w:val="260D8C4A"/>
    <w:multiLevelType w:val="hybridMultilevel"/>
    <w:lvl w:ilvl="0">
      <w:lvlJc w:val="left"/>
      <w:lvlText w:val=" "/>
      <w:numFmt w:val="bullet"/>
      <w:start w:val="1"/>
    </w:lvl>
  </w:abstractNum>
  <w:abstractNum w:abstractNumId="58">
    <w:nsid w:val="73D4D3C4"/>
    <w:multiLevelType w:val="hybridMultilevel"/>
    <w:lvl w:ilvl="0">
      <w:lvlJc w:val="left"/>
      <w:lvlText w:val="•"/>
      <w:numFmt w:val="bullet"/>
      <w:start w:val="1"/>
    </w:lvl>
  </w:abstractNum>
  <w:abstractNum w:abstractNumId="59">
    <w:nsid w:val="746F2E30"/>
    <w:multiLevelType w:val="hybridMultilevel"/>
    <w:lvl w:ilvl="0">
      <w:lvlJc w:val="left"/>
      <w:lvlText w:val="•"/>
      <w:numFmt w:val="bullet"/>
      <w:start w:val="1"/>
    </w:lvl>
  </w:abstractNum>
  <w:abstractNum w:abstractNumId="60">
    <w:nsid w:val="6FDE8AF6"/>
    <w:multiLevelType w:val="hybridMultilevel"/>
    <w:lvl w:ilvl="0">
      <w:lvlJc w:val="left"/>
      <w:lvlText w:val="•"/>
      <w:numFmt w:val="bullet"/>
      <w:start w:val="1"/>
    </w:lvl>
  </w:abstractNum>
  <w:abstractNum w:abstractNumId="61">
    <w:nsid w:val="3FC32E20"/>
    <w:multiLevelType w:val="hybridMultilevel"/>
    <w:lvl w:ilvl="0">
      <w:lvlJc w:val="left"/>
      <w:lvlText w:val="•"/>
      <w:numFmt w:val="bullet"/>
      <w:start w:val="1"/>
    </w:lvl>
  </w:abstractNum>
  <w:abstractNum w:abstractNumId="62">
    <w:nsid w:val="49C0E823"/>
    <w:multiLevelType w:val="hybridMultilevel"/>
    <w:lvl w:ilvl="0">
      <w:lvlJc w:val="left"/>
      <w:lvlText w:val="•"/>
      <w:numFmt w:val="bullet"/>
      <w:start w:val="1"/>
    </w:lvl>
  </w:abstractNum>
  <w:abstractNum w:abstractNumId="63">
    <w:nsid w:val="14D53685"/>
    <w:multiLevelType w:val="hybridMultilevel"/>
    <w:lvl w:ilvl="0">
      <w:lvlJc w:val="left"/>
      <w:lvlText w:val="•"/>
      <w:numFmt w:val="bullet"/>
      <w:start w:val="1"/>
    </w:lvl>
  </w:abstractNum>
  <w:abstractNum w:abstractNumId="64">
    <w:nsid w:val="230F856C"/>
    <w:multiLevelType w:val="hybridMultilevel"/>
    <w:lvl w:ilvl="0">
      <w:lvlJc w:val="left"/>
      <w:lvlText w:val="(%1)"/>
      <w:numFmt w:val="lowerRoman"/>
      <w:start w:val="2"/>
    </w:lvl>
  </w:abstractNum>
  <w:abstractNum w:abstractNumId="65">
    <w:nsid w:val="6EAA85FB"/>
    <w:multiLevelType w:val="hybridMultilevel"/>
    <w:lvl w:ilvl="0">
      <w:lvlJc w:val="left"/>
      <w:lvlText w:val="•"/>
      <w:numFmt w:val="bullet"/>
      <w:start w:val="1"/>
    </w:lvl>
  </w:abstractNum>
  <w:abstractNum w:abstractNumId="66">
    <w:nsid w:val="3F06ECB2"/>
    <w:multiLevelType w:val="hybridMultilevel"/>
    <w:lvl w:ilvl="0">
      <w:lvlJc w:val="left"/>
      <w:lvlText w:val="•"/>
      <w:numFmt w:val="bullet"/>
      <w:start w:val="1"/>
    </w:lvl>
  </w:abstractNum>
  <w:abstractNum w:abstractNumId="67">
    <w:nsid w:val="3B594807"/>
    <w:multiLevelType w:val="hybridMultilevel"/>
    <w:lvl w:ilvl="0">
      <w:lvlJc w:val="left"/>
      <w:lvlText w:val="•"/>
      <w:numFmt w:val="bullet"/>
      <w:start w:val="1"/>
    </w:lvl>
  </w:abstractNum>
  <w:abstractNum w:abstractNumId="68">
    <w:nsid w:val="6CAA2304"/>
    <w:multiLevelType w:val="hybridMultilevel"/>
    <w:lvl w:ilvl="0">
      <w:lvlJc w:val="left"/>
      <w:lvlText w:val="•"/>
      <w:numFmt w:val="bullet"/>
      <w:start w:val="1"/>
    </w:lvl>
  </w:abstractNum>
  <w:abstractNum w:abstractNumId="69">
    <w:nsid w:val="3F7C2FF4"/>
    <w:multiLevelType w:val="hybridMultilevel"/>
    <w:lvl w:ilvl="0">
      <w:lvlJc w:val="left"/>
      <w:lvlText w:val="•"/>
      <w:numFmt w:val="bullet"/>
      <w:start w:val="1"/>
    </w:lvl>
  </w:abstractNum>
  <w:abstractNum w:abstractNumId="70">
    <w:nsid w:val="25413BEC"/>
    <w:multiLevelType w:val="hybridMultilevel"/>
    <w:lvl w:ilvl="0">
      <w:lvlJc w:val="left"/>
      <w:lvlText w:val="•"/>
      <w:numFmt w:val="bullet"/>
      <w:start w:val="1"/>
    </w:lvl>
  </w:abstractNum>
  <w:abstractNum w:abstractNumId="71">
    <w:nsid w:val="17180B0B"/>
    <w:multiLevelType w:val="hybridMultilevel"/>
    <w:lvl w:ilvl="0">
      <w:lvlJc w:val="left"/>
      <w:lvlText w:val="•"/>
      <w:numFmt w:val="bullet"/>
      <w:start w:val="1"/>
    </w:lvl>
  </w:abstractNum>
  <w:abstractNum w:abstractNumId="72">
    <w:nsid w:val="579328B9"/>
    <w:multiLevelType w:val="hybridMultilevel"/>
    <w:lvl w:ilvl="0">
      <w:lvlJc w:val="left"/>
      <w:lvlText w:val="•"/>
      <w:numFmt w:val="bullet"/>
      <w:start w:val="1"/>
    </w:lvl>
  </w:abstractNum>
  <w:abstractNum w:abstractNumId="73">
    <w:nsid w:val="5D205E20"/>
    <w:multiLevelType w:val="hybridMultilevel"/>
    <w:lvl w:ilvl="0">
      <w:lvlJc w:val="left"/>
      <w:lvlText w:val="(%1)"/>
      <w:numFmt w:val="lowerRoman"/>
      <w:start w:val="2"/>
    </w:lvl>
  </w:abstractNum>
  <w:abstractNum w:abstractNumId="74">
    <w:nsid w:val="11CCA8BA"/>
    <w:multiLevelType w:val="hybridMultilevel"/>
    <w:lvl w:ilvl="0">
      <w:lvlJc w:val="left"/>
      <w:lvlText w:val="•"/>
      <w:numFmt w:val="bullet"/>
      <w:start w:val="1"/>
    </w:lvl>
  </w:abstractNum>
  <w:abstractNum w:abstractNumId="75">
    <w:nsid w:val="4D32AB86"/>
    <w:multiLevelType w:val="hybridMultilevel"/>
    <w:lvl w:ilvl="0">
      <w:lvlJc w:val="left"/>
      <w:lvlText w:val="•"/>
      <w:numFmt w:val="bullet"/>
      <w:start w:val="1"/>
    </w:lvl>
  </w:abstractNum>
  <w:abstractNum w:abstractNumId="76">
    <w:nsid w:val="3F07ACC3"/>
    <w:multiLevelType w:val="hybridMultilevel"/>
    <w:lvl w:ilvl="0">
      <w:lvlJc w:val="left"/>
      <w:lvlText w:val="•"/>
      <w:numFmt w:val="bullet"/>
      <w:start w:val="1"/>
    </w:lvl>
  </w:abstractNum>
  <w:abstractNum w:abstractNumId="77">
    <w:nsid w:val="6B47F63E"/>
    <w:multiLevelType w:val="hybridMultilevel"/>
    <w:lvl w:ilvl="0">
      <w:lvlJc w:val="left"/>
      <w:lvlText w:val="•"/>
      <w:numFmt w:val="bullet"/>
      <w:start w:val="1"/>
    </w:lvl>
  </w:abstractNum>
  <w:abstractNum w:abstractNumId="78">
    <w:nsid w:val="5CB44A05"/>
    <w:multiLevelType w:val="hybridMultilevel"/>
    <w:lvl w:ilvl="0">
      <w:lvlJc w:val="left"/>
      <w:lvlText w:val="•"/>
      <w:numFmt w:val="bullet"/>
      <w:start w:val="1"/>
    </w:lvl>
  </w:abstractNum>
  <w:abstractNum w:abstractNumId="79">
    <w:nsid w:val="16CF80F1"/>
    <w:multiLevelType w:val="hybridMultilevel"/>
    <w:lvl w:ilvl="0">
      <w:lvlJc w:val="left"/>
      <w:lvlText w:val="•"/>
      <w:numFmt w:val="bullet"/>
      <w:start w:val="1"/>
    </w:lvl>
  </w:abstractNum>
  <w:abstractNum w:abstractNumId="80">
    <w:nsid w:val="1C695DEC"/>
    <w:multiLevelType w:val="hybridMultilevel"/>
    <w:lvl w:ilvl="0">
      <w:lvlJc w:val="left"/>
      <w:lvlText w:val="•"/>
      <w:numFmt w:val="bullet"/>
      <w:start w:val="1"/>
    </w:lvl>
  </w:abstractNum>
  <w:abstractNum w:abstractNumId="81">
    <w:nsid w:val="3FCFAED9"/>
    <w:multiLevelType w:val="hybridMultilevel"/>
    <w:lvl w:ilvl="0">
      <w:lvlJc w:val="left"/>
      <w:lvlText w:val="•"/>
      <w:numFmt w:val="bullet"/>
      <w:start w:val="1"/>
    </w:lvl>
  </w:abstractNum>
  <w:abstractNum w:abstractNumId="82">
    <w:nsid w:val="F856867"/>
    <w:multiLevelType w:val="hybridMultilevel"/>
    <w:lvl w:ilvl="0">
      <w:lvlJc w:val="left"/>
      <w:lvlText w:val="•"/>
      <w:numFmt w:val="bullet"/>
      <w:start w:val="1"/>
    </w:lvl>
  </w:abstractNum>
  <w:abstractNum w:abstractNumId="83">
    <w:nsid w:val="11B1CC33"/>
    <w:multiLevelType w:val="hybridMultilevel"/>
    <w:lvl w:ilvl="0">
      <w:lvlJc w:val="left"/>
      <w:lvlText w:val="(%1)"/>
      <w:numFmt w:val="decimal"/>
      <w:start w:val="1"/>
    </w:lvl>
  </w:abstractNum>
  <w:abstractNum w:abstractNumId="84">
    <w:nsid w:val="2E22FBB7"/>
    <w:multiLevelType w:val="hybridMultilevel"/>
    <w:lvl w:ilvl="0">
      <w:lvlJc w:val="left"/>
      <w:lvlText w:val="•"/>
      <w:numFmt w:val="bullet"/>
      <w:start w:val="1"/>
    </w:lvl>
  </w:abstractNum>
  <w:abstractNum w:abstractNumId="85">
    <w:nsid w:val="29934699"/>
    <w:multiLevelType w:val="hybridMultilevel"/>
    <w:lvl w:ilvl="0">
      <w:lvlJc w:val="left"/>
      <w:lvlText w:val="•"/>
      <w:numFmt w:val="bullet"/>
      <w:start w:val="1"/>
    </w:lvl>
  </w:abstractNum>
  <w:abstractNum w:abstractNumId="86">
    <w:nsid w:val="77485850"/>
    <w:multiLevelType w:val="hybridMultilevel"/>
    <w:lvl w:ilvl="0">
      <w:lvlJc w:val="left"/>
      <w:lvlText w:val="•"/>
      <w:numFmt w:val="bullet"/>
      <w:start w:val="1"/>
    </w:lvl>
  </w:abstractNum>
  <w:abstractNum w:abstractNumId="87">
    <w:nsid w:val="744939A3"/>
    <w:multiLevelType w:val="hybridMultilevel"/>
    <w:lvl w:ilvl="0">
      <w:lvlJc w:val="left"/>
      <w:lvlText w:val="•"/>
      <w:numFmt w:val="bullet"/>
      <w:start w:val="1"/>
    </w:lvl>
  </w:abstractNum>
  <w:abstractNum w:abstractNumId="88">
    <w:nsid w:val="4FA0D2E3"/>
    <w:multiLevelType w:val="hybridMultilevel"/>
    <w:lvl w:ilvl="0">
      <w:lvlJc w:val="left"/>
      <w:lvlText w:val="•"/>
      <w:numFmt w:val="bullet"/>
      <w:start w:val="1"/>
    </w:lvl>
  </w:abstractNum>
  <w:abstractNum w:abstractNumId="89">
    <w:nsid w:val="6B1D2C14"/>
    <w:multiLevelType w:val="hybridMultilevel"/>
    <w:lvl w:ilvl="0">
      <w:lvlJc w:val="left"/>
      <w:lvlText w:val="•"/>
      <w:numFmt w:val="bullet"/>
      <w:start w:val="1"/>
    </w:lvl>
  </w:abstractNum>
  <w:abstractNum w:abstractNumId="90">
    <w:nsid w:val="68B867D3"/>
    <w:multiLevelType w:val="hybridMultilevel"/>
    <w:lvl w:ilvl="0">
      <w:lvlJc w:val="left"/>
      <w:lvlText w:val="•"/>
      <w:numFmt w:val="bullet"/>
      <w:start w:val="1"/>
    </w:lvl>
  </w:abstractNum>
  <w:abstractNum w:abstractNumId="91">
    <w:nsid w:val="3F7F5DD9"/>
    <w:multiLevelType w:val="hybridMultilevel"/>
    <w:lvl w:ilvl="0">
      <w:lvlJc w:val="left"/>
      <w:lvlText w:val="•"/>
      <w:numFmt w:val="bullet"/>
      <w:start w:val="1"/>
    </w:lvl>
  </w:abstractNum>
  <w:abstractNum w:abstractNumId="92">
    <w:nsid w:val="2AE05A34"/>
    <w:multiLevelType w:val="hybridMultilevel"/>
    <w:lvl w:ilvl="0">
      <w:lvlJc w:val="left"/>
      <w:lvlText w:val="•"/>
      <w:numFmt w:val="bullet"/>
      <w:start w:val="1"/>
    </w:lvl>
  </w:abstractNum>
  <w:abstractNum w:abstractNumId="93">
    <w:nsid w:val="32794FF7"/>
    <w:multiLevelType w:val="hybridMultilevel"/>
    <w:lvl w:ilvl="0">
      <w:lvlJc w:val="left"/>
      <w:lvlText w:val="•"/>
      <w:numFmt w:val="bullet"/>
      <w:start w:val="1"/>
    </w:lvl>
  </w:abstractNum>
  <w:abstractNum w:abstractNumId="94">
    <w:nsid w:val="5454945E"/>
    <w:multiLevelType w:val="hybridMultilevel"/>
    <w:lvl w:ilvl="0">
      <w:lvlJc w:val="left"/>
      <w:lvlText w:val="(%1)"/>
      <w:numFmt w:val="decimal"/>
      <w:start w:val="1"/>
    </w:lvl>
  </w:abstractNum>
  <w:abstractNum w:abstractNumId="95">
    <w:nsid w:val="4DEFDFA0"/>
    <w:multiLevelType w:val="hybridMultilevel"/>
    <w:lvl w:ilvl="0">
      <w:lvlJc w:val="left"/>
      <w:lvlText w:val="(%1)"/>
      <w:numFmt w:val="decimal"/>
      <w:start w:val="3"/>
    </w:lvl>
  </w:abstractNum>
  <w:abstractNum w:abstractNumId="96">
    <w:nsid w:val="2123D5F2"/>
    <w:multiLevelType w:val="hybridMultilevel"/>
    <w:lvl w:ilvl="0">
      <w:lvlJc w:val="left"/>
      <w:lvlText w:val="(%1)"/>
      <w:numFmt w:val="decimal"/>
      <w:start w:val="1"/>
    </w:lvl>
  </w:abstractNum>
  <w:abstractNum w:abstractNumId="97">
    <w:nsid w:val="135B8110"/>
    <w:multiLevelType w:val="hybridMultilevel"/>
    <w:lvl w:ilvl="0">
      <w:lvlJc w:val="left"/>
      <w:lvlText w:val="(%1)"/>
      <w:numFmt w:val="decimal"/>
      <w:start w:val="5"/>
    </w:lvl>
  </w:abstractNum>
  <w:abstractNum w:abstractNumId="98">
    <w:nsid w:val="94927A8"/>
    <w:multiLevelType w:val="hybridMultilevel"/>
    <w:lvl w:ilvl="0">
      <w:lvlJc w:val="left"/>
      <w:lvlText w:val="(%1)"/>
      <w:numFmt w:val="decimal"/>
      <w:start w:val="1"/>
    </w:lvl>
  </w:abstractNum>
  <w:abstractNum w:abstractNumId="99">
    <w:nsid w:val="DCDF8F6"/>
    <w:multiLevelType w:val="hybridMultilevel"/>
    <w:lvl w:ilvl="0">
      <w:lvlJc w:val="left"/>
      <w:lvlText w:val="(%1)"/>
      <w:numFmt w:val="decimal"/>
      <w:start w:val="5"/>
    </w:lvl>
  </w:abstractNum>
  <w:abstractNum w:abstractNumId="100">
    <w:nsid w:val="52D7B105"/>
    <w:multiLevelType w:val="hybridMultilevel"/>
    <w:lvl w:ilvl="0">
      <w:lvlJc w:val="left"/>
      <w:lvlText w:val="•"/>
      <w:numFmt w:val="bullet"/>
      <w:start w:val="1"/>
    </w:lvl>
  </w:abstractNum>
  <w:abstractNum w:abstractNumId="101">
    <w:nsid w:val="2E8A6394"/>
    <w:multiLevelType w:val="hybridMultilevel"/>
    <w:lvl w:ilvl="0">
      <w:lvlJc w:val="left"/>
      <w:lvlText w:val="(%1)"/>
      <w:numFmt w:val="decimal"/>
      <w:start w:val="1"/>
    </w:lvl>
  </w:abstractNum>
  <w:abstractNum w:abstractNumId="102">
    <w:nsid w:val="24E60401"/>
    <w:multiLevelType w:val="hybridMultilevel"/>
    <w:lvl w:ilvl="0">
      <w:lvlJc w:val="left"/>
      <w:lvlText w:val="(%1)"/>
      <w:numFmt w:val="decimal"/>
      <w:start w:val="1"/>
    </w:lvl>
  </w:abstractNum>
  <w:abstractNum w:abstractNumId="103">
    <w:nsid w:val="2A6AD9BE"/>
    <w:multiLevelType w:val="hybridMultilevel"/>
    <w:lvl w:ilvl="0">
      <w:lvlJc w:val="left"/>
      <w:lvlText w:val="•"/>
      <w:numFmt w:val="bullet"/>
      <w:start w:val="1"/>
    </w:lvl>
  </w:abstractNum>
  <w:abstractNum w:abstractNumId="104">
    <w:nsid w:val="BAAC1B4"/>
    <w:multiLevelType w:val="hybridMultilevel"/>
    <w:lvl w:ilvl="0">
      <w:lvlJc w:val="left"/>
      <w:lvlText w:val="*"/>
      <w:numFmt w:val="bullet"/>
      <w:start w:val="1"/>
    </w:lvl>
  </w:abstractNum>
  <w:abstractNum w:abstractNumId="105">
    <w:nsid w:val="36B2ACBC"/>
    <w:multiLevelType w:val="hybridMultilevel"/>
    <w:lvl w:ilvl="0">
      <w:lvlJc w:val="left"/>
      <w:lvlText w:val="(%1)"/>
      <w:numFmt w:val="decimal"/>
      <w:start w:val="1"/>
    </w:lvl>
  </w:abstractNum>
  <w:abstractNum w:abstractNumId="106">
    <w:nsid w:val="779D8544"/>
    <w:multiLevelType w:val="hybridMultilevel"/>
    <w:lvl w:ilvl="0">
      <w:lvlJc w:val="left"/>
      <w:lvlText w:val="(%1)"/>
      <w:numFmt w:val="decimal"/>
      <w:start w:val="4"/>
    </w:lvl>
  </w:abstractNum>
  <w:abstractNum w:abstractNumId="107">
    <w:nsid w:val="4AB26E78"/>
    <w:multiLevelType w:val="hybridMultilevel"/>
    <w:lvl w:ilvl="0">
      <w:lvlJc w:val="left"/>
      <w:lvlText w:val="(%1)"/>
      <w:numFmt w:val="lowerRoman"/>
      <w:start w:val="1"/>
    </w:lvl>
  </w:abstractNum>
  <w:abstractNum w:abstractNumId="108">
    <w:nsid w:val="21FAA2FA"/>
    <w:multiLevelType w:val="hybridMultilevel"/>
    <w:lvl w:ilvl="0">
      <w:lvlJc w:val="left"/>
      <w:lvlText w:val="•"/>
      <w:numFmt w:val="bullet"/>
      <w:start w:val="1"/>
    </w:lvl>
  </w:abstractNum>
  <w:abstractNum w:abstractNumId="109">
    <w:nsid w:val="5451CF49"/>
    <w:multiLevelType w:val="hybridMultilevel"/>
    <w:lvl w:ilvl="0">
      <w:lvlJc w:val="left"/>
      <w:lvlText w:val="•"/>
      <w:numFmt w:val="bullet"/>
      <w:start w:val="1"/>
    </w:lvl>
  </w:abstractNum>
  <w:abstractNum w:abstractNumId="110">
    <w:nsid w:val="6181EF69"/>
    <w:multiLevelType w:val="hybridMultilevel"/>
    <w:lvl w:ilvl="0">
      <w:lvlJc w:val="left"/>
      <w:lvlText w:val="•"/>
      <w:numFmt w:val="bullet"/>
      <w:start w:val="1"/>
    </w:lvl>
  </w:abstractNum>
  <w:abstractNum w:abstractNumId="111">
    <w:nsid w:val="3E6400E6"/>
    <w:multiLevelType w:val="hybridMultilevel"/>
    <w:lvl w:ilvl="0">
      <w:lvlJc w:val="left"/>
      <w:lvlText w:val="•"/>
      <w:numFmt w:val="bullet"/>
      <w:start w:val="1"/>
    </w:lvl>
  </w:abstractNum>
  <w:abstractNum w:abstractNumId="112">
    <w:nsid w:val="14217E23"/>
    <w:multiLevelType w:val="hybridMultilevel"/>
    <w:lvl w:ilvl="0">
      <w:lvlJc w:val="left"/>
      <w:lvlText w:val="•"/>
      <w:numFmt w:val="bullet"/>
      <w:start w:val="1"/>
    </w:lvl>
  </w:abstractNum>
  <w:abstractNum w:abstractNumId="113">
    <w:nsid w:val="710757D0"/>
    <w:multiLevelType w:val="hybridMultilevel"/>
    <w:lvl w:ilvl="0">
      <w:lvlJc w:val="left"/>
      <w:lvlText w:val="•"/>
      <w:numFmt w:val="bullet"/>
      <w:start w:val="1"/>
    </w:lvl>
  </w:abstractNum>
  <w:abstractNum w:abstractNumId="114">
    <w:nsid w:val="5015CD1A"/>
    <w:multiLevelType w:val="hybridMultilevel"/>
    <w:lvl w:ilvl="0">
      <w:lvlJc w:val="left"/>
      <w:lvlText w:val="%1)"/>
      <w:numFmt w:val="lowerLetter"/>
      <w:start w:val="1"/>
    </w:lvl>
  </w:abstractNum>
  <w:abstractNum w:abstractNumId="115">
    <w:nsid w:val="424479DA"/>
    <w:multiLevelType w:val="hybridMultilevel"/>
    <w:lvl w:ilvl="0">
      <w:lvlJc w:val="left"/>
      <w:lvlText w:val="%1)"/>
      <w:numFmt w:val="lowerLetter"/>
      <w:start w:val="1"/>
    </w:lvl>
  </w:abstractNum>
  <w:abstractNum w:abstractNumId="116">
    <w:nsid w:val="1A9A9E69"/>
    <w:multiLevelType w:val="hybridMultilevel"/>
    <w:lvl w:ilvl="0">
      <w:lvlJc w:val="left"/>
      <w:lvlText w:val="(%1)"/>
      <w:numFmt w:val="lowerRoman"/>
      <w:start w:val="1"/>
    </w:lvl>
  </w:abstractNum>
  <w:abstractNum w:abstractNumId="117">
    <w:nsid w:val="475E256A"/>
    <w:multiLevelType w:val="hybridMultilevel"/>
    <w:lvl w:ilvl="0">
      <w:lvlJc w:val="left"/>
      <w:lvlText w:val="(%1)"/>
      <w:numFmt w:val="decimal"/>
      <w:start w:val="1"/>
    </w:lvl>
  </w:abstractNum>
  <w:abstractNum w:abstractNumId="118">
    <w:nsid w:val="368DB37E"/>
    <w:multiLevelType w:val="hybridMultilevel"/>
    <w:lvl w:ilvl="0">
      <w:lvlJc w:val="left"/>
      <w:lvlText w:val="(%1)"/>
      <w:numFmt w:val="decimal"/>
      <w:start w:val="1"/>
    </w:lvl>
  </w:abstractNum>
  <w:abstractNum w:abstractNumId="119">
    <w:nsid w:val="6A3B714C"/>
    <w:multiLevelType w:val="hybridMultilevel"/>
    <w:lvl w:ilvl="0">
      <w:lvlJc w:val="left"/>
      <w:lvlText w:val="%1."/>
      <w:numFmt w:val="decimal"/>
      <w:start w:val="1"/>
    </w:lvl>
  </w:abstractNum>
  <w:abstractNum w:abstractNumId="120">
    <w:nsid w:val="327B517E"/>
    <w:multiLevelType w:val="hybridMultilevel"/>
    <w:lvl w:ilvl="0">
      <w:lvlJc w:val="left"/>
      <w:lvlText w:val="(%1)"/>
      <w:numFmt w:val="lowerRoman"/>
      <w:start w:val="3"/>
    </w:lvl>
  </w:abstractNum>
  <w:abstractNum w:abstractNumId="121">
    <w:nsid w:val="1F461B51"/>
    <w:multiLevelType w:val="hybridMultilevel"/>
    <w:lvl w:ilvl="0">
      <w:lvlJc w:val="left"/>
      <w:lvlText w:val="%1."/>
      <w:numFmt w:val="decimal"/>
      <w:start w:val="2"/>
    </w:lvl>
  </w:abstractNum>
  <w:abstractNum w:abstractNumId="122">
    <w:nsid w:val="29BACF25"/>
    <w:multiLevelType w:val="hybridMultilevel"/>
    <w:lvl w:ilvl="0">
      <w:lvlJc w:val="left"/>
      <w:lvlText w:val="•"/>
      <w:numFmt w:val="bullet"/>
      <w:start w:val="1"/>
    </w:lvl>
  </w:abstractNum>
  <w:abstractNum w:abstractNumId="123">
    <w:nsid w:val="5D5BABB3"/>
    <w:multiLevelType w:val="hybridMultilevel"/>
    <w:lvl w:ilvl="0">
      <w:lvlJc w:val="left"/>
      <w:lvlText w:val="$"/>
      <w:numFmt w:val="bullet"/>
      <w:start w:val="1"/>
    </w:lvl>
  </w:abstractNum>
  <w:abstractNum w:abstractNumId="124">
    <w:nsid w:val="51BF6B48"/>
    <w:multiLevelType w:val="hybridMultilevel"/>
    <w:lvl w:ilvl="0">
      <w:lvlJc w:val="left"/>
      <w:lvlText w:val="%1."/>
      <w:numFmt w:val="decimal"/>
      <w:start w:val="10"/>
    </w:lvl>
  </w:abstractNum>
  <w:abstractNum w:abstractNumId="125">
    <w:nsid w:val="7E0F6384"/>
    <w:multiLevelType w:val="hybridMultilevel"/>
    <w:lvl w:ilvl="0">
      <w:lvlJc w:val="left"/>
      <w:lvlText w:val="*"/>
      <w:numFmt w:val="bullet"/>
      <w:start w:val="1"/>
    </w:lvl>
  </w:abstractNum>
  <w:abstractNum w:abstractNumId="126">
    <w:nsid w:val="2B4B8B53"/>
    <w:multiLevelType w:val="hybridMultilevel"/>
    <w:lvl w:ilvl="0">
      <w:lvlJc w:val="left"/>
      <w:lvlText w:val="$"/>
      <w:numFmt w:val="bullet"/>
      <w:start w:val="1"/>
    </w:lvl>
  </w:abstractNum>
  <w:abstractNum w:abstractNumId="127">
    <w:nsid w:val="72E3413A"/>
    <w:multiLevelType w:val="hybridMultilevel"/>
    <w:lvl w:ilvl="0">
      <w:lvlJc w:val="left"/>
      <w:lvlText w:val="$"/>
      <w:numFmt w:val="bullet"/>
      <w:start w:val="1"/>
    </w:lvl>
  </w:abstractNum>
  <w:abstractNum w:abstractNumId="128">
    <w:nsid w:val="116AE494"/>
    <w:multiLevelType w:val="hybridMultilevel"/>
    <w:lvl w:ilvl="0">
      <w:lvlJc w:val="left"/>
      <w:lvlText w:val="(%1)"/>
      <w:numFmt w:val="decimal"/>
      <w:start w:val="1"/>
    </w:lvl>
  </w:abstractNum>
  <w:abstractNum w:abstractNumId="129">
    <w:nsid w:val="3494B2FB"/>
    <w:multiLevelType w:val="hybridMultilevel"/>
    <w:lvl w:ilvl="0">
      <w:lvlJc w:val="left"/>
      <w:lvlText w:val="*"/>
      <w:numFmt w:val="bullet"/>
      <w:start w:val="1"/>
    </w:lvl>
  </w:abstractNum>
  <w:abstractNum w:abstractNumId="130">
    <w:nsid w:val="B13A31"/>
    <w:multiLevelType w:val="hybridMultilevel"/>
    <w:lvl w:ilvl="0">
      <w:lvlJc w:val="left"/>
      <w:lvlText w:val="$"/>
      <w:numFmt w:val="bullet"/>
      <w:start w:val="1"/>
    </w:lvl>
  </w:abstractNum>
  <w:abstractNum w:abstractNumId="131">
    <w:nsid w:val="64429599"/>
    <w:multiLevelType w:val="hybridMultilevel"/>
    <w:lvl w:ilvl="0">
      <w:lvlJc w:val="left"/>
      <w:lvlText w:val="•"/>
      <w:numFmt w:val="bullet"/>
      <w:start w:val="1"/>
    </w:lvl>
  </w:abstractNum>
  <w:abstractNum w:abstractNumId="132">
    <w:nsid w:val="631F1690"/>
    <w:multiLevelType w:val="hybridMultilevel"/>
    <w:lvl w:ilvl="0">
      <w:lvlJc w:val="left"/>
      <w:lvlText w:val="•"/>
      <w:numFmt w:val="bullet"/>
      <w:start w:val="1"/>
    </w:lvl>
  </w:abstractNum>
  <w:abstractNum w:abstractNumId="133">
    <w:nsid w:val="25973E32"/>
    <w:multiLevelType w:val="hybridMultilevel"/>
    <w:lvl w:ilvl="0">
      <w:lvlJc w:val="left"/>
      <w:lvlText w:val="•"/>
      <w:numFmt w:val="bullet"/>
      <w:start w:val="1"/>
    </w:lvl>
  </w:abstractNum>
  <w:abstractNum w:abstractNumId="134">
    <w:nsid w:val="EAD6F57"/>
    <w:multiLevelType w:val="hybridMultilevel"/>
    <w:lvl w:ilvl="0">
      <w:lvlJc w:val="left"/>
      <w:lvlText w:val="*"/>
      <w:numFmt w:val="bullet"/>
      <w:start w:val="1"/>
    </w:lvl>
  </w:abstractNum>
  <w:abstractNum w:abstractNumId="135">
    <w:nsid w:val="6EC9D844"/>
    <w:multiLevelType w:val="hybridMultilevel"/>
    <w:lvl w:ilvl="0">
      <w:lvlJc w:val="left"/>
      <w:lvlText w:val="(%1)"/>
      <w:numFmt w:val="lowerLetter"/>
      <w:start w:val="1"/>
    </w:lvl>
  </w:abstractNum>
  <w:abstractNum w:abstractNumId="136">
    <w:nsid w:val="5C49EAEE"/>
    <w:multiLevelType w:val="hybridMultilevel"/>
    <w:lvl w:ilvl="0">
      <w:lvlJc w:val="left"/>
      <w:lvlText w:val="(%1)"/>
      <w:numFmt w:val="lowerLetter"/>
      <w:start w:val="1"/>
    </w:lvl>
  </w:abstractNum>
  <w:abstractNum w:abstractNumId="137">
    <w:nsid w:val="64AF49B"/>
    <w:multiLevelType w:val="hybridMultilevel"/>
    <w:lvl w:ilvl="0">
      <w:lvlJc w:val="left"/>
      <w:lvlText w:val="(%1)"/>
      <w:numFmt w:val="lowerLetter"/>
      <w:start w:val="4"/>
    </w:lvl>
  </w:abstractNum>
  <w:abstractNum w:abstractNumId="138">
    <w:nsid w:val="397C46BC"/>
    <w:multiLevelType w:val="hybridMultilevel"/>
    <w:lvl w:ilvl="0">
      <w:lvlJc w:val="left"/>
      <w:lvlText w:val="(%1)"/>
      <w:numFmt w:val="lowerLetter"/>
      <w:start w:val="1"/>
    </w:lvl>
  </w:abstractNum>
  <w:abstractNum w:abstractNumId="139">
    <w:nsid w:val="7E448DE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0">
    <w:nsid w:val="5A9CC3E5"/>
    <w:multiLevelType w:val="hybridMultilevel"/>
    <w:lvl w:ilvl="0">
      <w:lvlJc w:val="left"/>
      <w:lvlText w:val="%1"/>
      <w:numFmt w:val="lowerRoman"/>
      <w:start w:val="1"/>
    </w:lvl>
    <w:lvl w:ilvl="1">
      <w:lvlJc w:val="left"/>
      <w:lvlText w:val="(%2)"/>
      <w:numFmt w:val="upperLetter"/>
      <w:start w:val="2"/>
    </w:lvl>
  </w:abstractNum>
  <w:abstractNum w:abstractNumId="141">
    <w:nsid w:val="1AFE3625"/>
    <w:multiLevelType w:val="hybridMultilevel"/>
    <w:lvl w:ilvl="0">
      <w:lvlJc w:val="left"/>
      <w:lvlText w:val="(%1)"/>
      <w:numFmt w:val="lowerRoman"/>
      <w:start w:val="2"/>
    </w:lvl>
    <w:lvl w:ilvl="1">
      <w:lvlJc w:val="left"/>
      <w:lvlText w:val="(%2)"/>
      <w:numFmt w:val="upperLetter"/>
      <w:start w:val="1"/>
    </w:lvl>
  </w:abstractNum>
  <w:abstractNum w:abstractNumId="142">
    <w:nsid w:val="3CA88ECF"/>
    <w:multiLevelType w:val="hybridMultilevel"/>
    <w:lvl w:ilvl="0">
      <w:lvlJc w:val="left"/>
      <w:lvlText w:val="(%1)"/>
      <w:numFmt w:val="lowerRoman"/>
      <w:start w:val="3"/>
    </w:lvl>
  </w:abstractNum>
  <w:abstractNum w:abstractNumId="143">
    <w:nsid w:val="6EBE4208"/>
    <w:multiLevelType w:val="hybridMultilevel"/>
    <w:lvl w:ilvl="0">
      <w:lvlJc w:val="left"/>
      <w:lvlText w:val="%1"/>
      <w:numFmt w:val="lowerLetter"/>
      <w:start w:val="1"/>
    </w:lvl>
    <w:lvl w:ilvl="1">
      <w:lvlJc w:val="left"/>
      <w:lvlText w:val="(%2)"/>
      <w:numFmt w:val="lowerRoman"/>
      <w:start w:val="4"/>
    </w:lvl>
  </w:abstractNum>
  <w:abstractNum w:abstractNumId="144">
    <w:nsid w:val="C058DF5"/>
    <w:multiLevelType w:val="hybridMultilevel"/>
    <w:lvl w:ilvl="0">
      <w:lvlJc w:val="left"/>
      <w:lvlText w:val="(%1)"/>
      <w:numFmt w:val="lowerLetter"/>
      <w:start w:val="3"/>
    </w:lvl>
    <w:lvl w:ilvl="1">
      <w:lvlJc w:val="left"/>
      <w:lvlText w:val="(%2)"/>
      <w:numFmt w:val="lowerRoman"/>
      <w:start w:val="1"/>
    </w:lvl>
  </w:abstractNum>
  <w:abstractNum w:abstractNumId="145">
    <w:nsid w:val="CBE5BE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6">
    <w:nsid w:val="3102BBE2"/>
    <w:multiLevelType w:val="hybridMultilevel"/>
    <w:lvl w:ilvl="0">
      <w:lvlJc w:val="left"/>
      <w:lvlText w:val="(%1)"/>
      <w:numFmt w:val="lowerLetter"/>
      <w:start w:val="3"/>
    </w:lvl>
    <w:lvl w:ilvl="1">
      <w:lvlJc w:val="left"/>
      <w:lvlText w:val="(%2)"/>
      <w:numFmt w:val="lowerRoman"/>
      <w:start w:val="1"/>
    </w:lvl>
  </w:abstractNum>
  <w:abstractNum w:abstractNumId="147">
    <w:nsid w:val="26A02C5E"/>
    <w:multiLevelType w:val="hybridMultilevel"/>
    <w:lvl w:ilvl="0">
      <w:lvlJc w:val="left"/>
      <w:lvlText w:val="(%1)"/>
      <w:numFmt w:val="lowerLetter"/>
      <w:start w:val="1"/>
    </w:lvl>
  </w:abstractNum>
  <w:abstractNum w:abstractNumId="148">
    <w:nsid w:val="541C8153"/>
    <w:multiLevelType w:val="hybridMultilevel"/>
    <w:lvl w:ilvl="0">
      <w:lvlJc w:val="left"/>
      <w:lvlText w:val="(%1)"/>
      <w:numFmt w:val="lowerLetter"/>
      <w:start w:val="1"/>
    </w:lvl>
  </w:abstractNum>
  <w:abstractNum w:abstractNumId="149">
    <w:nsid w:val="67906F60"/>
    <w:multiLevelType w:val="hybridMultilevel"/>
    <w:lvl w:ilvl="0">
      <w:lvlJc w:val="left"/>
      <w:lvlText w:val="(%1)"/>
      <w:numFmt w:val="lowerLetter"/>
      <w:start w:val="3"/>
    </w:lvl>
  </w:abstractNum>
  <w:abstractNum w:abstractNumId="150">
    <w:nsid w:val="10DB9DAA"/>
    <w:multiLevelType w:val="hybridMultilevel"/>
    <w:lvl w:ilvl="0">
      <w:lvlJc w:val="left"/>
      <w:lvlText w:val="%1"/>
      <w:numFmt w:val="lowerLetter"/>
      <w:start w:val="1"/>
    </w:lvl>
    <w:lvl w:ilvl="1">
      <w:lvlJc w:val="left"/>
      <w:lvlText w:val="(%2)"/>
      <w:numFmt w:val="lowerLetter"/>
      <w:start w:val="1"/>
    </w:lvl>
  </w:abstractNum>
  <w:abstractNum w:abstractNumId="151">
    <w:nsid w:val="697D2D2"/>
    <w:multiLevelType w:val="hybridMultilevel"/>
    <w:lvl w:ilvl="0">
      <w:lvlJc w:val="left"/>
      <w:lvlText w:val="(%1)"/>
      <w:numFmt w:val="lowerLetter"/>
      <w:start w:val="9"/>
    </w:lvl>
    <w:lvl w:ilvl="1">
      <w:lvlJc w:val="left"/>
      <w:lvlText w:val="%2"/>
      <w:numFmt w:val="lowerLetter"/>
      <w:start w:val="1"/>
    </w:lvl>
  </w:abstractNum>
  <w:abstractNum w:abstractNumId="152">
    <w:nsid w:val="6D68AB2"/>
    <w:multiLevelType w:val="hybridMultilevel"/>
    <w:lvl w:ilvl="0">
      <w:lvlJc w:val="left"/>
      <w:lvlText w:val="(%1)"/>
      <w:numFmt w:val="lowerLetter"/>
      <w:start w:val="61"/>
    </w:lvl>
    <w:lvl w:ilvl="1">
      <w:lvlJc w:val="left"/>
      <w:lvlText w:val="(%2)"/>
      <w:numFmt w:val="lowerLetter"/>
      <w:start w:val="4"/>
    </w:lvl>
  </w:abstractNum>
  <w:abstractNum w:abstractNumId="153">
    <w:nsid w:val="3A966CD0"/>
    <w:multiLevelType w:val="hybridMultilevel"/>
    <w:lvl w:ilvl="0">
      <w:lvlJc w:val="left"/>
      <w:lvlText w:val="(%1)"/>
      <w:numFmt w:val="lowerLetter"/>
      <w:start w:val="5"/>
    </w:lvl>
  </w:abstractNum>
  <w:abstractNum w:abstractNumId="154">
    <w:nsid w:val="63F37E85"/>
    <w:multiLevelType w:val="hybridMultilevel"/>
    <w:lvl w:ilvl="0">
      <w:lvlJc w:val="left"/>
      <w:lvlText w:val="(%1)"/>
      <w:numFmt w:val="lowerLetter"/>
      <w:start w:val="1"/>
    </w:lvl>
  </w:abstractNum>
  <w:abstractNum w:abstractNumId="155">
    <w:nsid w:val="5895F5FA"/>
    <w:multiLevelType w:val="hybridMultilevel"/>
    <w:lvl w:ilvl="0">
      <w:lvlJc w:val="left"/>
      <w:lvlText w:val="(%1)"/>
      <w:numFmt w:val="lowerLetter"/>
      <w:start w:val="1"/>
    </w:lvl>
  </w:abstractNum>
  <w:abstractNum w:abstractNumId="156">
    <w:nsid w:val="38A5D054"/>
    <w:multiLevelType w:val="hybridMultilevel"/>
    <w:lvl w:ilvl="0">
      <w:lvlJc w:val="left"/>
      <w:lvlText w:val="(%1)"/>
      <w:numFmt w:val="lowerLetter"/>
      <w:start w:val="2"/>
    </w:lvl>
  </w:abstractNum>
  <w:abstractNum w:abstractNumId="157">
    <w:nsid w:val="F3F09D8"/>
    <w:multiLevelType w:val="hybridMultilevel"/>
    <w:lvl w:ilvl="0">
      <w:lvlJc w:val="left"/>
      <w:lvlText w:val="(%1)"/>
      <w:numFmt w:val="lowerLetter"/>
      <w:start w:val="1"/>
    </w:lvl>
  </w:abstractNum>
  <w:abstractNum w:abstractNumId="158">
    <w:nsid w:val="4B793735"/>
    <w:multiLevelType w:val="hybridMultilevel"/>
    <w:lvl w:ilvl="0">
      <w:lvlJc w:val="left"/>
      <w:lvlText w:val="(%1)"/>
      <w:numFmt w:val="lowerLetter"/>
      <w:start w:val="4"/>
    </w:lvl>
  </w:abstractNum>
  <w:abstractNum w:abstractNumId="159">
    <w:nsid w:val="4A10B4E8"/>
    <w:multiLevelType w:val="hybridMultilevel"/>
    <w:lvl w:ilvl="0">
      <w:lvlJc w:val="left"/>
      <w:lvlText w:val="%1"/>
      <w:numFmt w:val="lowerLetter"/>
      <w:start w:val="1"/>
    </w:lvl>
    <w:lvl w:ilvl="1">
      <w:lvlJc w:val="left"/>
      <w:lvlText w:val="(%2)"/>
      <w:numFmt w:val="lowerLetter"/>
      <w:start w:val="1"/>
    </w:lvl>
  </w:abstractNum>
  <w:abstractNum w:abstractNumId="160">
    <w:nsid w:val="43D3BCD4"/>
    <w:multiLevelType w:val="hybridMultilevel"/>
    <w:lvl w:ilvl="0">
      <w:lvlJc w:val="left"/>
      <w:lvlText w:val="(%1)"/>
      <w:numFmt w:val="lowerLetter"/>
      <w:start w:val="35"/>
    </w:lvl>
    <w:lvl w:ilvl="1">
      <w:lvlJc w:val="left"/>
      <w:lvlText w:val="%2"/>
      <w:numFmt w:val="lowerLetter"/>
      <w:start w:val="1"/>
    </w:lvl>
  </w:abstractNum>
  <w:abstractNum w:abstractNumId="161">
    <w:nsid w:val="4C2A7166"/>
    <w:multiLevelType w:val="hybridMultilevel"/>
    <w:lvl w:ilvl="0">
      <w:lvlJc w:val="left"/>
      <w:lvlText w:val="(%1)"/>
      <w:numFmt w:val="lowerLetter"/>
      <w:start w:val="3"/>
    </w:lvl>
  </w:abstractNum>
  <w:abstractNum w:abstractNumId="162">
    <w:nsid w:val="2E534A82"/>
    <w:multiLevelType w:val="hybridMultilevel"/>
    <w:lvl w:ilvl="0">
      <w:lvlJc w:val="left"/>
      <w:lvlText w:val="(%1)"/>
      <w:numFmt w:val="lowerLetter"/>
      <w:start w:val="1"/>
    </w:lvl>
    <w:lvl w:ilvl="1">
      <w:lvlJc w:val="left"/>
      <w:lvlText w:val="(%2)"/>
      <w:numFmt w:val="lowerRoman"/>
      <w:start w:val="1"/>
    </w:lvl>
  </w:abstractNum>
  <w:abstractNum w:abstractNumId="163">
    <w:nsid w:val="26F2D364"/>
    <w:multiLevelType w:val="hybridMultilevel"/>
    <w:lvl w:ilvl="0">
      <w:lvlJc w:val="left"/>
      <w:lvlText w:val="(%1)"/>
      <w:numFmt w:val="lowerLetter"/>
      <w:start w:val="1"/>
    </w:lvl>
  </w:abstractNum>
  <w:abstractNum w:abstractNumId="164">
    <w:nsid w:val="71C1AF98"/>
    <w:multiLevelType w:val="hybridMultilevel"/>
    <w:lvl w:ilvl="0">
      <w:lvlJc w:val="left"/>
      <w:lvlText w:val="(%1)"/>
      <w:numFmt w:val="lowerLetter"/>
      <w:start w:val="1"/>
    </w:lvl>
  </w:abstractNum>
  <w:abstractNum w:abstractNumId="165">
    <w:nsid w:val="3D00B9D9"/>
    <w:multiLevelType w:val="hybridMultilevel"/>
    <w:lvl w:ilvl="0">
      <w:lvlJc w:val="left"/>
      <w:lvlText w:val="(%1)"/>
      <w:numFmt w:val="lowerLetter"/>
      <w:start w:val="1"/>
    </w:lvl>
  </w:abstractNum>
  <w:abstractNum w:abstractNumId="166">
    <w:nsid w:val="15BCABA8"/>
    <w:multiLevelType w:val="hybridMultilevel"/>
    <w:lvl w:ilvl="0">
      <w:lvlJc w:val="left"/>
      <w:lvlText w:val="(%1)"/>
      <w:numFmt w:val="lowerLetter"/>
      <w:start w:val="2"/>
    </w:lvl>
  </w:abstractNum>
  <w:abstractNum w:abstractNumId="167">
    <w:nsid w:val="4E0B9A87"/>
    <w:multiLevelType w:val="hybridMultilevel"/>
    <w:lvl w:ilvl="0">
      <w:lvlJc w:val="left"/>
      <w:lvlText w:val="(%1)"/>
      <w:numFmt w:val="lowerLetter"/>
      <w:start w:val="1"/>
    </w:lvl>
  </w:abstractNum>
  <w:abstractNum w:abstractNumId="168">
    <w:nsid w:val="434BAE75"/>
    <w:multiLevelType w:val="hybridMultilevel"/>
    <w:lvl w:ilvl="0">
      <w:lvlJc w:val="left"/>
      <w:lvlText w:val="(%1)"/>
      <w:numFmt w:val="lowerLetter"/>
      <w:start w:val="1"/>
    </w:lvl>
  </w:abstractNum>
  <w:abstractNum w:abstractNumId="169">
    <w:nsid w:val="4F38F265"/>
    <w:multiLevelType w:val="hybridMultilevel"/>
    <w:lvl w:ilvl="0">
      <w:lvlJc w:val="left"/>
      <w:lvlText w:val="(%1)"/>
      <w:numFmt w:val="lowerLetter"/>
      <w:start w:val="2"/>
    </w:lvl>
  </w:abstractNum>
  <w:abstractNum w:abstractNumId="170">
    <w:nsid w:val="4C502870"/>
    <w:multiLevelType w:val="hybridMultilevel"/>
    <w:lvl w:ilvl="0">
      <w:lvlJc w:val="left"/>
      <w:lvlText w:val="%1"/>
      <w:numFmt w:val="lowerLetter"/>
      <w:start w:val="1"/>
    </w:lvl>
    <w:lvl w:ilvl="1">
      <w:lvlJc w:val="left"/>
      <w:lvlText w:val="(%2)"/>
      <w:numFmt w:val="lowerLetter"/>
      <w:start w:val="1"/>
    </w:lvl>
  </w:abstractNum>
  <w:abstractNum w:abstractNumId="171">
    <w:nsid w:val="1DE8725A"/>
    <w:multiLevelType w:val="hybridMultilevel"/>
    <w:lvl w:ilvl="0">
      <w:lvlJc w:val="left"/>
      <w:lvlText w:val="(%1)"/>
      <w:numFmt w:val="lowerLetter"/>
      <w:start w:val="35"/>
    </w:lvl>
    <w:lvl w:ilvl="1">
      <w:lvlJc w:val="left"/>
      <w:lvlText w:val="%2"/>
      <w:numFmt w:val="lowerLetter"/>
      <w:start w:val="1"/>
    </w:lvl>
  </w:abstractNum>
  <w:abstractNum w:abstractNumId="172">
    <w:nsid w:val="6A37288A"/>
    <w:multiLevelType w:val="hybridMultilevel"/>
    <w:lvl w:ilvl="0">
      <w:lvlJc w:val="left"/>
      <w:lvlText w:val="(%1)"/>
      <w:numFmt w:val="lowerLetter"/>
      <w:start w:val="2"/>
    </w:lvl>
  </w:abstractNum>
  <w:abstractNum w:abstractNumId="173">
    <w:nsid w:val="8F8B73F"/>
    <w:multiLevelType w:val="hybridMultilevel"/>
    <w:lvl w:ilvl="0">
      <w:lvlJc w:val="left"/>
      <w:lvlText w:val="(%1)"/>
      <w:numFmt w:val="lowerLetter"/>
      <w:start w:val="1"/>
    </w:lvl>
  </w:abstractNum>
  <w:abstractNum w:abstractNumId="174">
    <w:nsid w:val="CA6B462"/>
    <w:multiLevelType w:val="hybridMultilevel"/>
    <w:lvl w:ilvl="0">
      <w:lvlJc w:val="left"/>
      <w:lvlText w:val="(%1)"/>
      <w:numFmt w:val="lowerLetter"/>
      <w:start w:val="1"/>
    </w:lvl>
  </w:abstractNum>
  <w:abstractNum w:abstractNumId="175">
    <w:nsid w:val="763CB680"/>
    <w:multiLevelType w:val="hybridMultilevel"/>
    <w:lvl w:ilvl="0">
      <w:lvlJc w:val="left"/>
      <w:lvlText w:val="(%1)"/>
      <w:numFmt w:val="lowerRoman"/>
      <w:start w:val="2"/>
    </w:lvl>
  </w:abstractNum>
  <w:abstractNum w:abstractNumId="176">
    <w:nsid w:val="15B71329"/>
    <w:multiLevelType w:val="hybridMultilevel"/>
    <w:lvl w:ilvl="0">
      <w:lvlJc w:val="left"/>
      <w:lvlText w:val="(%1)"/>
      <w:numFmt w:val="lowerRoman"/>
      <w:start w:val="2"/>
    </w:lvl>
  </w:abstractNum>
  <w:abstractNum w:abstractNumId="177">
    <w:nsid w:val="3DA97044"/>
    <w:multiLevelType w:val="hybridMultilevel"/>
    <w:lvl w:ilvl="0">
      <w:lvlJc w:val="left"/>
      <w:lvlText w:val="(%1)"/>
      <w:numFmt w:val="lowerLetter"/>
      <w:start w:val="2"/>
    </w:lvl>
  </w:abstractNum>
  <w:abstractNum w:abstractNumId="178">
    <w:nsid w:val="1CDCE2DE"/>
    <w:multiLevelType w:val="hybridMultilevel"/>
    <w:lvl w:ilvl="0">
      <w:lvlJc w:val="left"/>
      <w:lvlText w:val="(%1)"/>
      <w:numFmt w:val="lowerLetter"/>
      <w:start w:val="12"/>
    </w:lvl>
  </w:abstractNum>
  <w:abstractNum w:abstractNumId="179">
    <w:nsid w:val="69D3947C"/>
    <w:multiLevelType w:val="hybridMultilevel"/>
    <w:lvl w:ilvl="0">
      <w:lvlJc w:val="left"/>
      <w:lvlText w:val="(%1)"/>
      <w:numFmt w:val="lowerLetter"/>
      <w:start w:val="1"/>
    </w:lvl>
  </w:abstractNum>
  <w:abstractNum w:abstractNumId="180">
    <w:nsid w:val="2539DFA5"/>
    <w:multiLevelType w:val="hybridMultilevel"/>
    <w:lvl w:ilvl="0">
      <w:lvlJc w:val="left"/>
      <w:lvlText w:val="(%1)"/>
      <w:numFmt w:val="lowerLetter"/>
      <w:start w:val="2"/>
    </w:lvl>
  </w:abstractNum>
  <w:abstractNum w:abstractNumId="181">
    <w:nsid w:val="2DB88089"/>
    <w:multiLevelType w:val="hybridMultilevel"/>
    <w:lvl w:ilvl="0">
      <w:lvlJc w:val="left"/>
      <w:lvlText w:val="(%1)"/>
      <w:numFmt w:val="lowerLetter"/>
      <w:start w:val="1"/>
    </w:lvl>
  </w:abstractNum>
  <w:abstractNum w:abstractNumId="182">
    <w:nsid w:val="706B674E"/>
    <w:multiLevelType w:val="hybridMultilevel"/>
    <w:lvl w:ilvl="0">
      <w:lvlJc w:val="left"/>
      <w:lvlText w:val="%1."/>
      <w:numFmt w:val="decimal"/>
      <w:start w:val="1"/>
    </w:lvl>
    <w:lvl w:ilvl="1">
      <w:lvlJc w:val="left"/>
      <w:lvlText w:val="%2."/>
      <w:numFmt w:val="lowerLetter"/>
      <w:start w:val="1"/>
    </w:lvl>
  </w:abstractNum>
  <w:abstractNum w:abstractNumId="183">
    <w:nsid w:val="2C106A57"/>
    <w:multiLevelType w:val="hybridMultilevel"/>
    <w:lvl w:ilvl="0">
      <w:lvlJc w:val="left"/>
      <w:lvlText w:val="%1."/>
      <w:numFmt w:val="decimal"/>
      <w:start w:val="1"/>
    </w:lvl>
  </w:abstractNum>
  <w:abstractNum w:abstractNumId="184">
    <w:nsid w:val="684EED59"/>
    <w:multiLevelType w:val="hybridMultilevel"/>
    <w:lvl w:ilvl="0">
      <w:lvlJc w:val="left"/>
      <w:lvlText w:val="%1."/>
      <w:numFmt w:val="upperLetter"/>
      <w:start w:val="1"/>
    </w:lvl>
  </w:abstractNum>
  <w:abstractNum w:abstractNumId="185">
    <w:nsid w:val="545EE5D3"/>
    <w:multiLevelType w:val="hybridMultilevel"/>
    <w:lvl w:ilvl="0">
      <w:lvlJc w:val="left"/>
      <w:lvlText w:val="%1."/>
      <w:numFmt w:val="decimal"/>
      <w:start w:val="1"/>
    </w:lvl>
  </w:abstractNum>
  <w:abstractNum w:abstractNumId="186">
    <w:nsid w:val="4A66051"/>
    <w:multiLevelType w:val="hybridMultilevel"/>
    <w:lvl w:ilvl="0">
      <w:lvlJc w:val="left"/>
      <w:lvlText w:val="(%1)"/>
      <w:numFmt w:val="lowerLetter"/>
      <w:start w:val="1"/>
    </w:lvl>
  </w:abstractNum>
  <w:abstractNum w:abstractNumId="187">
    <w:nsid w:val="20F4BDAD"/>
    <w:multiLevelType w:val="hybridMultilevel"/>
    <w:lvl w:ilvl="0">
      <w:lvlJc w:val="left"/>
      <w:lvlText w:val="(%1)"/>
      <w:numFmt w:val="lowerLetter"/>
      <w:start w:val="1"/>
    </w:lvl>
  </w:abstractNum>
  <w:abstractNum w:abstractNumId="188">
    <w:nsid w:val="639DEFAC"/>
    <w:multiLevelType w:val="hybridMultilevel"/>
    <w:lvl w:ilvl="0">
      <w:lvlJc w:val="left"/>
      <w:lvlText w:val="(%1)"/>
      <w:numFmt w:val="lowerLetter"/>
      <w:start w:val="2"/>
    </w:lvl>
  </w:abstractNum>
  <w:abstractNum w:abstractNumId="189">
    <w:nsid w:val="501F9786"/>
    <w:multiLevelType w:val="hybridMultilevel"/>
    <w:lvl w:ilvl="0">
      <w:lvlJc w:val="left"/>
      <w:lvlText w:val="(%1)"/>
      <w:numFmt w:val="lowerLetter"/>
      <w:start w:val="9"/>
    </w:lvl>
    <w:lvl w:ilvl="1">
      <w:lvlJc w:val="left"/>
      <w:lvlText w:val="(%2)"/>
      <w:numFmt w:val="lowerLetter"/>
      <w:start w:val="1"/>
    </w:lvl>
  </w:abstractNum>
  <w:abstractNum w:abstractNumId="190">
    <w:nsid w:val="6B057295"/>
    <w:multiLevelType w:val="hybridMultilevel"/>
    <w:lvl w:ilvl="0">
      <w:lvlJc w:val="left"/>
      <w:lvlText w:val="(%1)"/>
      <w:numFmt w:val="lowerRoman"/>
      <w:start w:val="2"/>
    </w:lvl>
  </w:abstractNum>
  <w:abstractNum w:abstractNumId="191">
    <w:nsid w:val="2771AC80"/>
    <w:multiLevelType w:val="hybridMultilevel"/>
    <w:lvl w:ilvl="0">
      <w:lvlJc w:val="left"/>
      <w:lvlText w:val="(%1)"/>
      <w:numFmt w:val="lowerLetter"/>
      <w:start w:val="1"/>
    </w:lvl>
  </w:abstractNum>
  <w:abstractNum w:abstractNumId="192">
    <w:nsid w:val="1C4A08EC"/>
    <w:multiLevelType w:val="hybridMultilevel"/>
    <w:lvl w:ilvl="0">
      <w:lvlJc w:val="left"/>
      <w:lvlText w:val="(%1)"/>
      <w:numFmt w:val="lowerRoman"/>
      <w:start w:val="1"/>
    </w:lvl>
    <w:lvl w:ilvl="1">
      <w:lvlJc w:val="left"/>
      <w:lvlText w:val="%2."/>
      <w:numFmt w:val="lowerLetter"/>
      <w:start w:val="1"/>
    </w:lvl>
  </w:abstractNum>
  <w:abstractNum w:abstractNumId="193">
    <w:nsid w:val="1958BD17"/>
    <w:multiLevelType w:val="hybridMultilevel"/>
    <w:lvl w:ilvl="0">
      <w:lvlJc w:val="left"/>
      <w:lvlText w:val="(%1)"/>
      <w:numFmt w:val="lowerLetter"/>
      <w:start w:val="1"/>
    </w:lvl>
    <w:lvl w:ilvl="1">
      <w:lvlJc w:val="left"/>
      <w:lvlText w:val="(%2)"/>
      <w:numFmt w:val="decimal"/>
      <w:start w:val="1"/>
    </w:lvl>
  </w:abstractNum>
  <w:abstractNum w:abstractNumId="194">
    <w:nsid w:val="4E647FE4"/>
    <w:multiLevelType w:val="hybridMultilevel"/>
    <w:lvl w:ilvl="0">
      <w:lvlJc w:val="left"/>
      <w:lvlText w:val="(%1)"/>
      <w:numFmt w:val="lowerLetter"/>
      <w:start w:val="3"/>
    </w:lvl>
  </w:abstractNum>
  <w:abstractNum w:abstractNumId="195">
    <w:nsid w:val="E0BB885"/>
    <w:multiLevelType w:val="hybridMultilevel"/>
    <w:lvl w:ilvl="0">
      <w:lvlJc w:val="left"/>
      <w:lvlText w:val="%1."/>
      <w:numFmt w:val="decimal"/>
      <w:start w:val="2"/>
    </w:lvl>
  </w:abstractNum>
  <w:abstractNum w:abstractNumId="196">
    <w:nsid w:val="565976F1"/>
    <w:multiLevelType w:val="hybridMultilevel"/>
    <w:lvl w:ilvl="0">
      <w:lvlJc w:val="left"/>
      <w:lvlText w:val="%1."/>
      <w:numFmt w:val="decimal"/>
      <w:start w:val="3"/>
    </w:lvl>
  </w:abstractNum>
  <w:abstractNum w:abstractNumId="197">
    <w:nsid w:val="64212B8C"/>
    <w:multiLevelType w:val="hybridMultilevel"/>
    <w:lvl w:ilvl="0">
      <w:lvlJc w:val="left"/>
      <w:lvlText w:val="(%1)"/>
      <w:numFmt w:val="lowerLetter"/>
      <w:start w:val="1"/>
    </w:lvl>
  </w:abstractNum>
  <w:abstractNum w:abstractNumId="198">
    <w:nsid w:val="5C17530C"/>
    <w:multiLevelType w:val="hybridMultilevel"/>
    <w:lvl w:ilvl="0">
      <w:lvlJc w:val="left"/>
      <w:lvlText w:val="(%1)"/>
      <w:numFmt w:val="lowerLetter"/>
      <w:start w:val="1"/>
    </w:lvl>
  </w:abstractNum>
  <w:abstractNum w:abstractNumId="199">
    <w:nsid w:val="19A52566"/>
    <w:multiLevelType w:val="hybridMultilevel"/>
    <w:lvl w:ilvl="0">
      <w:lvlJc w:val="left"/>
      <w:lvlText w:val="(%1)"/>
      <w:numFmt w:val="lowerLetter"/>
      <w:start w:val="1"/>
    </w:lvl>
  </w:abstractNum>
  <w:abstractNum w:abstractNumId="200">
    <w:nsid w:val="335A1DF1"/>
    <w:multiLevelType w:val="hybridMultilevel"/>
    <w:lvl w:ilvl="0">
      <w:lvlJc w:val="left"/>
      <w:lvlText w:val="%1."/>
      <w:numFmt w:val="decimal"/>
      <w:start w:val="4"/>
    </w:lvl>
  </w:abstractNum>
  <w:abstractNum w:abstractNumId="201">
    <w:nsid w:val="28677B7C"/>
    <w:multiLevelType w:val="hybridMultilevel"/>
    <w:lvl w:ilvl="0">
      <w:lvlJc w:val="left"/>
      <w:lvlText w:val="(%1)"/>
      <w:numFmt w:val="lowerLetter"/>
      <w:start w:val="1"/>
    </w:lvl>
  </w:abstractNum>
  <w:abstractNum w:abstractNumId="202">
    <w:nsid w:val="378D97C0"/>
    <w:multiLevelType w:val="hybridMultilevel"/>
    <w:lvl w:ilvl="0">
      <w:lvlJc w:val="left"/>
      <w:lvlText w:val="%1."/>
      <w:numFmt w:val="decimal"/>
      <w:start w:val="5"/>
    </w:lvl>
  </w:abstractNum>
  <w:abstractNum w:abstractNumId="203">
    <w:nsid w:val="1D91467C"/>
    <w:multiLevelType w:val="hybridMultilevel"/>
    <w:lvl w:ilvl="0">
      <w:lvlJc w:val="left"/>
      <w:lvlText w:val="(%1)"/>
      <w:numFmt w:val="lowerLetter"/>
      <w:start w:val="1"/>
    </w:lvl>
  </w:abstractNum>
  <w:abstractNum w:abstractNumId="204">
    <w:nsid w:val="316032BB"/>
    <w:multiLevelType w:val="hybridMultilevel"/>
    <w:lvl w:ilvl="0">
      <w:lvlJc w:val="left"/>
      <w:lvlText w:val="(%1)"/>
      <w:numFmt w:val="lowerLetter"/>
      <w:start w:val="1"/>
    </w:lvl>
  </w:abstractNum>
  <w:abstractNum w:abstractNumId="205">
    <w:nsid w:val="44344C22"/>
    <w:multiLevelType w:val="hybridMultilevel"/>
    <w:lvl w:ilvl="0">
      <w:lvlJc w:val="left"/>
      <w:lvlText w:val="(%1)"/>
      <w:numFmt w:val="lowerLetter"/>
      <w:start w:val="1"/>
    </w:lvl>
  </w:abstractNum>
  <w:abstractNum w:abstractNumId="206">
    <w:nsid w:val="13CDFCFC"/>
    <w:multiLevelType w:val="hybridMultilevel"/>
    <w:lvl w:ilvl="0">
      <w:lvlJc w:val="left"/>
      <w:lvlText w:val="(%1)"/>
      <w:numFmt w:val="lowerLetter"/>
      <w:start w:val="2"/>
    </w:lvl>
  </w:abstractNum>
  <w:abstractNum w:abstractNumId="207">
    <w:nsid w:val="471745E4"/>
    <w:multiLevelType w:val="hybridMultilevel"/>
    <w:lvl w:ilvl="0">
      <w:lvlJc w:val="left"/>
      <w:lvlText w:val="(%1)"/>
      <w:numFmt w:val="lowerLetter"/>
      <w:start w:val="1"/>
    </w:lvl>
  </w:abstractNum>
  <w:abstractNum w:abstractNumId="208">
    <w:nsid w:val="1DDBC66"/>
    <w:multiLevelType w:val="hybridMultilevel"/>
    <w:lvl w:ilvl="0">
      <w:lvlJc w:val="left"/>
      <w:lvlText w:val="%1."/>
      <w:numFmt w:val="decimal"/>
      <w:start w:val="6"/>
    </w:lvl>
  </w:abstractNum>
  <w:abstractNum w:abstractNumId="209">
    <w:nsid w:val="30AADFDA"/>
    <w:multiLevelType w:val="hybridMultilevel"/>
    <w:lvl w:ilvl="0">
      <w:lvlJc w:val="left"/>
      <w:lvlText w:val="(%1)"/>
      <w:numFmt w:val="lowerLetter"/>
      <w:start w:val="1"/>
    </w:lvl>
  </w:abstractNum>
  <w:abstractNum w:abstractNumId="210">
    <w:nsid w:val="30EADA61"/>
    <w:multiLevelType w:val="hybridMultilevel"/>
    <w:lvl w:ilvl="0">
      <w:lvlJc w:val="left"/>
      <w:lvlText w:val="%1."/>
      <w:numFmt w:val="decimal"/>
      <w:start w:val="7"/>
    </w:lvl>
  </w:abstractNum>
  <w:abstractNum w:abstractNumId="211">
    <w:nsid w:val="27179C0B"/>
    <w:multiLevelType w:val="hybridMultilevel"/>
    <w:lvl w:ilvl="0">
      <w:lvlJc w:val="left"/>
      <w:lvlText w:val="(%1)"/>
      <w:numFmt w:val="lowerLetter"/>
      <w:start w:val="1"/>
    </w:lvl>
  </w:abstractNum>
  <w:abstractNum w:abstractNumId="212">
    <w:nsid w:val="5E636063"/>
    <w:multiLevelType w:val="hybridMultilevel"/>
    <w:lvl w:ilvl="0">
      <w:lvlJc w:val="left"/>
      <w:lvlText w:val="(%1)"/>
      <w:numFmt w:val="decimal"/>
      <w:start w:val="1"/>
    </w:lvl>
  </w:abstractNum>
  <w:abstractNum w:abstractNumId="213">
    <w:nsid w:val="215641AF"/>
    <w:multiLevelType w:val="hybridMultilevel"/>
    <w:lvl w:ilvl="0">
      <w:lvlJc w:val="left"/>
      <w:lvlText w:val="(%1)"/>
      <w:numFmt w:val="lowerLetter"/>
      <w:start w:val="2"/>
    </w:lvl>
  </w:abstractNum>
  <w:abstractNum w:abstractNumId="214">
    <w:nsid w:val="53280662"/>
    <w:multiLevelType w:val="hybridMultilevel"/>
    <w:lvl w:ilvl="0">
      <w:lvlJc w:val="left"/>
      <w:lvlText w:val="(%1)"/>
      <w:numFmt w:val="decimal"/>
      <w:start w:val="1"/>
    </w:lvl>
  </w:abstractNum>
  <w:abstractNum w:abstractNumId="215">
    <w:nsid w:val="46B24DBC"/>
    <w:multiLevelType w:val="hybridMultilevel"/>
    <w:lvl w:ilvl="0">
      <w:lvlJc w:val="left"/>
      <w:lvlText w:val="(%1)"/>
      <w:numFmt w:val="lowerLetter"/>
      <w:start w:val="1"/>
    </w:lvl>
  </w:abstractNum>
  <w:abstractNum w:abstractNumId="216">
    <w:nsid w:val="75B52783"/>
    <w:multiLevelType w:val="hybridMultilevel"/>
    <w:lvl w:ilvl="0">
      <w:lvlJc w:val="left"/>
      <w:lvlText w:val="(%1)"/>
      <w:numFmt w:val="lowerLetter"/>
      <w:start w:val="1"/>
    </w:lvl>
  </w:abstractNum>
  <w:abstractNum w:abstractNumId="217">
    <w:nsid w:val="57CE66B4"/>
    <w:multiLevelType w:val="hybridMultilevel"/>
    <w:lvl w:ilvl="0">
      <w:lvlJc w:val="left"/>
      <w:lvlText w:val="(%1)"/>
      <w:numFmt w:val="lowerLetter"/>
      <w:start w:val="1"/>
    </w:lvl>
  </w:abstractNum>
  <w:abstractNum w:abstractNumId="218">
    <w:nsid w:val="67A70B69"/>
    <w:multiLevelType w:val="hybridMultilevel"/>
    <w:lvl w:ilvl="0">
      <w:lvlJc w:val="left"/>
      <w:lvlText w:val="%1"/>
      <w:numFmt w:val="decimal"/>
      <w:start w:val="1"/>
    </w:lvl>
    <w:lvl w:ilvl="1">
      <w:lvlJc w:val="left"/>
      <w:lvlText w:val="(%2)"/>
      <w:numFmt w:val="lowerLetter"/>
      <w:start w:val="1"/>
    </w:lvl>
  </w:abstractNum>
  <w:abstractNum w:abstractNumId="219">
    <w:nsid w:val="5953172F"/>
    <w:multiLevelType w:val="hybridMultilevel"/>
    <w:lvl w:ilvl="0">
      <w:lvlJc w:val="left"/>
      <w:lvlText w:val="%1."/>
      <w:numFmt w:val="decimal"/>
      <w:start w:val="8"/>
    </w:lvl>
    <w:lvl w:ilvl="1">
      <w:lvlJc w:val="left"/>
      <w:lvlText w:val="%2"/>
      <w:numFmt w:val="lowerLetter"/>
      <w:start w:val="1"/>
    </w:lvl>
  </w:abstractNum>
  <w:abstractNum w:abstractNumId="220">
    <w:nsid w:val="27EDFE3A"/>
    <w:multiLevelType w:val="hybridMultilevel"/>
    <w:lvl w:ilvl="0">
      <w:lvlJc w:val="left"/>
      <w:lvlText w:val="(%1)"/>
      <w:numFmt w:val="lowerLetter"/>
      <w:start w:val="1"/>
    </w:lvl>
  </w:abstractNum>
  <w:abstractNum w:abstractNumId="221">
    <w:nsid w:val="52AC7DFF"/>
    <w:multiLevelType w:val="hybridMultilevel"/>
    <w:lvl w:ilvl="0">
      <w:lvlJc w:val="left"/>
      <w:lvlText w:val="(%1)"/>
      <w:numFmt w:val="lowerLetter"/>
      <w:start w:val="1"/>
    </w:lvl>
  </w:abstractNum>
  <w:abstractNum w:abstractNumId="222">
    <w:nsid w:val="C4C3AF"/>
    <w:multiLevelType w:val="hybridMultilevel"/>
    <w:lvl w:ilvl="0">
      <w:lvlJc w:val="left"/>
      <w:lvlText w:val="%1"/>
      <w:numFmt w:val="decimal"/>
      <w:start w:val="1"/>
    </w:lvl>
    <w:lvl w:ilvl="1">
      <w:lvlJc w:val="left"/>
      <w:lvlText w:val="(%2)"/>
      <w:numFmt w:val="lowerLetter"/>
      <w:start w:val="1"/>
    </w:lvl>
  </w:abstractNum>
  <w:abstractNum w:abstractNumId="223">
    <w:nsid w:val="44380727"/>
    <w:multiLevelType w:val="hybridMultilevel"/>
    <w:lvl w:ilvl="0">
      <w:lvlJc w:val="left"/>
      <w:lvlText w:val="%1."/>
      <w:numFmt w:val="decimal"/>
      <w:start w:val="9"/>
    </w:lvl>
    <w:lvl w:ilvl="1">
      <w:lvlJc w:val="left"/>
      <w:lvlText w:val="(%2)"/>
      <w:numFmt w:val="lowerLetter"/>
      <w:start w:val="1"/>
    </w:lvl>
  </w:abstractNum>
  <w:abstractNum w:abstractNumId="224">
    <w:nsid w:val="6C053B16"/>
    <w:multiLevelType w:val="hybridMultilevel"/>
    <w:lvl w:ilvl="0">
      <w:lvlJc w:val="left"/>
      <w:lvlText w:val="%1."/>
      <w:numFmt w:val="decimal"/>
      <w:start w:val="10"/>
    </w:lvl>
  </w:abstractNum>
  <w:abstractNum w:abstractNumId="225">
    <w:nsid w:val="4F294393"/>
    <w:multiLevelType w:val="hybridMultilevel"/>
    <w:lvl w:ilvl="0">
      <w:lvlJc w:val="left"/>
      <w:lvlText w:val="(%1)"/>
      <w:numFmt w:val="lowerLetter"/>
      <w:start w:val="1"/>
    </w:lvl>
  </w:abstractNum>
  <w:abstractNum w:abstractNumId="226">
    <w:nsid w:val="5243BFAC"/>
    <w:multiLevelType w:val="hybridMultilevel"/>
    <w:lvl w:ilvl="0">
      <w:lvlJc w:val="left"/>
      <w:lvlText w:val="(%1)"/>
      <w:numFmt w:val="lowerLetter"/>
      <w:start w:val="1"/>
    </w:lvl>
  </w:abstractNum>
  <w:abstractNum w:abstractNumId="227">
    <w:nsid w:val="425EB207"/>
    <w:multiLevelType w:val="hybridMultilevel"/>
    <w:lvl w:ilvl="0">
      <w:lvlJc w:val="left"/>
      <w:lvlText w:val="%1."/>
      <w:numFmt w:val="decimal"/>
      <w:start w:val="11"/>
    </w:lvl>
  </w:abstractNum>
  <w:abstractNum w:abstractNumId="228">
    <w:nsid w:val="334A6F1F"/>
    <w:multiLevelType w:val="hybridMultilevel"/>
    <w:lvl w:ilvl="0">
      <w:lvlJc w:val="left"/>
      <w:lvlText w:val="(%1)"/>
      <w:numFmt w:val="lowerLetter"/>
      <w:start w:val="1"/>
    </w:lvl>
    <w:lvl w:ilvl="1">
      <w:lvlJc w:val="left"/>
      <w:lvlText w:val="(%2)"/>
      <w:numFmt w:val="decimal"/>
      <w:start w:val="1"/>
    </w:lvl>
  </w:abstractNum>
  <w:abstractNum w:abstractNumId="229">
    <w:nsid w:val="2E5B12B8"/>
    <w:multiLevelType w:val="hybridMultilevel"/>
    <w:lvl w:ilvl="0">
      <w:lvlJc w:val="left"/>
      <w:lvlText w:val="(%1)"/>
      <w:numFmt w:val="lowerLetter"/>
      <w:start w:val="2"/>
    </w:lvl>
  </w:abstractNum>
  <w:abstractNum w:abstractNumId="230">
    <w:nsid w:val="5C03D76D"/>
    <w:multiLevelType w:val="hybridMultilevel"/>
    <w:lvl w:ilvl="0">
      <w:lvlJc w:val="left"/>
      <w:lvlText w:val="%1."/>
      <w:numFmt w:val="decimal"/>
      <w:start w:val="12"/>
    </w:lvl>
  </w:abstractNum>
  <w:abstractNum w:abstractNumId="231">
    <w:nsid w:val="66A48D11"/>
    <w:multiLevelType w:val="hybridMultilevel"/>
    <w:lvl w:ilvl="0">
      <w:lvlJc w:val="left"/>
      <w:lvlText w:val="(%1)"/>
      <w:numFmt w:val="lowerLetter"/>
      <w:start w:val="1"/>
    </w:lvl>
  </w:abstractNum>
  <w:abstractNum w:abstractNumId="232">
    <w:nsid w:val="56C28E34"/>
    <w:multiLevelType w:val="hybridMultilevel"/>
    <w:lvl w:ilvl="0">
      <w:lvlJc w:val="left"/>
      <w:lvlText w:val="(%1)"/>
      <w:numFmt w:val="lowerLetter"/>
      <w:start w:val="6"/>
    </w:lvl>
  </w:abstractNum>
  <w:abstractNum w:abstractNumId="233">
    <w:nsid w:val="13916F2D"/>
    <w:multiLevelType w:val="hybridMultilevel"/>
    <w:lvl w:ilvl="0">
      <w:lvlJc w:val="left"/>
      <w:lvlText w:val="(%1)"/>
      <w:numFmt w:val="lowerLetter"/>
      <w:start w:val="1"/>
    </w:lvl>
  </w:abstractNum>
  <w:abstractNum w:abstractNumId="234">
    <w:nsid w:val="435D38D"/>
    <w:multiLevelType w:val="hybridMultilevel"/>
    <w:lvl w:ilvl="0">
      <w:lvlJc w:val="left"/>
      <w:lvlText w:val="%1."/>
      <w:numFmt w:val="decimal"/>
      <w:start w:val="13"/>
    </w:lvl>
  </w:abstractNum>
  <w:abstractNum w:abstractNumId="235">
    <w:nsid w:val="822C0EF"/>
    <w:multiLevelType w:val="hybridMultilevel"/>
    <w:lvl w:ilvl="0">
      <w:lvlJc w:val="left"/>
      <w:lvlText w:val="(%1)"/>
      <w:numFmt w:val="lowerLetter"/>
      <w:start w:val="1"/>
    </w:lvl>
  </w:abstractNum>
  <w:abstractNum w:abstractNumId="236">
    <w:nsid w:val="57C5BB4F"/>
    <w:multiLevelType w:val="hybridMultilevel"/>
    <w:lvl w:ilvl="0">
      <w:lvlJc w:val="left"/>
      <w:lvlText w:val="%1."/>
      <w:numFmt w:val="decimal"/>
      <w:start w:val="14"/>
    </w:lvl>
  </w:abstractNum>
  <w:abstractNum w:abstractNumId="237">
    <w:nsid w:val="1803D089"/>
    <w:multiLevelType w:val="hybridMultilevel"/>
    <w:lvl w:ilvl="0">
      <w:lvlJc w:val="left"/>
      <w:lvlText w:val="(%1)"/>
      <w:numFmt w:val="lowerLetter"/>
      <w:start w:val="1"/>
    </w:lvl>
  </w:abstractNum>
  <w:abstractNum w:abstractNumId="238">
    <w:nsid w:val="4F3A06D4"/>
    <w:multiLevelType w:val="hybridMultilevel"/>
    <w:lvl w:ilvl="0">
      <w:lvlJc w:val="left"/>
      <w:lvlText w:val="(%1)"/>
      <w:numFmt w:val="lowerLetter"/>
      <w:start w:val="3"/>
    </w:lvl>
  </w:abstractNum>
  <w:abstractNum w:abstractNumId="239">
    <w:nsid w:val="59A377B6"/>
    <w:multiLevelType w:val="hybridMultilevel"/>
    <w:lvl w:ilvl="0">
      <w:lvlJc w:val="left"/>
      <w:lvlText w:val="%1."/>
      <w:numFmt w:val="decimal"/>
      <w:start w:val="15"/>
    </w:lvl>
  </w:abstractNum>
  <w:abstractNum w:abstractNumId="240">
    <w:nsid w:val="48AEB063"/>
    <w:multiLevelType w:val="hybridMultilevel"/>
    <w:lvl w:ilvl="0">
      <w:lvlJc w:val="left"/>
      <w:lvlText w:val="%1."/>
      <w:numFmt w:val="decimal"/>
      <w:start w:val="16"/>
    </w:lvl>
  </w:abstractNum>
  <w:abstractNum w:abstractNumId="241">
    <w:nsid w:val="24E135"/>
    <w:multiLevelType w:val="hybridMultilevel"/>
    <w:lvl w:ilvl="0">
      <w:lvlJc w:val="left"/>
      <w:lvlText w:val="(%1)"/>
      <w:numFmt w:val="lowerLetter"/>
      <w:start w:val="1"/>
    </w:lvl>
  </w:abstractNum>
  <w:abstractNum w:abstractNumId="242">
    <w:nsid w:val="BB13C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2026-04-13T23:20:36Z</dcterms:created>
  <dcterms:modified xsi:type="dcterms:W3CDTF">2026-04-13T23:20:36Z</dcterms:modified>
</cp:coreProperties>
</file>