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20" w:type="dxa"/>
        <w:tblCellMar>
          <w:top w:w="0" w:type="dxa"/>
          <w:left w:w="0" w:type="dxa"/>
          <w:bottom w:w="0" w:type="dxa"/>
          <w:right w:w="0" w:type="dxa"/>
        </w:tblCellMar>
      </w:tblPr>
      <w:tr>
        <w:trPr>
          <w:trHeight w:val="211"/>
        </w:trPr>
        <w:tc>
          <w:tcPr>
            <w:tcW w:w="386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w w:val="98"/>
              </w:rPr>
              <w:t>99-2235719</w:t>
            </w:r>
          </w:p>
        </w:tc>
      </w:tr>
      <w:tr>
        <w:trPr>
          <w:trHeight w:val="147"/>
        </w:trPr>
        <w:tc>
          <w:tcPr>
            <w:tcW w:w="386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4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86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101 Seaport Blvd., Floor 12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807-4062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Seaport Therapeutics, Inc. 2024 Equity Incentive Plan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Seaport Therapeutics, Inc. 2026 Equity Incentive Plan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Seaport Therapeutics, Inc. 2026 Employee Stock Purchase Plan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Daphne Zohar</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101 Seaport Blvd., Floor 12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807-4062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Mitchell S. Bloom</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Benjamin K. Marsh</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Kristen M. McCarthy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917" w:gutter="0" w:footer="0" w:header="0"/>
        </w:sectPr>
      </w:pPr>
    </w:p>
    <w:bookmarkStart w:id="1" w:name="page2"/>
    <w:bookmarkEnd w:id="1"/>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47"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Plan Information.</w:t>
      </w:r>
    </w:p>
    <w:p>
      <w:pPr>
        <w:spacing w:after="0" w:line="118" w:lineRule="exact"/>
        <w:rPr>
          <w:sz w:val="20"/>
          <w:szCs w:val="20"/>
          <w:color w:val="auto"/>
        </w:rPr>
      </w:pPr>
    </w:p>
    <w:p>
      <w:pPr>
        <w:ind w:left="6"/>
        <w:spacing w:after="0" w:line="277" w:lineRule="auto"/>
        <w:rPr>
          <w:sz w:val="20"/>
          <w:szCs w:val="20"/>
          <w:color w:val="auto"/>
        </w:rPr>
      </w:pPr>
      <w:r>
        <w:rPr>
          <w:rFonts w:ascii="Times New Roman" w:cs="Times New Roman" w:eastAsia="Times New Roman" w:hAnsi="Times New Roman"/>
          <w:sz w:val="17"/>
          <w:szCs w:val="17"/>
          <w:color w:val="auto"/>
        </w:rPr>
        <w:t>The documents containing the information specified in this Item 1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on Form S-8 (this “Registration Statement”) or as prospectuses or prospectus supplements pursuant to Rule 424 under the Securities Act.</w:t>
      </w:r>
    </w:p>
    <w:p>
      <w:pPr>
        <w:spacing w:after="0" w:line="189"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Registrant Information and Employee Plan Annual Information.</w:t>
      </w:r>
    </w:p>
    <w:p>
      <w:pPr>
        <w:spacing w:after="0" w:line="118" w:lineRule="exact"/>
        <w:rPr>
          <w:sz w:val="20"/>
          <w:szCs w:val="20"/>
          <w:color w:val="auto"/>
        </w:rPr>
      </w:pPr>
    </w:p>
    <w:p>
      <w:pPr>
        <w:ind w:left="6" w:right="360"/>
        <w:spacing w:after="0" w:line="257"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127" w:lineRule="exact"/>
        <w:rPr>
          <w:sz w:val="20"/>
          <w:szCs w:val="20"/>
          <w:color w:val="auto"/>
        </w:rPr>
      </w:pPr>
    </w:p>
    <w:p>
      <w:pPr>
        <w:ind w:left="426" w:hanging="426"/>
        <w:spacing w:after="0"/>
        <w:tabs>
          <w:tab w:leader="none" w:pos="4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No. 1 to the registrant’s Registration Statement on Form S-1 filed with the Commission on April 27, 2026 (File</w:t>
      </w:r>
    </w:p>
    <w:p>
      <w:pPr>
        <w:spacing w:after="0" w:line="25" w:lineRule="exact"/>
        <w:rPr>
          <w:rFonts w:ascii="Times New Roman" w:cs="Times New Roman" w:eastAsia="Times New Roman" w:hAnsi="Times New Roman"/>
          <w:sz w:val="18"/>
          <w:szCs w:val="18"/>
          <w:color w:val="auto"/>
        </w:rPr>
      </w:pPr>
    </w:p>
    <w:p>
      <w:pPr>
        <w:ind w:left="426"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333-294976), which contains the registrant’s audited financial statements for the latest fiscal year for which such statements have been filed; and</w:t>
      </w:r>
    </w:p>
    <w:p>
      <w:pPr>
        <w:spacing w:after="0" w:line="88" w:lineRule="exact"/>
        <w:rPr>
          <w:rFonts w:ascii="Times New Roman" w:cs="Times New Roman" w:eastAsia="Times New Roman" w:hAnsi="Times New Roman"/>
          <w:sz w:val="18"/>
          <w:szCs w:val="18"/>
          <w:color w:val="auto"/>
        </w:rPr>
      </w:pPr>
    </w:p>
    <w:p>
      <w:pPr>
        <w:ind w:left="426" w:right="140" w:hanging="426"/>
        <w:spacing w:after="0" w:line="257" w:lineRule="auto"/>
        <w:tabs>
          <w:tab w:leader="none" w:pos="4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par value $0.0001 per share (the “Common Stock”) contained in the registrant’s Registration Statement on Form 8-A (File No. 001-43254), filed by the registrant with the Commission under Section 12(b) of the Securities Exchange Act of 1934, as amended (the “Exchange Act”), on April 28, 2026, including any amendments or reports filed for the purpose of updating such description.</w:t>
      </w:r>
    </w:p>
    <w:p>
      <w:pPr>
        <w:spacing w:after="0" w:line="182" w:lineRule="exact"/>
        <w:rPr>
          <w:sz w:val="20"/>
          <w:szCs w:val="20"/>
          <w:color w:val="auto"/>
        </w:rPr>
      </w:pPr>
    </w:p>
    <w:p>
      <w:pPr>
        <w:ind w:left="6" w:right="80"/>
        <w:spacing w:after="0" w:line="257"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2" w:lineRule="exact"/>
        <w:rPr>
          <w:sz w:val="20"/>
          <w:szCs w:val="20"/>
          <w:color w:val="auto"/>
        </w:rPr>
      </w:pPr>
    </w:p>
    <w:p>
      <w:pPr>
        <w:ind w:left="6" w:right="10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06"/>
          </w:cols>
          <w:pgMar w:left="494" w:top="264" w:right="499" w:bottom="1440" w:gutter="0" w:footer="0" w:header="0"/>
        </w:sectPr>
      </w:pPr>
    </w:p>
    <w:bookmarkStart w:id="2" w:name="page3"/>
    <w:bookmarkEnd w:id="2"/>
    <w:p>
      <w:pPr>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no circumstances will any information filed under current items 2.02 or 7.01 of Form 8-K be deemed incorporated herein by reference unless such Form 8-K expressly provides to the contrary.</w:t>
      </w:r>
    </w:p>
    <w:p>
      <w:pPr>
        <w:sectPr>
          <w:pgSz w:w="11900" w:h="16838" w:orient="portrait"/>
          <w:cols w:equalWidth="0" w:num="1">
            <w:col w:w="10540"/>
          </w:cols>
          <w:pgMar w:left="500" w:top="268" w:right="8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-202565</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20" w:space="440"/>
            <w:col w:w="9860"/>
          </w:cols>
          <w:pgMar w:left="500" w:top="264" w:right="5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500" w:top="264" w:right="57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sz w:val="20"/>
          <w:szCs w:val="20"/>
          <w:color w:val="auto"/>
        </w:rPr>
      </w:pPr>
    </w:p>
    <w:p>
      <w:pPr>
        <w:sectPr>
          <w:pgSz w:w="11900" w:h="16838" w:orient="portrait"/>
          <w:cols w:equalWidth="0" w:num="2">
            <w:col w:w="520" w:space="440"/>
            <w:col w:w="9860"/>
          </w:cols>
          <w:pgMar w:left="500" w:top="264"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500" w:top="264" w:right="57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sz w:val="20"/>
          <w:szCs w:val="20"/>
          <w:color w:val="auto"/>
        </w:rPr>
      </w:pPr>
    </w:p>
    <w:p>
      <w:pPr>
        <w:sectPr>
          <w:pgSz w:w="11900" w:h="16838" w:orient="portrait"/>
          <w:cols w:equalWidth="0" w:num="2">
            <w:col w:w="520" w:space="440"/>
            <w:col w:w="9860"/>
          </w:cols>
          <w:pgMar w:left="500" w:top="264" w:right="579" w:bottom="1440" w:gutter="0" w:footer="0" w:header="0"/>
          <w:type w:val="continuous"/>
        </w:sectPr>
      </w:pPr>
    </w:p>
    <w:p>
      <w:pPr>
        <w:spacing w:after="0" w:line="268"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registrant has adopted provisions in its Amended and Restated Certificate of Incorporation (“Charter”) and Amended and Restated Bylaws (“Bylaws”), each to be effective upon the closing of the registrant’s initial public offering, that limit or eliminate the personal liability of the registrant’s directors and officers to the fullest extent permitted by the DGCL, as it now exists or may in the future be amended. Consequently, the registrant’s directors and officers will not be personally liable to the registrant or its stockholders for monetary damages or a breach of fiduciary duty in their capacities and directors and officers, except for liability:</w:t>
      </w:r>
    </w:p>
    <w:p>
      <w:pPr>
        <w:spacing w:after="0" w:line="89" w:lineRule="exact"/>
        <w:rPr>
          <w:sz w:val="20"/>
          <w:szCs w:val="20"/>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 or officer’s duty of loyalty to the registrant or its stockholders;</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Section 174 of the DGCL for directors; and</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any claim brought or in the right of the registrant for officers.</w:t>
      </w:r>
    </w:p>
    <w:p>
      <w:pPr>
        <w:spacing w:after="0" w:line="220"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These limitations of liability do not alter director and officer liability under the federal securities laws and do not affect the availability of equitable remedies such as an injunction or rescission.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Bylaws provide that:</w:t>
      </w:r>
    </w:p>
    <w:p>
      <w:pPr>
        <w:spacing w:after="0" w:line="127" w:lineRule="exact"/>
        <w:rPr>
          <w:sz w:val="20"/>
          <w:szCs w:val="20"/>
          <w:color w:val="auto"/>
        </w:rPr>
      </w:pPr>
    </w:p>
    <w:p>
      <w:pPr>
        <w:ind w:left="960" w:right="280" w:hanging="432"/>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69" w:lineRule="exact"/>
        <w:rPr>
          <w:rFonts w:ascii="Times New Roman" w:cs="Times New Roman" w:eastAsia="Times New Roman" w:hAnsi="Times New Roman"/>
          <w:sz w:val="18"/>
          <w:szCs w:val="18"/>
          <w:color w:val="auto"/>
        </w:rPr>
      </w:pPr>
    </w:p>
    <w:p>
      <w:pPr>
        <w:ind w:left="960" w:right="60" w:hanging="432"/>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advance reasonable expenses, including attorneys’ fees, to its directors and, at the discretion of its board of directors, to officers and certain employees, in connection with legal proceedings relating to their service for or on behalf of the registrant, subject to limited exceptions.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officers. These agreements provide that the registrant will indemnify each of its directors, officers and, at times, their affiliates to the fullest extent permitted by the DGCL. The registrant will advance expenses, including attorneys’ fees (but excluding judgments, fines and settlement amounts), to each indemnified director, officer or affiliate in connection with any proceeding in which indemnification is available and the registrant will indemnify its directors and officers for any action or proceeding arising out of that person’s services as a director or officer brought on behalf of the registrant</w:t>
      </w:r>
    </w:p>
    <w:p>
      <w:pPr>
        <w:sectPr>
          <w:pgSz w:w="11900" w:h="16838" w:orient="portrait"/>
          <w:cols w:equalWidth="0" w:num="1">
            <w:col w:w="10820"/>
          </w:cols>
          <w:pgMar w:left="500" w:top="264" w:right="579" w:bottom="1440" w:gutter="0" w:footer="0" w:header="0"/>
          <w:type w:val="continuous"/>
        </w:sectPr>
      </w:pPr>
    </w:p>
    <w:bookmarkStart w:id="4" w:name="page5"/>
    <w:bookmarkEnd w:id="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in furtherance of the registrant’s rights. Additionally, certain of the registrant’s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the registrant has agreed in the indemnification agreements that its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20"/>
          </w:cols>
          <w:pgMar w:left="500" w:top="268" w:right="57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237"/>
        </w:trPr>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Item 8.</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42"/>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Exhibit table</w:t>
            </w:r>
          </w:p>
        </w:tc>
        <w:tc>
          <w:tcPr>
            <w:tcW w:w="0" w:type="dxa"/>
            <w:vAlign w:val="bottom"/>
          </w:tcPr>
          <w:p>
            <w:pPr>
              <w:spacing w:after="0"/>
              <w:rPr>
                <w:sz w:val="1"/>
                <w:szCs w:val="1"/>
                <w:color w:val="auto"/>
              </w:rPr>
            </w:pPr>
          </w:p>
        </w:tc>
      </w:tr>
      <w:tr>
        <w:trPr>
          <w:trHeight w:val="172"/>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926" w:right="56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2">
        <w:r>
          <w:rPr>
            <w:rFonts w:ascii="Times New Roman" w:cs="Times New Roman" w:eastAsia="Times New Roman" w:hAnsi="Times New Roman"/>
            <w:sz w:val="18"/>
            <w:szCs w:val="18"/>
            <w:u w:val="single" w:color="auto"/>
            <w:color w:val="0000EE"/>
          </w:rPr>
          <w:t>Form of Amended and Restated Certificate of Incorporation (Incorporated by reference to Exhibit 3.3 to the registrant’s Registration</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Statement on Form S-1, as amended (File No. 333-294976)).</w:t>
        </w:r>
      </w:hyperlink>
    </w:p>
    <w:p>
      <w:pPr>
        <w:spacing w:after="0" w:line="56" w:lineRule="exact"/>
        <w:rPr>
          <w:rFonts w:ascii="Times New Roman" w:cs="Times New Roman" w:eastAsia="Times New Roman" w:hAnsi="Times New Roman"/>
          <w:sz w:val="18"/>
          <w:szCs w:val="18"/>
          <w:u w:val="single" w:color="auto"/>
          <w:color w:val="0000EE"/>
        </w:rPr>
      </w:pPr>
    </w:p>
    <w:p>
      <w:pPr>
        <w:ind w:left="926" w:right="4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3">
        <w:r>
          <w:rPr>
            <w:rFonts w:ascii="Times New Roman" w:cs="Times New Roman" w:eastAsia="Times New Roman" w:hAnsi="Times New Roman"/>
            <w:sz w:val="18"/>
            <w:szCs w:val="18"/>
            <w:u w:val="single" w:color="auto"/>
            <w:color w:val="0000EE"/>
          </w:rPr>
          <w:t>Form of Amended and Restated Bylaws (Incorporated by reference to Exhibit 3.5 to the registrant’s Registration Statement on Form S-1, as</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amended (File No. 333-294976)).</w:t>
        </w:r>
      </w:hyperlink>
    </w:p>
    <w:p>
      <w:pPr>
        <w:spacing w:after="0" w:line="56" w:lineRule="exact"/>
        <w:rPr>
          <w:rFonts w:ascii="Times New Roman" w:cs="Times New Roman" w:eastAsia="Times New Roman" w:hAnsi="Times New Roman"/>
          <w:sz w:val="18"/>
          <w:szCs w:val="18"/>
          <w:u w:val="single" w:color="auto"/>
          <w:color w:val="0000EE"/>
        </w:rPr>
      </w:pPr>
    </w:p>
    <w:p>
      <w:pPr>
        <w:ind w:left="926" w:right="500" w:hanging="926"/>
        <w:spacing w:after="0" w:line="308" w:lineRule="auto"/>
        <w:tabs>
          <w:tab w:leader="none" w:pos="93"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4.3</w:t>
      </w:r>
      <w:hyperlink r:id="rId24">
        <w:r>
          <w:rPr>
            <w:rFonts w:ascii="Times New Roman" w:cs="Times New Roman" w:eastAsia="Times New Roman" w:hAnsi="Times New Roman"/>
            <w:sz w:val="17"/>
            <w:szCs w:val="17"/>
            <w:u w:val="single" w:color="auto"/>
            <w:color w:val="0000EE"/>
          </w:rPr>
          <w:t>Amended and Restated Investors’ Rights Agreement among the Registrant and certain of its stockholders, dated October 18, 2024</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by reference to Exhibit 4.2 to the registrant’s Registration Statement on Form S-1, as amended (File No. 333-294976)).</w:t>
        </w:r>
      </w:hyperlink>
    </w:p>
    <w:p>
      <w:pPr>
        <w:spacing w:after="0" w:line="32" w:lineRule="exact"/>
        <w:rPr>
          <w:rFonts w:ascii="Times New Roman" w:cs="Times New Roman" w:eastAsia="Times New Roman" w:hAnsi="Times New Roman"/>
          <w:sz w:val="17"/>
          <w:szCs w:val="17"/>
          <w:u w:val="single" w:color="auto"/>
          <w:color w:val="0000EE"/>
        </w:rPr>
      </w:pPr>
    </w:p>
    <w:p>
      <w:pPr>
        <w:ind w:left="926" w:right="36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5">
        <w:r>
          <w:rPr>
            <w:rFonts w:ascii="Times New Roman" w:cs="Times New Roman" w:eastAsia="Times New Roman" w:hAnsi="Times New Roman"/>
            <w:sz w:val="18"/>
            <w:szCs w:val="18"/>
            <w:u w:val="single" w:color="auto"/>
            <w:color w:val="0000EE"/>
          </w:rPr>
          <w:t>Form of Common Stock Certificate (Incorporated by reference to Exhibit 4.1 to the registrant’s Registration Statement on Form S-1, as</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amended (File No. 333-294976)).</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Goodwin Procter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PricewaterhouseCoopers LLP, Independent Registered Public Accounting Firm.</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Goodwin Procter LLP (included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(included on signature page).</w:t>
      </w:r>
    </w:p>
    <w:p>
      <w:pPr>
        <w:spacing w:after="0" w:line="125" w:lineRule="exact"/>
        <w:rPr>
          <w:rFonts w:ascii="Times New Roman" w:cs="Times New Roman" w:eastAsia="Times New Roman" w:hAnsi="Times New Roman"/>
          <w:sz w:val="17"/>
          <w:szCs w:val="17"/>
          <w:color w:val="auto"/>
        </w:rPr>
      </w:pPr>
    </w:p>
    <w:p>
      <w:pPr>
        <w:ind w:left="926"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26">
        <w:r>
          <w:rPr>
            <w:rFonts w:ascii="Times New Roman" w:cs="Times New Roman" w:eastAsia="Times New Roman" w:hAnsi="Times New Roman"/>
            <w:sz w:val="18"/>
            <w:szCs w:val="18"/>
            <w:u w:val="single" w:color="auto"/>
            <w:color w:val="0000EE"/>
          </w:rPr>
          <w:t>Seaport Therapeutics, Inc. 2026 Equity Incentive Plan and form of award agreements thereunder (Incorporated by reference to Exhibit 10.2</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to the registrant’s Registration Statement on Form S-1, as amended (File No. 333-294976)).</w:t>
        </w:r>
      </w:hyperlink>
    </w:p>
    <w:p>
      <w:pPr>
        <w:spacing w:after="0" w:line="56" w:lineRule="exact"/>
        <w:rPr>
          <w:rFonts w:ascii="Times New Roman" w:cs="Times New Roman" w:eastAsia="Times New Roman" w:hAnsi="Times New Roman"/>
          <w:sz w:val="18"/>
          <w:szCs w:val="18"/>
          <w:u w:val="single" w:color="auto"/>
          <w:color w:val="0000EE"/>
        </w:rPr>
      </w:pPr>
    </w:p>
    <w:p>
      <w:pPr>
        <w:ind w:left="926" w:right="14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27">
        <w:r>
          <w:rPr>
            <w:rFonts w:ascii="Times New Roman" w:cs="Times New Roman" w:eastAsia="Times New Roman" w:hAnsi="Times New Roman"/>
            <w:sz w:val="18"/>
            <w:szCs w:val="18"/>
            <w:u w:val="single" w:color="auto"/>
            <w:color w:val="0000EE"/>
          </w:rPr>
          <w:t>Seaport Therapeutics, Inc. 2024 Stock Option and Incentive Plan and forms of award agreements thereunder (Incorporated by reference to</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Exhibit 10.1 to the registrant’s Registration Statement on Form S-1, as amended (File No. 333-294976)).</w:t>
        </w:r>
      </w:hyperlink>
    </w:p>
    <w:p>
      <w:pPr>
        <w:spacing w:after="0" w:line="56" w:lineRule="exact"/>
        <w:rPr>
          <w:rFonts w:ascii="Times New Roman" w:cs="Times New Roman" w:eastAsia="Times New Roman" w:hAnsi="Times New Roman"/>
          <w:sz w:val="18"/>
          <w:szCs w:val="18"/>
          <w:u w:val="single" w:color="auto"/>
          <w:color w:val="0000EE"/>
        </w:rPr>
      </w:pPr>
    </w:p>
    <w:p>
      <w:pPr>
        <w:ind w:left="926" w:right="16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28">
        <w:r>
          <w:rPr>
            <w:rFonts w:ascii="Times New Roman" w:cs="Times New Roman" w:eastAsia="Times New Roman" w:hAnsi="Times New Roman"/>
            <w:sz w:val="18"/>
            <w:szCs w:val="18"/>
            <w:u w:val="single" w:color="auto"/>
            <w:color w:val="0000EE"/>
          </w:rPr>
          <w:t>Seaport Therapeutics, Inc. 2026 Employee Stock Purchase Plan. (Incorporated by reference to Exhibit 10.3 to the registrant’s Registration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Statement on Form S-1, as amended (File No. 333-294976)).</w:t>
        </w:r>
      </w:hyperlink>
    </w:p>
    <w:p>
      <w:pPr>
        <w:spacing w:after="0" w:line="57" w:lineRule="exact"/>
        <w:rPr>
          <w:rFonts w:ascii="Times New Roman" w:cs="Times New Roman" w:eastAsia="Times New Roman" w:hAnsi="Times New Roman"/>
          <w:sz w:val="18"/>
          <w:szCs w:val="18"/>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243" w:lineRule="exact"/>
        <w:rPr>
          <w:rFonts w:ascii="Times New Roman" w:cs="Times New Roman" w:eastAsia="Times New Roman" w:hAnsi="Times New Roman"/>
          <w:sz w:val="18"/>
          <w:szCs w:val="18"/>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114"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left="6" w:right="180" w:hanging="6"/>
        <w:spacing w:after="0" w:line="253"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Registration Statement.</w:t>
      </w:r>
    </w:p>
    <w:p>
      <w:pPr>
        <w:spacing w:after="0" w:line="186" w:lineRule="exact"/>
        <w:rPr>
          <w:rFonts w:ascii="Times New Roman" w:cs="Times New Roman" w:eastAsia="Times New Roman" w:hAnsi="Times New Roman"/>
          <w:sz w:val="18"/>
          <w:szCs w:val="18"/>
          <w:color w:val="auto"/>
        </w:rPr>
      </w:pPr>
    </w:p>
    <w:p>
      <w:pPr>
        <w:ind w:left="6" w:right="240" w:hanging="6"/>
        <w:spacing w:after="0" w:line="277" w:lineRule="auto"/>
        <w:tabs>
          <w:tab w:leader="none" w:pos="3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906"/>
          </w:cols>
          <w:pgMar w:left="494" w:top="264" w:right="499" w:bottom="1440" w:gutter="0" w:footer="0" w:header="0"/>
        </w:sectPr>
      </w:pPr>
    </w:p>
    <w:bookmarkStart w:id="6" w:name="page7"/>
    <w:bookmarkEnd w:id="6"/>
    <w:p>
      <w:pPr>
        <w:ind w:left="6" w:right="160"/>
        <w:spacing w:after="0" w:line="26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paragraphs (a)(1)(i) and (a)(1)(ii) herein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76" w:lineRule="exact"/>
        <w:rPr>
          <w:sz w:val="20"/>
          <w:szCs w:val="20"/>
          <w:color w:val="auto"/>
        </w:rPr>
      </w:pPr>
    </w:p>
    <w:p>
      <w:pPr>
        <w:ind w:left="6" w:right="180" w:hanging="6"/>
        <w:spacing w:after="0" w:line="262"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6" w:hanging="6"/>
        <w:spacing w:after="0" w:line="277"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left="6" w:right="140" w:hanging="6"/>
        <w:spacing w:after="0" w:line="255"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left="6" w:right="60" w:hanging="6"/>
        <w:spacing w:after="0" w:line="252"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86"/>
          </w:cols>
          <w:pgMar w:left="494" w:top="266" w:right="519" w:bottom="1440" w:gutter="0" w:footer="0" w:header="0"/>
        </w:sectPr>
      </w:pPr>
    </w:p>
    <w:bookmarkStart w:id="7" w:name="page8"/>
    <w:bookmarkEnd w:id="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Boston, Massachusetts, on this 1st day of May,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660"/>
          </w:cols>
          <w:pgMar w:left="500" w:top="264" w:right="7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 AND SIGNATURES</w:t>
      </w:r>
    </w:p>
    <w:p>
      <w:pPr>
        <w:spacing w:after="0" w:line="22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Daphne Zohar and Lauren White,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Daphne Zohar</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Daphne Zohar</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 A. White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Lauren A. White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Paul</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Chairman</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Paul</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Hombach</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Hombach</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I. Healy</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I. Healy</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Pitts</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Pitts</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Sandra E. Peterson</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Sandra E. Peterson</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Denice Torres</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Denice Torres</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Wheadon</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Wheadon</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Sharon Mates</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Sharon Mates</w:t>
            </w: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ectPr>
          <w:pgSz w:w="11900" w:h="16838" w:orient="portrait"/>
          <w:cols w:equalWidth="0" w:num="1">
            <w:col w:w="10780"/>
          </w:cols>
          <w:pgMar w:left="500" w:top="264" w:right="619" w:bottom="1440" w:gutter="0" w:footer="0" w:header="0"/>
        </w:sectPr>
      </w:pPr>
    </w:p>
    <w:bookmarkStart w:id="9" w:name="page10"/>
    <w:bookmarkEnd w:id="9"/>
    <w:p>
      <w:pPr>
        <w:ind w:left="100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790065" cy="415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790065" cy="415925"/>
                    </a:xfrm>
                    <a:prstGeom prst="rect">
                      <a:avLst/>
                    </a:prstGeom>
                    <a:noFill/>
                  </pic:spPr>
                </pic:pic>
              </a:graphicData>
            </a:graphic>
          </wp:anchor>
        </w:drawing>
      </w:r>
    </w:p>
    <w:p>
      <w:pPr>
        <w:spacing w:after="0" w:line="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2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goodwinlaw.com</w:t>
      </w:r>
    </w:p>
    <w:p>
      <w:pPr>
        <w:spacing w:after="0" w:line="2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+1 617 570 1000</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Seaport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Seaport Blvd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Seaport Boston, MA 02210</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14,160,000 shares (the “Shares”) of voting Common Stock, $0.0001 par value per share (“Common Stock”), of Seaport Therapeutics, Inc., a Delaware corporation (the “Company”), that may be issued pursuant to the Company’s 2024 Equity Incentive Plan as amended by that Amendment to 2024 Equity Incentive Plan, dated October 17, 2024, 2026 Stock Option and Incentive Plan and 2026 Employee Stock Purchase Plan (collectively, the “Plans”).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6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w:t>
      </w:r>
      <w:r>
        <w:rPr>
          <w:rFonts w:ascii="Times New Roman" w:cs="Times New Roman" w:eastAsia="Times New Roman" w:hAnsi="Times New Roman"/>
          <w:sz w:val="18"/>
          <w:szCs w:val="18"/>
          <w:color w:val="auto"/>
        </w:rPr>
        <w:t xml:space="preserve"> LLP</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00"/>
          </w:cols>
          <w:pgMar w:left="500" w:top="117"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Seaport Therapeutics, Inc. of our report dated February 27, 2026, except for the effects of the reverse stock split discussed in Note 18 to the consolidated financial statements, as to which the date is April 27, 2026, relating to the financial statements, which appears in Seaport Therapeutics, Inc.’s Amendment No. 1 to the Registration Statement on Form S-1 (No. 333-294976).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ectPr>
          <w:pgSz w:w="11900" w:h="16838" w:orient="portrait"/>
          <w:cols w:equalWidth="0" w:num="1">
            <w:col w:w="10900"/>
          </w:cols>
          <w:pgMar w:left="500" w:top="117" w:right="499" w:bottom="1440" w:gutter="0" w:footer="0" w:header="0"/>
        </w:sectPr>
      </w:pPr>
    </w:p>
    <w:bookmarkStart w:id="11" w:name="page12"/>
    <w:bookmarkEnd w:id="11"/>
    <w:p>
      <w:pPr>
        <w:spacing w:after="0" w:line="8" w:lineRule="exact"/>
        <w:rPr>
          <w:sz w:val="20"/>
          <w:szCs w:val="20"/>
          <w:color w:val="auto"/>
        </w:rPr>
      </w:pPr>
    </w:p>
    <w:p>
      <w:pPr>
        <w:ind w:left="232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Seaport Therapeutics,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9,219,848</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$ 5.28</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$ 6,722.82</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48,680,797.44</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6,020,000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$ 18.00</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$ 14,964.52</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108,360,000.00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510,000</w:t>
            </w:r>
          </w:p>
        </w:tc>
        <w:tc>
          <w:tcPr>
            <w:tcW w:w="40" w:type="dxa"/>
            <w:vAlign w:val="bottom"/>
          </w:tcPr>
          <w:p>
            <w:pPr>
              <w:spacing w:after="0"/>
              <w:rPr>
                <w:sz w:val="20"/>
                <w:szCs w:val="20"/>
                <w:color w:val="auto"/>
              </w:rPr>
            </w:pPr>
          </w:p>
        </w:tc>
        <w:tc>
          <w:tcPr>
            <w:tcW w:w="13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$ 15.30</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$ 7,803,000.00</w:t>
            </w:r>
          </w:p>
        </w:tc>
        <w:tc>
          <w:tcPr>
            <w:tcW w:w="20" w:type="dxa"/>
            <w:vAlign w:val="bottom"/>
          </w:tcPr>
          <w:p>
            <w:pPr>
              <w:spacing w:after="0"/>
              <w:rPr>
                <w:sz w:val="20"/>
                <w:szCs w:val="20"/>
                <w:color w:val="auto"/>
              </w:rPr>
            </w:pPr>
          </w:p>
        </w:tc>
        <w:tc>
          <w:tcPr>
            <w:tcW w:w="10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$ 1,077.59</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$ 22,764.93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164,843,797.44</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$ 22,764.93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260" w:right="100" w:hanging="225"/>
        <w:spacing w:after="0"/>
        <w:tabs>
          <w:tab w:leader="none" w:pos="260" w:val="left"/>
        </w:tabs>
        <w:numPr>
          <w:ilvl w:val="0"/>
          <w:numId w:val="9"/>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under the Securities Act of 1933, as amended (the "Securities Act"), this Registration Statement on Form S-8 ("Registration Statement") shall also cover any additional shares of common stock, par value $0.0001 per share (the "Common Stock") of Seaport Therapeutics, Inc. (the "Company"), which become issuable under the Company's 2024 Equity Incentive Plan (the "2024 Plan"), 2026 Stock Option and Incentive Plan, as amended (the "2026 Plan") and 2026 Employee Stock Purchase Plan (the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 (2) Represents 9,219,848 shares of Common Stock issuable upon the exercise of outstanding equity awards under the 2024 Plan as of the date of this Registration Statement. No further grants will be made under the 2024 Plan. To the extent outstanding options granted under the 2024 Plan are cancelled, forfeited or otherwise terminated without being exercised and would otherwise have been returned to the share reserve under the 2024 Plan, the number of shares underlying such awards will be available for future grant under the 2026 Plan. (3) Estimated solely for the purpose of calculating the registration fee pursuant to Rule 457(h) of the Securities Act, and based on $5.28, the weighted average exercise price (rounded to the nearest cent) of the outstanding option awards under the 2024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203200</wp:posOffset>
            </wp:positionV>
            <wp:extent cx="6387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right="100" w:hanging="225"/>
        <w:spacing w:after="0" w:line="236" w:lineRule="auto"/>
        <w:tabs>
          <w:tab w:leader="none" w:pos="260" w:val="left"/>
        </w:tabs>
        <w:numPr>
          <w:ilvl w:val="0"/>
          <w:numId w:val="10"/>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under the Securities Act of 1933, as amended (the "Securities Act"), this Registration Statement on Form S-8 ("Registration Statement") shall also cover any additional shares of common stock, par value $0.0001 per share (the "Common Stock") of Seaport Therapeutics, Inc. (the "Company"), which become issuable under the Company's 2024 Equity Incentive Plan (the "2024 Plan"), 2026 Stock Option and Incentive Plan, as amended (the "2026 Plan") and 2026 Employee Stock Purchase Plan (the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 (4) Represents 6,020,000 shares of Common Stock reserved for issuance under the 2026 Plan. If awards outstanding under the 2024 Plan, as of the</w:t>
      </w:r>
    </w:p>
    <w:p>
      <w:pPr>
        <w:sectPr>
          <w:pgSz w:w="11900" w:h="16846" w:orient="portrait"/>
          <w:cols w:equalWidth="0" w:num="1">
            <w:col w:w="10100"/>
          </w:cols>
          <w:pgMar w:left="900" w:top="142" w:right="899" w:bottom="0" w:gutter="0" w:footer="0" w:header="0"/>
        </w:sectPr>
      </w:pPr>
    </w:p>
    <w:bookmarkStart w:id="12" w:name="page13"/>
    <w:bookmarkEnd w:id="12"/>
    <w:p>
      <w:pPr>
        <w:ind w:left="800" w:right="700"/>
        <w:spacing w:after="0" w:line="243" w:lineRule="auto"/>
        <w:rPr>
          <w:sz w:val="20"/>
          <w:szCs w:val="20"/>
          <w:color w:val="auto"/>
        </w:rPr>
      </w:pPr>
      <w:r>
        <w:rPr>
          <w:rFonts w:ascii="Arial" w:cs="Arial" w:eastAsia="Arial" w:hAnsi="Arial"/>
          <w:sz w:val="21"/>
          <w:szCs w:val="21"/>
          <w:color w:val="auto"/>
        </w:rPr>
        <w:t>date of this Registration Statement, and under the 2026 Plan, are cancelled, forfeited or otherwise terminated without being exercised, the number of shares underlying such awards will be available for future grant under the 2026 Plan. The 2026 Plan provides that an additional number of shares will automatically be added to the shares authorized for issuance under the 2026 Plan on January 1 of each year, commencing on January 1, 2027. The number of shares added each year will be equal to the lesser of: (i) 5% of the outstanding shares and pre-funded warrants on the immediately preceding December 31, or (ii) such lesser amount as determined by the Administrator (as such term is defined in the 2026 Plan). (5) Estimated solely for the purpose of calculating the registration fee pursuant to Rule 457(h) and 457(c) of the Securities Act, and based on $18.00, the initial public offering price of the Company's Common Stock set forth in the Company's final prospectus dated April 30, 2026 relating to its initial public offering (the "IPO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78740</wp:posOffset>
            </wp:positionV>
            <wp:extent cx="6387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4" w:lineRule="exact"/>
        <w:rPr>
          <w:sz w:val="20"/>
          <w:szCs w:val="20"/>
          <w:color w:val="auto"/>
        </w:rPr>
      </w:pPr>
    </w:p>
    <w:p>
      <w:pPr>
        <w:ind w:left="800" w:right="680" w:hanging="225"/>
        <w:spacing w:after="0" w:line="237" w:lineRule="auto"/>
        <w:tabs>
          <w:tab w:leader="none" w:pos="800" w:val="left"/>
        </w:tabs>
        <w:numPr>
          <w:ilvl w:val="0"/>
          <w:numId w:val="11"/>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under the Securities Act of 1933, as amended (the "Securities Act"), this Registration Statement on Form S-8 ("Registration Statement") shall also cover any additional shares of common stock, par value $0.0001 per share (the "Common Stock") of Seaport Therapeutics, Inc. (the "Company"), which become issuable under the Company's 2024 Equity Incentive Plan (the "2024 Plan"), 2026 Stock Option and Incentive Plan, as amended (the "2026 Plan") and 2026 Employee Stock Purchase Plan (the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 (6) Represents 510,000 shares of Common Stock reserved for future issuance under the ESPP. The ESPP provides that an additional number of shares will automatically be added to the shares authorized for issuance under the ESPP on January 1, 2027, and each January 1 thereafter through January 1, 2036. The number of shares added each year will be equal to the lesser of: (i) 1% of the outstanding shares and pre-funded warrants on the immediately preceding December 31, (ii) 1,500,000 shares of common stock, or (iii) such lesser number of shares of common stock as determined by the administrator of the ESPP. (7) Estimated solely for the purpose of calculating the amount of the registration fee pursuant to Rule 457(h) and 457(c) of the Securities Act. The proposed maximum offering price per share and proposed maximum aggregate offering price are calculated on the basis of the IPO Price, multiplied by 85%, which is the percentage of the price per share applicable to purchases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1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jpe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22" Type="http://schemas.openxmlformats.org/officeDocument/2006/relationships/hyperlink" Target="http://www.sec.gov/Archives/edgar/data/2042347/000119312526178716/d73463dex33.htm" TargetMode="External"/><Relationship Id="rId23" Type="http://schemas.openxmlformats.org/officeDocument/2006/relationships/hyperlink" Target="http://www.sec.gov/Archives/edgar/data/2042347/000119312526178716/d73463dex35.htm" TargetMode="External"/><Relationship Id="rId24" Type="http://schemas.openxmlformats.org/officeDocument/2006/relationships/hyperlink" Target="http://www.sec.gov/Archives/edgar/data/2042347/000119312526151211/d73463dex42.htm" TargetMode="External"/><Relationship Id="rId25" Type="http://schemas.openxmlformats.org/officeDocument/2006/relationships/hyperlink" Target="http://www.sec.gov/Archives/edgar/data/2042347/000119312526151211/d73463dex41.htm" TargetMode="External"/><Relationship Id="rId26" Type="http://schemas.openxmlformats.org/officeDocument/2006/relationships/hyperlink" Target="http://www.sec.gov/Archives/edgar/data/2042347/000119312526178716/d73463dex102.htm" TargetMode="External"/><Relationship Id="rId27" Type="http://schemas.openxmlformats.org/officeDocument/2006/relationships/hyperlink" Target="http://www.sec.gov/Archives/edgar/data/2042347/000119312526151211/d73463dex101.htm" TargetMode="External"/><Relationship Id="rId28" Type="http://schemas.openxmlformats.org/officeDocument/2006/relationships/hyperlink" Target="http://www.sec.gov/Archives/edgar/data/2042347/000119312526178716/d7346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2026-05-04T05:10:34Z</dcterms:created>
  <dcterms:modified xsi:type="dcterms:W3CDTF">2026-05-04T05:10:34Z</dcterms:modified>
</cp:coreProperties>
</file>