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April 10, 2026.</w:t>
      </w:r>
    </w:p>
    <w:p>
      <w:pPr>
        <w:spacing w:after="0" w:line="92"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4470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100330</wp:posOffset>
            </wp:positionV>
            <wp:extent cx="54470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6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111125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32"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118110</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Seaport Therapeutics, Inc.</w:t>
      </w:r>
    </w:p>
    <w:p>
      <w:pPr>
        <w:spacing w:after="0" w:line="3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117475</wp:posOffset>
            </wp:positionV>
            <wp:extent cx="1141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89" w:lineRule="exact"/>
        <w:rPr>
          <w:sz w:val="24"/>
          <w:szCs w:val="24"/>
          <w:color w:val="auto"/>
        </w:rPr>
      </w:pPr>
    </w:p>
    <w:tbl>
      <w:tblPr>
        <w:tblLayout w:type="fixed"/>
        <w:tblInd w:w="2000" w:type="dxa"/>
        <w:tblCellMar>
          <w:top w:w="0" w:type="dxa"/>
          <w:left w:w="0" w:type="dxa"/>
          <w:bottom w:w="0" w:type="dxa"/>
          <w:right w:w="0" w:type="dxa"/>
        </w:tblCellMar>
      </w:tblPr>
      <w:tr>
        <w:trPr>
          <w:trHeight w:val="151"/>
        </w:trPr>
        <w:tc>
          <w:tcPr>
            <w:tcW w:w="2180" w:type="dxa"/>
            <w:vAlign w:val="bottom"/>
          </w:tcPr>
          <w:p>
            <w:pPr>
              <w:jc w:val="center"/>
              <w:ind w:right="642"/>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96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9"/>
              </w:rPr>
              <w:t>2834</w:t>
            </w:r>
          </w:p>
        </w:tc>
        <w:tc>
          <w:tcPr>
            <w:tcW w:w="1960" w:type="dxa"/>
            <w:vAlign w:val="bottom"/>
          </w:tcPr>
          <w:p>
            <w:pPr>
              <w:jc w:val="center"/>
              <w:ind w:left="782"/>
              <w:spacing w:after="0"/>
              <w:rPr>
                <w:sz w:val="20"/>
                <w:szCs w:val="20"/>
                <w:color w:val="auto"/>
              </w:rPr>
            </w:pPr>
            <w:r>
              <w:rPr>
                <w:rFonts w:ascii="Times New Roman" w:cs="Times New Roman" w:eastAsia="Times New Roman" w:hAnsi="Times New Roman"/>
                <w:sz w:val="13"/>
                <w:szCs w:val="13"/>
                <w:b w:val="1"/>
                <w:bCs w:val="1"/>
                <w:color w:val="auto"/>
                <w:w w:val="95"/>
              </w:rPr>
              <w:t>99-2235719</w:t>
            </w:r>
          </w:p>
        </w:tc>
      </w:tr>
      <w:tr>
        <w:trPr>
          <w:trHeight w:val="116"/>
        </w:trPr>
        <w:tc>
          <w:tcPr>
            <w:tcW w:w="2180" w:type="dxa"/>
            <w:vAlign w:val="bottom"/>
          </w:tcPr>
          <w:p>
            <w:pPr>
              <w:jc w:val="center"/>
              <w:ind w:right="642"/>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60" w:type="dxa"/>
            <w:vAlign w:val="bottom"/>
          </w:tcPr>
          <w:p>
            <w:pPr>
              <w:jc w:val="center"/>
              <w:ind w:right="82"/>
              <w:spacing w:after="0" w:line="116"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960" w:type="dxa"/>
            <w:vAlign w:val="bottom"/>
          </w:tcPr>
          <w:p>
            <w:pPr>
              <w:jc w:val="center"/>
              <w:ind w:left="782"/>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2180" w:type="dxa"/>
            <w:vAlign w:val="bottom"/>
          </w:tcPr>
          <w:p>
            <w:pPr>
              <w:jc w:val="center"/>
              <w:ind w:right="662"/>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60" w:type="dxa"/>
            <w:vAlign w:val="bottom"/>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960" w:type="dxa"/>
            <w:vAlign w:val="bottom"/>
          </w:tcPr>
          <w:p>
            <w:pPr>
              <w:jc w:val="center"/>
              <w:ind w:left="782"/>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Seaport Therapeutics, Inc.</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101 Seaport Blvd., Floor 12</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Boston, Massachusetts 02210</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(617) 807-4062</w:t>
      </w:r>
    </w:p>
    <w:p>
      <w:pPr>
        <w:spacing w:after="0" w:line="7"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49530</wp:posOffset>
            </wp:positionV>
            <wp:extent cx="1141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Daphne Zohar</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Seaport Therapeutics, Inc.</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101 Seaport Blvd., Floor 12</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Boston, Massachusetts 02210</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(617) 807-4062</w:t>
      </w:r>
    </w:p>
    <w:p>
      <w:pPr>
        <w:spacing w:after="0" w:line="7"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49530</wp:posOffset>
            </wp:positionV>
            <wp:extent cx="11417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40" w:lineRule="exact"/>
        <w:rPr>
          <w:sz w:val="24"/>
          <w:szCs w:val="24"/>
          <w:color w:val="auto"/>
        </w:rPr>
      </w:pPr>
    </w:p>
    <w:tbl>
      <w:tblPr>
        <w:tblLayout w:type="fixed"/>
        <w:tblInd w:w="274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38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244"/>
        </w:trPr>
        <w:tc>
          <w:tcPr>
            <w:tcW w:w="2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6"/>
              </w:rPr>
              <w:t>Mitchell S. Bloom</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5"/>
              </w:rPr>
              <w:t>Nathan Ajiashvili</w:t>
            </w:r>
          </w:p>
        </w:tc>
      </w:tr>
      <w:tr>
        <w:trPr>
          <w:trHeight w:val="158"/>
        </w:trPr>
        <w:tc>
          <w:tcPr>
            <w:tcW w:w="2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7"/>
              </w:rPr>
              <w:t>Benjamin K. Marsh</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5"/>
              </w:rPr>
              <w:t>Salvatore Vanchieri</w:t>
            </w:r>
          </w:p>
        </w:tc>
      </w:tr>
      <w:tr>
        <w:trPr>
          <w:trHeight w:val="158"/>
        </w:trPr>
        <w:tc>
          <w:tcPr>
            <w:tcW w:w="210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Kristen M. McCarthy</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6"/>
              </w:rPr>
              <w:t>Sandy Kugbei</w:t>
            </w:r>
          </w:p>
        </w:tc>
      </w:tr>
      <w:tr>
        <w:trPr>
          <w:trHeight w:val="158"/>
        </w:trPr>
        <w:tc>
          <w:tcPr>
            <w:tcW w:w="2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6"/>
              </w:rPr>
              <w:t>Goodwin Procter LLP</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58"/>
        </w:trPr>
        <w:tc>
          <w:tcPr>
            <w:tcW w:w="2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6"/>
              </w:rPr>
              <w:t>100 Northern Avenue</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6"/>
              </w:rPr>
              <w:t>1271 Avenue of the Americas</w:t>
            </w:r>
          </w:p>
        </w:tc>
      </w:tr>
      <w:tr>
        <w:trPr>
          <w:trHeight w:val="158"/>
        </w:trPr>
        <w:tc>
          <w:tcPr>
            <w:tcW w:w="2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7"/>
              </w:rPr>
              <w:t>Boston, Massachusetts 02210</w:t>
            </w:r>
          </w:p>
        </w:tc>
        <w:tc>
          <w:tcPr>
            <w:tcW w:w="3800" w:type="dxa"/>
            <w:vAlign w:val="bottom"/>
          </w:tcPr>
          <w:p>
            <w:pPr>
              <w:jc w:val="center"/>
              <w:ind w:left="2177"/>
              <w:spacing w:after="0"/>
              <w:rPr>
                <w:sz w:val="20"/>
                <w:szCs w:val="20"/>
                <w:color w:val="auto"/>
              </w:rPr>
            </w:pPr>
            <w:r>
              <w:rPr>
                <w:rFonts w:ascii="Times New Roman" w:cs="Times New Roman" w:eastAsia="Times New Roman" w:hAnsi="Times New Roman"/>
                <w:sz w:val="13"/>
                <w:szCs w:val="13"/>
                <w:b w:val="1"/>
                <w:bCs w:val="1"/>
                <w:color w:val="auto"/>
                <w:w w:val="95"/>
              </w:rPr>
              <w:t>New York, New York 10020</w:t>
            </w:r>
          </w:p>
        </w:tc>
      </w:tr>
      <w:tr>
        <w:trPr>
          <w:trHeight w:val="166"/>
        </w:trPr>
        <w:tc>
          <w:tcPr>
            <w:tcW w:w="2100" w:type="dxa"/>
            <w:vAlign w:val="bottom"/>
          </w:tcPr>
          <w:p>
            <w:pPr>
              <w:jc w:val="center"/>
              <w:ind w:right="477"/>
              <w:spacing w:after="0"/>
              <w:rPr>
                <w:sz w:val="20"/>
                <w:szCs w:val="20"/>
                <w:color w:val="auto"/>
              </w:rPr>
            </w:pPr>
            <w:r>
              <w:rPr>
                <w:rFonts w:ascii="Times New Roman" w:cs="Times New Roman" w:eastAsia="Times New Roman" w:hAnsi="Times New Roman"/>
                <w:sz w:val="13"/>
                <w:szCs w:val="13"/>
                <w:b w:val="1"/>
                <w:bCs w:val="1"/>
                <w:color w:val="auto"/>
                <w:w w:val="98"/>
              </w:rPr>
              <w:t>(617) 570-1000</w:t>
            </w:r>
          </w:p>
        </w:tc>
        <w:tc>
          <w:tcPr>
            <w:tcW w:w="3800" w:type="dxa"/>
            <w:vAlign w:val="bottom"/>
          </w:tcPr>
          <w:p>
            <w:pPr>
              <w:jc w:val="center"/>
              <w:ind w:left="2157"/>
              <w:spacing w:after="0"/>
              <w:rPr>
                <w:sz w:val="20"/>
                <w:szCs w:val="20"/>
                <w:color w:val="auto"/>
              </w:rPr>
            </w:pPr>
            <w:r>
              <w:rPr>
                <w:rFonts w:ascii="Times New Roman" w:cs="Times New Roman" w:eastAsia="Times New Roman" w:hAnsi="Times New Roman"/>
                <w:sz w:val="13"/>
                <w:szCs w:val="13"/>
                <w:b w:val="1"/>
                <w:bCs w:val="1"/>
                <w:color w:val="auto"/>
                <w:w w:val="95"/>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69215</wp:posOffset>
            </wp:positionV>
            <wp:extent cx="11417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7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As soon as practicable after this registration statement becomes effective.</w:t>
      </w:r>
    </w:p>
    <w:p>
      <w:pPr>
        <w:spacing w:after="0" w:line="94" w:lineRule="exact"/>
        <w:rPr>
          <w:sz w:val="24"/>
          <w:szCs w:val="24"/>
          <w:color w:val="auto"/>
        </w:rPr>
      </w:pPr>
    </w:p>
    <w:p>
      <w:pPr>
        <w:ind w:left="1360" w:right="35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3"/>
          <w:szCs w:val="13"/>
          <w:color w:val="auto"/>
        </w:rPr>
        <w:t>☐</w:t>
      </w:r>
    </w:p>
    <w:p>
      <w:pPr>
        <w:spacing w:after="0" w:line="58" w:lineRule="exact"/>
        <w:rPr>
          <w:sz w:val="24"/>
          <w:szCs w:val="24"/>
          <w:color w:val="auto"/>
        </w:rPr>
      </w:pPr>
    </w:p>
    <w:p>
      <w:pPr>
        <w:ind w:left="1360" w:right="43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1360" w:right="35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1360" w:right="33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jc w:val="both"/>
        <w:ind w:left="1360" w:right="299" w:firstLine="343"/>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1360" w:type="dxa"/>
        <w:tblCellMar>
          <w:top w:w="0" w:type="dxa"/>
          <w:left w:w="0" w:type="dxa"/>
          <w:bottom w:w="0" w:type="dxa"/>
          <w:right w:w="0" w:type="dxa"/>
        </w:tblCellMar>
      </w:tblPr>
      <w:tr>
        <w:trPr>
          <w:trHeight w:val="21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2"/>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2"/>
        </w:trPr>
        <w:tc>
          <w:tcPr>
            <w:tcW w:w="12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1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7" w:lineRule="exact"/>
        <w:rPr>
          <w:sz w:val="24"/>
          <w:szCs w:val="24"/>
          <w:color w:val="auto"/>
        </w:rPr>
      </w:pPr>
    </w:p>
    <w:p>
      <w:pPr>
        <w:ind w:left="1360" w:right="55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56" w:lineRule="exact"/>
        <w:rPr>
          <w:sz w:val="24"/>
          <w:szCs w:val="24"/>
          <w:color w:val="auto"/>
        </w:rPr>
      </w:pPr>
    </w:p>
    <w:p>
      <w:pPr>
        <w:ind w:left="1360" w:right="299" w:firstLine="343"/>
        <w:spacing w:after="0" w:line="262"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60960</wp:posOffset>
            </wp:positionV>
            <wp:extent cx="54470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93980</wp:posOffset>
            </wp:positionV>
            <wp:extent cx="54470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290" w:type="dxa"/>
        <w:tblCellMar>
          <w:top w:w="0" w:type="dxa"/>
          <w:left w:w="0" w:type="dxa"/>
          <w:bottom w:w="0" w:type="dxa"/>
          <w:right w:w="0" w:type="dxa"/>
        </w:tblCellMar>
      </w:tblPr>
      <w:tr>
        <w:trPr>
          <w:trHeight w:val="8760"/>
        </w:trPr>
        <w:tc>
          <w:tcPr>
            <w:tcW w:w="471" w:type="dxa"/>
            <w:vAlign w:val="bottom"/>
            <w:textDirection w:val="btLr"/>
          </w:tcPr>
          <w:p>
            <w:pPr>
              <w:spacing w:after="0" w:line="252" w:lineRule="auto"/>
              <w:rPr>
                <w:sz w:val="20"/>
                <w:szCs w:val="20"/>
                <w:color w:val="auto"/>
              </w:rPr>
            </w:pPr>
            <w:r>
              <w:rPr>
                <w:rFonts w:ascii="Arial" w:cs="Arial" w:eastAsia="Arial" w:hAnsi="Arial"/>
                <w:sz w:val="13"/>
                <w:szCs w:val="13"/>
                <w:b w:val="1"/>
                <w:bCs w:val="1"/>
                <w:color w:val="DE1A1E"/>
              </w:rPr>
              <w:t>and it is not soliciting an offer to buy these securities in any state or other jurisdiction where the offer or sale is not permitted.</w:t>
            </w:r>
            <w:r>
              <w:rPr>
                <w:rFonts w:ascii="Arial" w:cs="Arial" w:eastAsia="Arial" w:hAnsi="Arial"/>
                <w:sz w:val="9"/>
                <w:szCs w:val="9"/>
                <w:b w:val="1"/>
                <w:bCs w:val="1"/>
                <w:color w:val="DE1A1E"/>
              </w:rPr>
              <w:t>1</w:t>
            </w:r>
            <w:r>
              <w:rPr>
                <w:rFonts w:ascii="Arial" w:cs="Arial" w:eastAsia="Arial" w:hAnsi="Arial"/>
                <w:sz w:val="13"/>
                <w:szCs w:val="13"/>
                <w:b w:val="1"/>
                <w:bCs w:val="1"/>
                <w:color w:val="DE1A1E"/>
              </w:rPr>
              <w:t xml:space="preserve"> statement filed with the Securities and Exchange Commission is effective. This preliminary prospectus is not an offer to sell these securities The information in this preliminary prospectus is not complete and may be changed. We may not sell these securities until the registration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DE1A1E"/>
        </w:rPr>
        <w:t>Subject to Completion, Dated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-591820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17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135255</wp:posOffset>
            </wp:positionV>
            <wp:extent cx="1915795" cy="720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157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8"/>
          <w:szCs w:val="2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197485</wp:posOffset>
            </wp:positionV>
            <wp:extent cx="96774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774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319" w:firstLine="289"/>
        <w:spacing w:after="0" w:line="283" w:lineRule="auto"/>
        <w:rPr>
          <w:sz w:val="20"/>
          <w:szCs w:val="20"/>
          <w:color w:val="auto"/>
        </w:rPr>
      </w:pPr>
      <w:r>
        <w:rPr>
          <w:rFonts w:ascii="Times New Roman" w:cs="Times New Roman" w:eastAsia="Times New Roman" w:hAnsi="Times New Roman"/>
          <w:sz w:val="14"/>
          <w:szCs w:val="14"/>
          <w:color w:val="auto"/>
        </w:rPr>
        <w:t>This is an initial public offering of shares of common stock of Seaport Therapeutics, Inc. We are offering           shares of our common stock.</w:t>
      </w:r>
    </w:p>
    <w:p>
      <w:pPr>
        <w:spacing w:after="0" w:line="125" w:lineRule="exact"/>
        <w:rPr>
          <w:sz w:val="20"/>
          <w:szCs w:val="20"/>
          <w:color w:val="auto"/>
        </w:rPr>
      </w:pPr>
    </w:p>
    <w:p>
      <w:pPr>
        <w:ind w:right="979" w:firstLine="289"/>
        <w:spacing w:after="0" w:line="261"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It is currently estimated that the initial public offering price per share will be between $          and $          . We have applied to list our common stock on the Nasdaq Global Market under the symbol “SPTX.” We believe that upon the completion of this offering, we will meet the standards for listing on the Nasdaq Global Market, and the completion of this offering is contingent upon such listing.</w:t>
      </w:r>
    </w:p>
    <w:p>
      <w:pPr>
        <w:spacing w:after="0" w:line="141" w:lineRule="exact"/>
        <w:rPr>
          <w:sz w:val="20"/>
          <w:szCs w:val="20"/>
          <w:color w:val="auto"/>
        </w:rPr>
      </w:pPr>
    </w:p>
    <w:p>
      <w:pPr>
        <w:ind w:right="979" w:firstLine="289"/>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and “smaller reporting company” as defined under the U.S. federal securities laws and, as such, we have elected to comply with certain reduced public company reporting requirements in this prospectus. For additional information, see the section titled “Prospectus Summary—Implications of Being an Emerging Growth Company and a Smaller Reporting Company.”</w:t>
      </w:r>
    </w:p>
    <w:p>
      <w:pPr>
        <w:spacing w:after="0" w:line="139" w:lineRule="exact"/>
        <w:rPr>
          <w:sz w:val="20"/>
          <w:szCs w:val="20"/>
          <w:color w:val="auto"/>
        </w:rPr>
      </w:pPr>
    </w:p>
    <w:p>
      <w:pPr>
        <w:ind w:right="1199" w:firstLine="289"/>
        <w:spacing w:after="0" w:line="286" w:lineRule="auto"/>
        <w:rPr>
          <w:sz w:val="20"/>
          <w:szCs w:val="20"/>
          <w:color w:val="auto"/>
        </w:rPr>
      </w:pPr>
      <w:r>
        <w:rPr>
          <w:rFonts w:ascii="Times New Roman" w:cs="Times New Roman" w:eastAsia="Times New Roman" w:hAnsi="Times New Roman"/>
          <w:sz w:val="14"/>
          <w:szCs w:val="14"/>
          <w:b w:val="1"/>
          <w:bCs w:val="1"/>
          <w:color w:val="auto"/>
        </w:rPr>
        <w:t>Investing in our common stock involves a high degree of risk. See the section titled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17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160655</wp:posOffset>
            </wp:positionV>
            <wp:extent cx="9677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7740" cy="6985"/>
                    </a:xfrm>
                    <a:prstGeom prst="rect">
                      <a:avLst/>
                    </a:prstGeom>
                    <a:noFill/>
                  </pic:spPr>
                </pic:pic>
              </a:graphicData>
            </a:graphic>
          </wp:anchor>
        </w:drawing>
      </w:r>
    </w:p>
    <w:p>
      <w:pPr>
        <w:spacing w:after="0" w:line="395" w:lineRule="exact"/>
        <w:rPr>
          <w:sz w:val="20"/>
          <w:szCs w:val="20"/>
          <w:color w:val="auto"/>
        </w:rPr>
      </w:pPr>
    </w:p>
    <w:p>
      <w:pPr>
        <w:ind w:right="979" w:firstLine="289"/>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35"/>
        </w:trPr>
        <w:tc>
          <w:tcPr>
            <w:tcW w:w="39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r>
      <w:tr>
        <w:trPr>
          <w:trHeight w:val="159"/>
        </w:trPr>
        <w:tc>
          <w:tcPr>
            <w:tcW w:w="39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Initial public offering price</w:t>
            </w: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6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3"/>
                <w:szCs w:val="13"/>
                <w:color w:val="auto"/>
              </w:rPr>
            </w:pPr>
          </w:p>
        </w:tc>
      </w:tr>
      <w:tr>
        <w:trPr>
          <w:trHeight w:val="168"/>
        </w:trPr>
        <w:tc>
          <w:tcPr>
            <w:tcW w:w="39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Underwriting discounts and commissions </w:t>
            </w:r>
            <w:r>
              <w:rPr>
                <w:rFonts w:ascii="Times New Roman" w:cs="Times New Roman" w:eastAsia="Times New Roman" w:hAnsi="Times New Roman"/>
                <w:sz w:val="19"/>
                <w:szCs w:val="19"/>
                <w:color w:val="auto"/>
                <w:vertAlign w:val="superscript"/>
              </w:rPr>
              <w:t>(1)</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Seaport Therapeutics, Inc.</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5003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0380" cy="6985"/>
                    </a:xfrm>
                    <a:prstGeom prst="rect">
                      <a:avLst/>
                    </a:prstGeom>
                    <a:noFill/>
                  </pic:spPr>
                </pic:pic>
              </a:graphicData>
            </a:graphic>
          </wp:anchor>
        </w:drawing>
      </w:r>
    </w:p>
    <w:p>
      <w:pPr>
        <w:spacing w:after="0" w:line="11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For additional information regarding compensation payable to the underwriters, see the section titled “Underwriting.”</w:t>
      </w:r>
    </w:p>
    <w:p>
      <w:pPr>
        <w:spacing w:after="0" w:line="175" w:lineRule="exact"/>
        <w:rPr>
          <w:sz w:val="20"/>
          <w:szCs w:val="20"/>
          <w:color w:val="auto"/>
        </w:rPr>
      </w:pPr>
    </w:p>
    <w:p>
      <w:pPr>
        <w:ind w:right="979" w:firstLine="289"/>
        <w:spacing w:after="0" w:line="283" w:lineRule="auto"/>
        <w:rPr>
          <w:sz w:val="20"/>
          <w:szCs w:val="20"/>
          <w:color w:val="auto"/>
        </w:rPr>
      </w:pPr>
      <w:r>
        <w:rPr>
          <w:rFonts w:ascii="Times New Roman" w:cs="Times New Roman" w:eastAsia="Times New Roman" w:hAnsi="Times New Roman"/>
          <w:sz w:val="14"/>
          <w:szCs w:val="14"/>
          <w:color w:val="auto"/>
        </w:rPr>
        <w:t>We have granted the underwriters the option to purchase up to an additional         shares of common stock from us, at the initial public offering price, less the underwriting discounts and commissions.</w:t>
      </w:r>
    </w:p>
    <w:p>
      <w:pPr>
        <w:spacing w:after="0" w:line="125" w:lineRule="exact"/>
        <w:rPr>
          <w:sz w:val="20"/>
          <w:szCs w:val="20"/>
          <w:color w:val="auto"/>
        </w:rPr>
      </w:pPr>
    </w:p>
    <w:p>
      <w:pPr>
        <w:jc w:val="both"/>
        <w:ind w:right="1079" w:firstLine="289"/>
        <w:spacing w:after="0" w:line="267" w:lineRule="auto"/>
        <w:rPr>
          <w:sz w:val="20"/>
          <w:szCs w:val="20"/>
          <w:color w:val="auto"/>
        </w:rPr>
      </w:pPr>
      <w:r>
        <w:rPr>
          <w:rFonts w:ascii="Times New Roman" w:cs="Times New Roman" w:eastAsia="Times New Roman" w:hAnsi="Times New Roman"/>
          <w:sz w:val="14"/>
          <w:szCs w:val="14"/>
          <w:color w:val="auto"/>
        </w:rPr>
        <w:t>At our request, the underwriters have reserved up to     % of the shares offered by this prospectus for sale, at the initial public offering price, to our directors, officers, certain employees and certain other persons associated with us. See the section “</w:t>
      </w:r>
      <w:r>
        <w:rPr>
          <w:rFonts w:ascii="Times New Roman" w:cs="Times New Roman" w:eastAsia="Times New Roman" w:hAnsi="Times New Roman"/>
          <w:sz w:val="14"/>
          <w:szCs w:val="14"/>
          <w:i w:val="1"/>
          <w:iCs w:val="1"/>
          <w:color w:val="auto"/>
        </w:rPr>
        <w:t>Underwriting—Directed Share Program</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underwriters expect to deliver the shares against payment on or about             , 2026.</w:t>
      </w:r>
    </w:p>
    <w:p>
      <w:pPr>
        <w:spacing w:after="0" w:line="183" w:lineRule="exact"/>
        <w:rPr>
          <w:sz w:val="20"/>
          <w:szCs w:val="20"/>
          <w:color w:val="auto"/>
        </w:rPr>
      </w:pPr>
    </w:p>
    <w:p>
      <w:pPr>
        <w:spacing w:after="0"/>
        <w:tabs>
          <w:tab w:leader="none" w:pos="2880" w:val="left"/>
          <w:tab w:leader="none" w:pos="4140" w:val="left"/>
          <w:tab w:leader="none" w:pos="5740" w:val="left"/>
          <w:tab w:leader="none" w:pos="6760" w:val="left"/>
        </w:tabs>
        <w:rPr>
          <w:sz w:val="20"/>
          <w:szCs w:val="20"/>
          <w:color w:val="auto"/>
        </w:rPr>
      </w:pPr>
      <w:r>
        <w:rPr>
          <w:rFonts w:ascii="Times New Roman" w:cs="Times New Roman" w:eastAsia="Times New Roman" w:hAnsi="Times New Roman"/>
          <w:sz w:val="18"/>
          <w:szCs w:val="18"/>
          <w:b w:val="1"/>
          <w:bCs w:val="1"/>
          <w:color w:val="auto"/>
        </w:rPr>
        <w:t>Goldman Sachs &amp; Co. LLC</w:t>
      </w:r>
      <w:r>
        <w:rPr>
          <w:sz w:val="20"/>
          <w:szCs w:val="20"/>
          <w:color w:val="auto"/>
        </w:rPr>
        <w:tab/>
      </w:r>
      <w:r>
        <w:rPr>
          <w:rFonts w:ascii="Times New Roman" w:cs="Times New Roman" w:eastAsia="Times New Roman" w:hAnsi="Times New Roman"/>
          <w:sz w:val="18"/>
          <w:szCs w:val="18"/>
          <w:b w:val="1"/>
          <w:bCs w:val="1"/>
          <w:color w:val="auto"/>
        </w:rPr>
        <w:t>J.P. Morgan</w:t>
      </w:r>
      <w:r>
        <w:rPr>
          <w:sz w:val="20"/>
          <w:szCs w:val="20"/>
          <w:color w:val="auto"/>
        </w:rPr>
        <w:tab/>
      </w:r>
      <w:r>
        <w:rPr>
          <w:rFonts w:ascii="Times New Roman" w:cs="Times New Roman" w:eastAsia="Times New Roman" w:hAnsi="Times New Roman"/>
          <w:sz w:val="18"/>
          <w:szCs w:val="18"/>
          <w:b w:val="1"/>
          <w:bCs w:val="1"/>
          <w:color w:val="auto"/>
        </w:rPr>
        <w:t>Leerink Partners</w:t>
        <w:tab/>
        <w:t>Citigroup</w:t>
        <w:tab/>
        <w:t>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193675</wp:posOffset>
            </wp:positionV>
            <wp:extent cx="9677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7740"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Prospectus dated             , 2026</w:t>
      </w:r>
    </w:p>
    <w:p>
      <w:pPr>
        <w:sectPr>
          <w:pgSz w:w="11900" w:h="16838" w:orient="portrait"/>
          <w:cols w:equalWidth="0" w:num="2">
            <w:col w:w="1761" w:space="259"/>
            <w:col w:w="813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1620" w:type="dxa"/>
            <w:vAlign w:val="bottom"/>
            <w:tcBorders>
              <w:bottom w:val="single" w:sz="8" w:color="0000EE"/>
            </w:tcBorders>
            <w:gridSpan w:val="11"/>
          </w:tcPr>
          <w:p>
            <w:pPr>
              <w:spacing w:after="0" w:line="151"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6000" w:type="dxa"/>
            <w:vAlign w:val="bottom"/>
            <w:gridSpan w:val="12"/>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RISK FACTORS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101</w:t>
            </w:r>
          </w:p>
        </w:tc>
      </w:tr>
      <w:tr>
        <w:trPr>
          <w:trHeight w:val="148"/>
        </w:trPr>
        <w:tc>
          <w:tcPr>
            <w:tcW w:w="1240" w:type="dxa"/>
            <w:vAlign w:val="bottom"/>
            <w:tcBorders>
              <w:top w:val="single" w:sz="8" w:color="0000EE"/>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9"/>
              </w:rPr>
              <w:t>USE OF PROCEEDS</w:t>
            </w:r>
          </w:p>
        </w:tc>
        <w:tc>
          <w:tcPr>
            <w:tcW w:w="2900" w:type="dxa"/>
            <w:vAlign w:val="bottom"/>
            <w:tcBorders>
              <w:top w:val="single" w:sz="8" w:color="0000EE"/>
            </w:tcBorders>
            <w:gridSpan w:val="9"/>
          </w:tcPr>
          <w:p>
            <w:pPr>
              <w:spacing w:after="0"/>
              <w:rPr>
                <w:sz w:val="12"/>
                <w:szCs w:val="12"/>
                <w:color w:val="auto"/>
              </w:rPr>
            </w:pPr>
          </w:p>
        </w:tc>
        <w:tc>
          <w:tcPr>
            <w:tcW w:w="3480" w:type="dxa"/>
            <w:vAlign w:val="bottom"/>
            <w:gridSpan w:val="4"/>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103</w:t>
            </w: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DIVIDEND POLICY</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105</w:t>
            </w:r>
          </w:p>
        </w:tc>
      </w:tr>
      <w:tr>
        <w:trPr>
          <w:trHeight w:val="148"/>
        </w:trPr>
        <w:tc>
          <w:tcPr>
            <w:tcW w:w="1140" w:type="dxa"/>
            <w:vAlign w:val="bottom"/>
            <w:tcBorders>
              <w:top w:val="single" w:sz="8" w:color="0000EE"/>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6"/>
              </w:rPr>
              <w:t>CAPITALIZATION</w:t>
            </w:r>
          </w:p>
        </w:tc>
        <w:tc>
          <w:tcPr>
            <w:tcW w:w="80" w:type="dxa"/>
            <w:vAlign w:val="bottom"/>
            <w:tcBorders>
              <w:top w:val="single" w:sz="8" w:color="0000EE"/>
            </w:tcBorders>
          </w:tcPr>
          <w:p>
            <w:pPr>
              <w:spacing w:after="0"/>
              <w:rPr>
                <w:sz w:val="12"/>
                <w:szCs w:val="12"/>
                <w:color w:val="auto"/>
              </w:rPr>
            </w:pPr>
          </w:p>
        </w:tc>
        <w:tc>
          <w:tcPr>
            <w:tcW w:w="6400" w:type="dxa"/>
            <w:vAlign w:val="bottom"/>
            <w:gridSpan w:val="14"/>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106</w:t>
            </w:r>
          </w:p>
        </w:tc>
      </w:tr>
      <w:tr>
        <w:trPr>
          <w:trHeight w:val="148"/>
        </w:trPr>
        <w:tc>
          <w:tcPr>
            <w:tcW w:w="68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8"/>
              </w:rPr>
              <w:t>DILUTION</w:t>
            </w:r>
          </w:p>
        </w:tc>
        <w:tc>
          <w:tcPr>
            <w:tcW w:w="6940" w:type="dxa"/>
            <w:vAlign w:val="bottom"/>
            <w:gridSpan w:val="20"/>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108</w:t>
            </w:r>
          </w:p>
        </w:tc>
      </w:tr>
      <w:tr>
        <w:trPr>
          <w:trHeight w:val="148"/>
        </w:trPr>
        <w:tc>
          <w:tcPr>
            <w:tcW w:w="6940" w:type="dxa"/>
            <w:vAlign w:val="bottom"/>
            <w:tcBorders>
              <w:bottom w:val="single" w:sz="8" w:color="0000EE"/>
            </w:tcBorders>
            <w:gridSpan w:val="22"/>
          </w:tcPr>
          <w:p>
            <w:pPr>
              <w:spacing w:after="0" w:line="148" w:lineRule="exact"/>
              <w:rPr>
                <w:sz w:val="20"/>
                <w:szCs w:val="20"/>
                <w:color w:val="auto"/>
              </w:rPr>
            </w:pPr>
            <w:r>
              <w:rPr>
                <w:rFonts w:ascii="Times New Roman" w:cs="Times New Roman" w:eastAsia="Times New Roman" w:hAnsi="Times New Roman"/>
                <w:sz w:val="14"/>
                <w:szCs w:val="14"/>
                <w:color w:val="0000EE"/>
                <w:w w:val="99"/>
              </w:rPr>
              <w:t>MANAGEMENT’S DISCUSSION AND ANALYSIS OF FINANCIAL CONDITION AND RESULTS OF OPERATIONS</w:t>
            </w:r>
          </w:p>
        </w:tc>
        <w:tc>
          <w:tcPr>
            <w:tcW w:w="6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111</w:t>
            </w:r>
          </w:p>
        </w:tc>
      </w:tr>
      <w:tr>
        <w:trPr>
          <w:trHeight w:val="148"/>
        </w:trPr>
        <w:tc>
          <w:tcPr>
            <w:tcW w:w="66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BUSINESS</w:t>
            </w:r>
          </w:p>
        </w:tc>
        <w:tc>
          <w:tcPr>
            <w:tcW w:w="6960" w:type="dxa"/>
            <w:vAlign w:val="bottom"/>
            <w:gridSpan w:val="21"/>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127</w:t>
            </w: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MANAGEMENT</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183</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190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8"/>
              </w:rPr>
              <w:t>EXECUTIVE COMPENSATION</w:t>
            </w:r>
          </w:p>
        </w:tc>
        <w:tc>
          <w:tcPr>
            <w:tcW w:w="5720" w:type="dxa"/>
            <w:vAlign w:val="bottom"/>
            <w:gridSpan w:val="9"/>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195</w:t>
            </w:r>
          </w:p>
        </w:tc>
      </w:tr>
      <w:tr>
        <w:trPr>
          <w:trHeight w:val="148"/>
        </w:trPr>
        <w:tc>
          <w:tcPr>
            <w:tcW w:w="182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8"/>
              </w:rPr>
              <w:t>DIRECTOR COMPENSATION</w:t>
            </w:r>
          </w:p>
        </w:tc>
        <w:tc>
          <w:tcPr>
            <w:tcW w:w="5800" w:type="dxa"/>
            <w:vAlign w:val="bottom"/>
            <w:gridSpan w:val="11"/>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207</w:t>
            </w:r>
          </w:p>
        </w:tc>
      </w:tr>
      <w:tr>
        <w:trPr>
          <w:trHeight w:val="148"/>
        </w:trPr>
        <w:tc>
          <w:tcPr>
            <w:tcW w:w="4360" w:type="dxa"/>
            <w:vAlign w:val="bottom"/>
            <w:tcBorders>
              <w:bottom w:val="single" w:sz="8" w:color="0000EE"/>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EE"/>
                <w:w w:val="98"/>
              </w:rPr>
              <w:t>CERTAIN RELATIONSHIPS AND RELATED PERSON TRANSACTIONS</w:t>
            </w:r>
          </w:p>
        </w:tc>
        <w:tc>
          <w:tcPr>
            <w:tcW w:w="3260" w:type="dxa"/>
            <w:vAlign w:val="bottom"/>
            <w:gridSpan w:val="3"/>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209</w:t>
            </w: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PRINCIPAL STOCKHOLDERS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214</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218</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2480" w:type="dxa"/>
            <w:vAlign w:val="bottom"/>
            <w:tcBorders>
              <w:bottom w:val="single" w:sz="8" w:color="0000EE"/>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EE"/>
                <w:w w:val="99"/>
              </w:rPr>
              <w:t>SHARES ELIGIBLE FOR FUTURE SALE</w:t>
            </w:r>
          </w:p>
        </w:tc>
        <w:tc>
          <w:tcPr>
            <w:tcW w:w="5140" w:type="dxa"/>
            <w:vAlign w:val="bottom"/>
            <w:gridSpan w:val="7"/>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225</w:t>
            </w:r>
          </w:p>
        </w:tc>
      </w:tr>
      <w:tr>
        <w:trPr>
          <w:trHeight w:val="148"/>
        </w:trPr>
        <w:tc>
          <w:tcPr>
            <w:tcW w:w="5320" w:type="dxa"/>
            <w:vAlign w:val="bottom"/>
            <w:tcBorders>
              <w:bottom w:val="single" w:sz="8" w:color="0000EE"/>
            </w:tcBorders>
            <w:gridSpan w:val="21"/>
          </w:tcPr>
          <w:p>
            <w:pPr>
              <w:spacing w:after="0" w:line="148" w:lineRule="exact"/>
              <w:rPr>
                <w:sz w:val="20"/>
                <w:szCs w:val="20"/>
                <w:color w:val="auto"/>
              </w:rPr>
            </w:pPr>
            <w:r>
              <w:rPr>
                <w:rFonts w:ascii="Times New Roman" w:cs="Times New Roman" w:eastAsia="Times New Roman" w:hAnsi="Times New Roman"/>
                <w:sz w:val="14"/>
                <w:szCs w:val="14"/>
                <w:color w:val="0000EE"/>
                <w:w w:val="99"/>
              </w:rPr>
              <w:t>MATERIAL U.S. FEDERAL INCOME TAX CONSEQUENCES FOR NON-U.S. HOLDERS</w:t>
            </w:r>
          </w:p>
        </w:tc>
        <w:tc>
          <w:tcPr>
            <w:tcW w:w="2300" w:type="dxa"/>
            <w:vAlign w:val="bottom"/>
            <w:gridSpan w:val="2"/>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227</w:t>
            </w:r>
          </w:p>
        </w:tc>
      </w:tr>
      <w:tr>
        <w:trPr>
          <w:trHeight w:val="148"/>
        </w:trPr>
        <w:tc>
          <w:tcPr>
            <w:tcW w:w="108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7"/>
              </w:rPr>
              <w:t>UNDERWRITING</w:t>
            </w:r>
          </w:p>
        </w:tc>
        <w:tc>
          <w:tcPr>
            <w:tcW w:w="6540" w:type="dxa"/>
            <w:vAlign w:val="bottom"/>
            <w:gridSpan w:val="17"/>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231</w:t>
            </w: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238</w:t>
            </w:r>
          </w:p>
        </w:tc>
      </w:tr>
      <w:tr>
        <w:trPr>
          <w:trHeight w:val="148"/>
        </w:trPr>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6"/>
          </w:tcPr>
          <w:p>
            <w:pPr>
              <w:spacing w:after="0"/>
              <w:rPr>
                <w:sz w:val="12"/>
                <w:szCs w:val="12"/>
                <w:color w:val="auto"/>
              </w:rPr>
            </w:pPr>
          </w:p>
        </w:tc>
        <w:tc>
          <w:tcPr>
            <w:tcW w:w="6500" w:type="dxa"/>
            <w:vAlign w:val="bottom"/>
            <w:gridSpan w:val="16"/>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238</w:t>
            </w:r>
          </w:p>
        </w:tc>
      </w:tr>
      <w:tr>
        <w:trPr>
          <w:trHeight w:val="148"/>
        </w:trPr>
        <w:tc>
          <w:tcPr>
            <w:tcW w:w="3440" w:type="dxa"/>
            <w:vAlign w:val="bottom"/>
            <w:tcBorders>
              <w:bottom w:val="single" w:sz="8" w:color="0000EE"/>
            </w:tcBorders>
            <w:gridSpan w:val="17"/>
          </w:tcPr>
          <w:p>
            <w:pPr>
              <w:spacing w:after="0" w:line="148" w:lineRule="exact"/>
              <w:rPr>
                <w:sz w:val="20"/>
                <w:szCs w:val="20"/>
                <w:color w:val="auto"/>
              </w:rPr>
            </w:pPr>
            <w:r>
              <w:rPr>
                <w:rFonts w:ascii="Times New Roman" w:cs="Times New Roman" w:eastAsia="Times New Roman" w:hAnsi="Times New Roman"/>
                <w:sz w:val="14"/>
                <w:szCs w:val="14"/>
                <w:color w:val="0000EE"/>
                <w:w w:val="99"/>
              </w:rPr>
              <w:t>WHERE YOU CAN FIND ADDITIONAL INFORMATION</w:t>
            </w:r>
          </w:p>
        </w:tc>
        <w:tc>
          <w:tcPr>
            <w:tcW w:w="4180" w:type="dxa"/>
            <w:vAlign w:val="bottom"/>
            <w:gridSpan w:val="6"/>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238</w:t>
            </w:r>
          </w:p>
        </w:tc>
      </w:tr>
      <w:tr>
        <w:trPr>
          <w:trHeight w:val="148"/>
        </w:trPr>
        <w:tc>
          <w:tcPr>
            <w:tcW w:w="762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0000EE"/>
              </w:rPr>
              <w:t>INDEX TO THE CONSOLIDATED FINANCIAL STATEMENTS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Unless otherwise indicated, all references in this prospectus to “Seaport,” the “company,” “we,” “our,” “us,” or similar terms refer to Seaport Therapeutics, Inc. and its wholly owned subsidiaries, or either or all of them as the context may require.</w:t>
      </w:r>
    </w:p>
    <w:p>
      <w:pPr>
        <w:spacing w:after="0" w:line="125"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4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41" w:lineRule="exact"/>
        <w:rPr>
          <w:sz w:val="20"/>
          <w:szCs w:val="20"/>
          <w:color w:val="auto"/>
        </w:rPr>
      </w:pPr>
    </w:p>
    <w:p>
      <w:pPr>
        <w:ind w:left="1360" w:right="259" w:firstLine="343"/>
        <w:spacing w:after="0" w:line="296" w:lineRule="auto"/>
        <w:rPr>
          <w:sz w:val="20"/>
          <w:szCs w:val="20"/>
          <w:color w:val="auto"/>
        </w:rPr>
      </w:pPr>
      <w:r>
        <w:rPr>
          <w:rFonts w:ascii="Times New Roman" w:cs="Times New Roman" w:eastAsia="Times New Roman" w:hAnsi="Times New Roman"/>
          <w:sz w:val="13"/>
          <w:szCs w:val="13"/>
          <w:color w:val="auto"/>
        </w:rPr>
        <w:t>We own, have applied for, or have rights to use one or more registered and common law trademarks, service marks, and/or trade names in connection with our business in the United States, which may be used throughout this prospectus. This prospectus also includes trademarks, tradenames, and service marks of third parties which are the property of their respective owners. Our use or display of third-parties’ trademarks, service marks,</w:t>
      </w:r>
    </w:p>
    <w:p>
      <w:pPr>
        <w:spacing w:after="0" w:line="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31" w:lineRule="auto"/>
        <w:rPr>
          <w:sz w:val="20"/>
          <w:szCs w:val="20"/>
          <w:color w:val="auto"/>
        </w:rPr>
      </w:pPr>
      <w:r>
        <w:rPr>
          <w:rFonts w:ascii="Times New Roman" w:cs="Times New Roman" w:eastAsia="Times New Roman" w:hAnsi="Times New Roman"/>
          <w:sz w:val="14"/>
          <w:szCs w:val="14"/>
          <w:color w:val="auto"/>
        </w:rPr>
        <w:t xml:space="preserve">tradenames, or products in this prospectus and our other public filings is not intended to, and does not imply a relationship with, or endorsement or sponsorship by us. Solely for convenience, the trademarks, service marks, logos and trade names referred to in this prospectus and our other public filings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TM or SM symbols, but the omission of such references is not intended to indicate, in any way, that we will not assert, to the fullest extent under applicable law, our rights, or the rights of the applicable owner of or licensor to these trademarks, service marks, and trade names.</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177"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77" w:lineRule="exact"/>
        <w:rPr>
          <w:sz w:val="20"/>
          <w:szCs w:val="20"/>
          <w:color w:val="auto"/>
        </w:rPr>
      </w:pPr>
    </w:p>
    <w:p>
      <w:pPr>
        <w:ind w:left="1360" w:right="239" w:firstLine="343"/>
        <w:spacing w:after="0" w:line="239" w:lineRule="auto"/>
        <w:rPr>
          <w:sz w:val="20"/>
          <w:szCs w:val="20"/>
          <w:color w:val="auto"/>
        </w:rPr>
      </w:pPr>
      <w:r>
        <w:rPr>
          <w:rFonts w:ascii="Times New Roman" w:cs="Times New Roman" w:eastAsia="Times New Roman" w:hAnsi="Times New Roman"/>
          <w:sz w:val="14"/>
          <w:szCs w:val="14"/>
          <w:color w:val="auto"/>
        </w:rPr>
        <w:t xml:space="preserve">We were incorporated under the laws of the State of Delaware as SP Therapeutics, Inc. on April 1, 2024 and changed our name to Seaport Therapeutics, Inc. on April 2, 2024. Our wholly owned subsidiary, SPTX, Inc., was a result of the incorporation of a predecessor company under the laws of the State of Delaware in February 2024 under the name Seaport Therapeutics, Inc., which subsequently changed its name to Seaport Therapeutics Holdings, Inc. in March 2024 and to SPTX, Inc. in April 2024. In April 2024, we entered into a share exchange agreement, or the Share Exchange Agreement, with SPTX, Inc., which resulted in SPTX, Inc. becoming our wholly owned subsidiary. On April 8, 2024, or the Asset Transfer Date,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their right, title, and interest in, to and under the assets related to its Glyph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technology or products, subject to the terms set forth in the Asset Transfer Agreement.</w:t>
      </w:r>
    </w:p>
    <w:p>
      <w:pPr>
        <w:spacing w:after="0" w:line="159"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financial statements presented in this prospectus for periods prior to the Asset Transfer Date, which are included in the consolidated financial statements for the year ended December 31, 2024, have been prepared on a “carve-out” basis from the financial statements of PureTech Health plc, or PureTech, to represent our financial position and performance as if we had existed on a standalone basis. The financial statements presented in this prospectus for periods from and after the Asset Transfer Date reflect our financial position and performance as a standalone entity. All of our assets, liabilities and expenses as of and for the periods prior to the Asset Transfer Date were identified based on the assets and liabilities contributed to us from PureTech, as well as indirect costs that were not specifically identifiable to us or our related programs but were considered necessary to operate as a standalone company. Management believes the assumptions underlying our carve-out financial statements are reasonable. Nevertheless, the carve-out financial statements may not include all of the actual expenses that would have been incurred had we operated as a standalone company during the periods presented, and may not reflect our results of operations, financial position, and cash flows had we operated as a standalone company during the periods presented. Actual costs that would have been incurred if we had operated as a standalone company would depend on multiple factors, including organizational structure and strategic decisions made in various areas.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351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3380" cy="4351655"/>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ind w:left="1500" w:right="379" w:firstLine="332"/>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500" w:right="399" w:firstLine="332"/>
        <w:spacing w:after="0" w:line="238" w:lineRule="auto"/>
        <w:rPr>
          <w:sz w:val="20"/>
          <w:szCs w:val="20"/>
          <w:color w:val="auto"/>
        </w:rPr>
      </w:pPr>
      <w:r>
        <w:rPr>
          <w:rFonts w:ascii="Times New Roman" w:cs="Times New Roman" w:eastAsia="Times New Roman" w:hAnsi="Times New Roman"/>
          <w:sz w:val="14"/>
          <w:szCs w:val="14"/>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platform to overcome those limitations and invent innovative oral therapies. Glyph is a lymphatic-targeting prodrug technology which is designed to bypass first-pass metabolism and thereby enhance a drug’s oral bioavailability and reduce side effects. This process, which we call “Glyphing,” also creates new composition of matter intellectual property. Our experienced team of industry leaders has a proven track record in neuropsychiatry drug discovery and development and delivering successful business outcomes. We aim to develop novel, leading treatment options that will make a significant impact for patients and their families.</w:t>
      </w:r>
    </w:p>
    <w:p>
      <w:pPr>
        <w:spacing w:after="0" w:line="157" w:lineRule="exact"/>
        <w:rPr>
          <w:sz w:val="20"/>
          <w:szCs w:val="20"/>
          <w:color w:val="auto"/>
        </w:rPr>
      </w:pPr>
    </w:p>
    <w:p>
      <w:pPr>
        <w:ind w:left="1500" w:right="399" w:firstLine="332"/>
        <w:spacing w:after="0" w:line="239" w:lineRule="auto"/>
        <w:rPr>
          <w:sz w:val="20"/>
          <w:szCs w:val="20"/>
          <w:color w:val="auto"/>
        </w:rPr>
      </w:pPr>
      <w:r>
        <w:rPr>
          <w:rFonts w:ascii="Times New Roman" w:cs="Times New Roman" w:eastAsia="Times New Roman" w:hAnsi="Times New Roman"/>
          <w:sz w:val="14"/>
          <w:szCs w:val="14"/>
          <w:color w:val="auto"/>
        </w:rPr>
        <w:t>Our lead product candidate, GlyphAllo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(SPT-300 or Glyph Allopregnanolone), is a novel, Glyphed oral prodrug of allopregnanolone, an endogenous molecule that has been clinically validated in third-party trials for the treatment of postpartum depression, or PPD, a form of major depressive disorder, or MDD, that shares symptomatology with MDD, as a rapidly acting antidepressant with anxiolytic and sleep-promoting effects. Additionally, an oral synthetic analog of allopregnanolone, zuranolone, demonstrated a rapid antidepressant effect that deepened while patients were on drug and met the primary endpoint in five of the six trials in MDD.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We have initiated the Phase 2b BUOY-1 trial in patients with MDD with or without anxious distress and anticipate topline data in the first half of 2027.</w:t>
      </w:r>
    </w:p>
    <w:p>
      <w:pPr>
        <w:spacing w:after="0" w:line="159" w:lineRule="exact"/>
        <w:rPr>
          <w:sz w:val="20"/>
          <w:szCs w:val="20"/>
          <w:color w:val="auto"/>
        </w:rPr>
      </w:pPr>
    </w:p>
    <w:p>
      <w:pPr>
        <w:ind w:left="1500" w:right="459" w:firstLine="332"/>
        <w:spacing w:after="0"/>
        <w:rPr>
          <w:sz w:val="20"/>
          <w:szCs w:val="20"/>
          <w:color w:val="auto"/>
        </w:rPr>
      </w:pPr>
      <w:r>
        <w:rPr>
          <w:rFonts w:ascii="Times New Roman" w:cs="Times New Roman" w:eastAsia="Times New Roman" w:hAnsi="Times New Roman"/>
          <w:sz w:val="14"/>
          <w:szCs w:val="14"/>
          <w:color w:val="auto"/>
        </w:rPr>
        <w:t>Our second product candidate, GlyphAgo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(SPT-320 or Glyph Agomelatine), is a novel, Glyphed oral prodrug of agomelatine, a clinically validated anxiolytic and antidepressant that is approved for the treatment of generalized anxiety disorder, or GAD, in Australia and MDD in Australia and the European Union, or EU. In April 2026, we reported topline data from the single-ascending dose, or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adverse events, or AEs, were observed. We plan to initiate a Phase 2a proof-of-pharmacology trial designed to evaluate the potential sleep benefit of GlyphAgo in patients with GAD and sleep disturbance, with topline data expected in early 2028 and, in parallel, a Phase 2b trial designed to evaluate efficacy and safety of GlyphAgo in patients with GAD, with topline data expected by the end of 2028.</w:t>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3604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3380" cy="3604260"/>
                    </a:xfrm>
                    <a:prstGeom prst="rect">
                      <a:avLst/>
                    </a:prstGeom>
                    <a:noFill/>
                  </pic:spPr>
                </pic:pic>
              </a:graphicData>
            </a:graphic>
          </wp:anchor>
        </w:drawing>
      </w:r>
    </w:p>
    <w:p>
      <w:pPr>
        <w:spacing w:after="0" w:line="368" w:lineRule="exact"/>
        <w:rPr>
          <w:sz w:val="20"/>
          <w:szCs w:val="20"/>
          <w:color w:val="auto"/>
        </w:rPr>
      </w:pPr>
    </w:p>
    <w:p>
      <w:pPr>
        <w:ind w:left="1500" w:right="579" w:firstLine="332"/>
        <w:spacing w:after="0" w:line="221" w:lineRule="auto"/>
        <w:rPr>
          <w:sz w:val="20"/>
          <w:szCs w:val="20"/>
          <w:color w:val="auto"/>
        </w:rPr>
      </w:pPr>
      <w:r>
        <w:rPr>
          <w:rFonts w:ascii="Times New Roman" w:cs="Times New Roman" w:eastAsia="Times New Roman" w:hAnsi="Times New Roman"/>
          <w:sz w:val="14"/>
          <w:szCs w:val="14"/>
          <w:color w:val="auto"/>
        </w:rPr>
        <w:t>We are also advancing Glyph2BLSD</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(SPT-348 or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54" w:lineRule="exact"/>
        <w:rPr>
          <w:sz w:val="20"/>
          <w:szCs w:val="20"/>
          <w:color w:val="auto"/>
        </w:rPr>
      </w:pPr>
    </w:p>
    <w:p>
      <w:pPr>
        <w:ind w:left="1500" w:right="399" w:firstLine="332"/>
        <w:spacing w:after="0" w:line="257" w:lineRule="auto"/>
        <w:rPr>
          <w:sz w:val="20"/>
          <w:szCs w:val="20"/>
          <w:color w:val="auto"/>
        </w:rPr>
      </w:pPr>
      <w:r>
        <w:rPr>
          <w:rFonts w:ascii="Times New Roman" w:cs="Times New Roman" w:eastAsia="Times New Roman" w:hAnsi="Times New Roman"/>
          <w:sz w:val="14"/>
          <w:szCs w:val="14"/>
          <w:color w:val="auto"/>
        </w:rPr>
        <w:t>Globally, over one billion people are living with mental illness as of 2021, comparable in prevalence to obesity or hypertension. According to the World Health Organization, as of 2021, depression affects approximately 332 million people worldwide and anxiety affects approximately 359 million people worldwide, and there is a significant need for novel treatment options. Currently approved drugs for MDD and GAD have significant limitations, including modest efficacy, slow onset of action, and unfavorable side effects. Advancement of novel therapies has been limited by a lack of understanding of disease pathophysiology, poor drug-like properties, and challenges in clinical trial design and execution leading to high clinical development failure rates.</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Differentiated Approach</w:t>
      </w:r>
    </w:p>
    <w:p>
      <w:pPr>
        <w:spacing w:after="0" w:line="93" w:lineRule="exact"/>
        <w:rPr>
          <w:sz w:val="20"/>
          <w:szCs w:val="20"/>
          <w:color w:val="auto"/>
        </w:rPr>
      </w:pPr>
    </w:p>
    <w:p>
      <w:pPr>
        <w:ind w:left="1500" w:right="399" w:firstLine="332"/>
        <w:spacing w:after="0" w:line="283" w:lineRule="auto"/>
        <w:rPr>
          <w:sz w:val="20"/>
          <w:szCs w:val="20"/>
          <w:color w:val="auto"/>
        </w:rPr>
      </w:pPr>
      <w:r>
        <w:rPr>
          <w:rFonts w:ascii="Times New Roman" w:cs="Times New Roman" w:eastAsia="Times New Roman" w:hAnsi="Times New Roman"/>
          <w:sz w:val="14"/>
          <w:szCs w:val="14"/>
          <w:color w:val="auto"/>
        </w:rPr>
        <w:t>We are uniquely positioned to overcome the challenges of developing medicines for depression, anxiety, and other neuropsychiatric disorders by leveraging our differentiated, three-pillar approach:</w:t>
      </w:r>
    </w:p>
    <w:p>
      <w:pPr>
        <w:spacing w:after="0" w:line="123" w:lineRule="exact"/>
        <w:rPr>
          <w:sz w:val="20"/>
          <w:szCs w:val="20"/>
          <w:color w:val="auto"/>
        </w:rPr>
      </w:pPr>
    </w:p>
    <w:p>
      <w:pPr>
        <w:ind w:left="1500" w:right="439" w:firstLine="332"/>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Identify clinically validated mechanisms held back by issues that can be addressed by our proprietary Glyph platform. </w:t>
      </w:r>
      <w:r>
        <w:rPr>
          <w:rFonts w:ascii="Times New Roman" w:cs="Times New Roman" w:eastAsia="Times New Roman" w:hAnsi="Times New Roman"/>
          <w:sz w:val="14"/>
          <w:szCs w:val="14"/>
          <w:color w:val="auto"/>
        </w:rPr>
        <w:t>We select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product candidates based on well-established clinical data, defined as demonstrated meaningful benefits compared to placebo in multiple randomized, placebo-controlled clinical trials in a large number of patients. We identify drugs matching this profile where clinical and commercial potential have been limited by high first-pass metabolism, low bioavailability, and/or side effects. We advance candidates that have the potential to be novel medicines and to impact a large number of patients.</w:t>
      </w:r>
    </w:p>
    <w:p>
      <w:pPr>
        <w:spacing w:after="0" w:line="141" w:lineRule="exact"/>
        <w:rPr>
          <w:sz w:val="20"/>
          <w:szCs w:val="20"/>
          <w:color w:val="auto"/>
        </w:rPr>
      </w:pPr>
    </w:p>
    <w:p>
      <w:pPr>
        <w:ind w:left="1500" w:right="459" w:firstLine="332"/>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Create novel medicines with strong intellectual property using Glyph</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Glyph is our proprietary technology platform which uses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lymphatic system to enable and enhance the oral administration of drugs. Typically, non-Glyphed oral small molecules undergo first-pass metabolism, where the concentration of drug is significantly reduced by metabolic enzymes in the liver prior to systemic circulation. First-pass metabolism can lead to low bioavailability (i.e., reduced concentration of active drug available to target organs) and/or side effects, including liver enzyme elevations or hepatotoxicity. Glyph leverages a separate absorption path taken by dietary fats. A Glyphed molecule uses this alternative route via the intestinal lymphatic system to bypass first-pass metabolism and transit directly into systemic circulation. The Glyph platform has the potential to be widely applied to many therapeutic molecules that have high first-pass metabolism. For each program, we use Glyph to create unique sets of prodrugs with differentiated profiles, and evaluate these prodrugs as potential candidates to advance into preclinical and clinical studies. Glyph has been applied to create novel product candidates for our pipeline resulting in new intellectual property, including composition of matter patents.</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3456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3380" cy="3456940"/>
                    </a:xfrm>
                    <a:prstGeom prst="rect">
                      <a:avLst/>
                    </a:prstGeom>
                    <a:noFill/>
                  </pic:spPr>
                </pic:pic>
              </a:graphicData>
            </a:graphic>
          </wp:anchor>
        </w:drawing>
      </w:r>
    </w:p>
    <w:p>
      <w:pPr>
        <w:spacing w:after="0" w:line="36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Benefits of Our Proprietary Glyph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00" w:right="399" w:firstLine="332"/>
        <w:spacing w:after="0" w:line="238" w:lineRule="auto"/>
        <w:rPr>
          <w:sz w:val="20"/>
          <w:szCs w:val="20"/>
          <w:color w:val="auto"/>
        </w:rPr>
      </w:pPr>
      <w:r>
        <w:rPr>
          <w:rFonts w:ascii="Times New Roman" w:cs="Times New Roman" w:eastAsia="Times New Roman" w:hAnsi="Times New Roman"/>
          <w:sz w:val="14"/>
          <w:szCs w:val="14"/>
          <w:b w:val="1"/>
          <w:bCs w:val="1"/>
          <w:i w:val="1"/>
          <w:iCs w:val="1"/>
          <w:color w:val="auto"/>
        </w:rPr>
        <w:t>Apply our team’s expertise to optimize the design and execution of clinical trials and drive successful business outcomes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team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comprised of industry leaders with a proven track record of building successful companies that have developed and commercialized innovative neuropsychiatric medicines. This includes Zyprexa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Cymbalta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Latuda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Zurzuvae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Cobenfy</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(xanomeline-trospium or KarXT), which was approved by the FDA in September 2024 and is the first new class of medicines in over 30 years for patients living with schizophrenia. Leveraging our team’s track record of success in neuropsychiatry discovery and clinical development is important as we select new product candidates and as we implement key design elements in our clinical trials to optimize treatment effect and duration and reduce placebo response. In parallel, we apply our deep experience in building successful companies to establish clear goals, drive strategic decision-making, and maintain financial discipline. Drawing on our track record of success in neuropsychiatry, we aim to drive successful outcomes for patients and shareholders.</w:t>
      </w:r>
    </w:p>
    <w:p>
      <w:pPr>
        <w:spacing w:after="0" w:line="2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11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3380" cy="511937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93" w:lineRule="exact"/>
        <w:rPr>
          <w:sz w:val="20"/>
          <w:szCs w:val="20"/>
          <w:color w:val="auto"/>
        </w:rPr>
      </w:pPr>
    </w:p>
    <w:p>
      <w:pPr>
        <w:ind w:left="1500" w:right="539" w:firstLine="332"/>
        <w:spacing w:after="0" w:line="283" w:lineRule="auto"/>
        <w:rPr>
          <w:sz w:val="20"/>
          <w:szCs w:val="20"/>
          <w:color w:val="auto"/>
        </w:rPr>
      </w:pPr>
      <w:r>
        <w:rPr>
          <w:rFonts w:ascii="Times New Roman" w:cs="Times New Roman" w:eastAsia="Times New Roman" w:hAnsi="Times New Roman"/>
          <w:sz w:val="14"/>
          <w:szCs w:val="14"/>
          <w:color w:val="auto"/>
        </w:rPr>
        <w:t>We are developing a pipeline of novel potential treatments for neuropsychiatric disorders with significant unmet need. We retain exclusive, worldwide development and commercialization rights to all of our product candidates and discovery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500" w:right="919" w:firstLine="332"/>
        <w:spacing w:after="0" w:line="283" w:lineRule="auto"/>
        <w:rPr>
          <w:sz w:val="20"/>
          <w:szCs w:val="20"/>
          <w:color w:val="auto"/>
        </w:rPr>
      </w:pPr>
      <w:r>
        <w:rPr>
          <w:rFonts w:ascii="Times New Roman" w:cs="Times New Roman" w:eastAsia="Times New Roman" w:hAnsi="Times New Roman"/>
          <w:sz w:val="14"/>
          <w:szCs w:val="14"/>
          <w:color w:val="auto"/>
        </w:rPr>
        <w:t>Glyph aims to unlock the therapeutic potential of drugs in CNS and beyond. In addition to our three lead candidates, we have robust discovery programs and multiple pipeline programs underway.</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GlyphAllo: Potential Differentiated Therapy for MDD</w:t>
      </w:r>
    </w:p>
    <w:p>
      <w:pPr>
        <w:spacing w:after="0" w:line="24" w:lineRule="exact"/>
        <w:rPr>
          <w:sz w:val="20"/>
          <w:szCs w:val="20"/>
          <w:color w:val="auto"/>
        </w:rPr>
      </w:pPr>
    </w:p>
    <w:p>
      <w:pPr>
        <w:jc w:val="both"/>
        <w:ind w:left="1500" w:right="399" w:firstLine="332"/>
        <w:spacing w:after="0" w:line="250" w:lineRule="auto"/>
        <w:rPr>
          <w:sz w:val="20"/>
          <w:szCs w:val="20"/>
          <w:color w:val="auto"/>
        </w:rPr>
      </w:pPr>
      <w:r>
        <w:rPr>
          <w:rFonts w:ascii="Times New Roman" w:cs="Times New Roman" w:eastAsia="Times New Roman" w:hAnsi="Times New Roman"/>
          <w:sz w:val="14"/>
          <w:szCs w:val="14"/>
          <w:color w:val="auto"/>
        </w:rPr>
        <w:t>GlyphAllo is a novel, Glyphed oral prodrug of allopregnanolone, an endogenous neurosteroid and gamma-aminobutyric acid A, or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positive allosteric modulator, or PAM. Allopregnanolone is a naturally occurring molecule that reduces stress, with levels that peak during the third trimester of pregnancy. An intravenous infusion formulation of allopregnanolone was approved for the treatment of PPD, a form of MDD.</w:t>
      </w:r>
    </w:p>
    <w:p>
      <w:pPr>
        <w:spacing w:after="0" w:line="2" w:lineRule="exact"/>
        <w:rPr>
          <w:sz w:val="20"/>
          <w:szCs w:val="20"/>
          <w:color w:val="auto"/>
        </w:rPr>
      </w:pPr>
    </w:p>
    <w:p>
      <w:pPr>
        <w:ind w:left="1500" w:right="399"/>
        <w:spacing w:after="0" w:line="236" w:lineRule="auto"/>
        <w:rPr>
          <w:sz w:val="20"/>
          <w:szCs w:val="20"/>
          <w:color w:val="auto"/>
        </w:rPr>
      </w:pPr>
      <w:r>
        <w:rPr>
          <w:rFonts w:ascii="Times New Roman" w:cs="Times New Roman" w:eastAsia="Times New Roman" w:hAnsi="Times New Roman"/>
          <w:sz w:val="14"/>
          <w:szCs w:val="14"/>
          <w:color w:val="auto"/>
        </w:rPr>
        <w:t>Allopregnanolone has been clinically validated in two third-party trials, which were sponsored by Sage Therapeutics in the United States for the treatment of PPD and powered for statistical significance, as a rapidly acting antidepressant with anxiolytic and sleep-promoting effects. Due to the shared symptomatology between MDD and PPD, we believe data for MDD are relevant from such third-party trials. In each trial, allopregnanolone demonstrated statistically significant results on the primary endpoint of change in baseline at 60 hours in the Hamilton Depression Rating Scale-17, or HAMD-17, a regulatory-standard depression severity rating scale. However, its scope of clinical use has been constrained by oral bioavailability limitations that the Glyph platform is uniquely designed to solve. For example, a previous third-party clinical trial showed that oral administration of allopregnanolone resulted in plasma exposure levels with an AUC</w:t>
      </w:r>
      <w:r>
        <w:rPr>
          <w:rFonts w:ascii="Times New Roman" w:cs="Times New Roman" w:eastAsia="Times New Roman" w:hAnsi="Times New Roman"/>
          <w:sz w:val="21"/>
          <w:szCs w:val="21"/>
          <w:color w:val="auto"/>
          <w:vertAlign w:val="subscript"/>
        </w:rPr>
        <w:t>inf</w:t>
      </w:r>
      <w:r>
        <w:rPr>
          <w:rFonts w:ascii="Times New Roman" w:cs="Times New Roman" w:eastAsia="Times New Roman" w:hAnsi="Times New Roman"/>
          <w:sz w:val="14"/>
          <w:szCs w:val="14"/>
          <w:color w:val="auto"/>
        </w:rPr>
        <w:t xml:space="preserve"> of 0.7 ng*hr/mL per 1 mg of allopregnanolone dosed.</w:t>
      </w:r>
    </w:p>
    <w:p>
      <w:pPr>
        <w:spacing w:after="0" w:line="2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GlyphAllo: Preclinical Results</w:t>
      </w:r>
    </w:p>
    <w:p>
      <w:pPr>
        <w:spacing w:after="0" w:line="93" w:lineRule="exact"/>
        <w:rPr>
          <w:sz w:val="20"/>
          <w:szCs w:val="20"/>
          <w:color w:val="auto"/>
        </w:rPr>
      </w:pPr>
    </w:p>
    <w:p>
      <w:pPr>
        <w:ind w:left="1500" w:right="499" w:firstLine="332"/>
        <w:spacing w:after="0" w:line="267" w:lineRule="auto"/>
        <w:rPr>
          <w:sz w:val="20"/>
          <w:szCs w:val="20"/>
          <w:color w:val="auto"/>
        </w:rPr>
      </w:pPr>
      <w:r>
        <w:rPr>
          <w:rFonts w:ascii="Times New Roman" w:cs="Times New Roman" w:eastAsia="Times New Roman" w:hAnsi="Times New Roman"/>
          <w:sz w:val="14"/>
          <w:szCs w:val="14"/>
          <w:color w:val="auto"/>
        </w:rPr>
        <w:t>In our preclinical studies conducted in non-human primates, or NHPs, oral dosing of GlyphAllo resulted in a greater than nine-fold increase in bioavailability compared to oral unmodified allopregnanolone over 24 hours. In these preclinical studies, evaluations of GlyphAllo and unmodified allopregnanolone were conducted simultaneously or sequentially using the same species.</w:t>
      </w:r>
    </w:p>
    <w:p>
      <w:pPr>
        <w:spacing w:after="0" w:line="2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GlyphAllo: Clinical Results</w:t>
      </w:r>
    </w:p>
    <w:p>
      <w:pPr>
        <w:spacing w:after="0" w:line="93" w:lineRule="exact"/>
        <w:rPr>
          <w:sz w:val="20"/>
          <w:szCs w:val="20"/>
          <w:color w:val="auto"/>
        </w:rPr>
      </w:pPr>
    </w:p>
    <w:p>
      <w:pPr>
        <w:ind w:left="1500" w:right="419" w:firstLine="332"/>
        <w:spacing w:after="0" w:line="227" w:lineRule="auto"/>
        <w:rPr>
          <w:sz w:val="20"/>
          <w:szCs w:val="20"/>
          <w:color w:val="auto"/>
        </w:rPr>
      </w:pPr>
      <w:r>
        <w:rPr>
          <w:rFonts w:ascii="Times New Roman" w:cs="Times New Roman" w:eastAsia="Times New Roman" w:hAnsi="Times New Roman"/>
          <w:sz w:val="14"/>
          <w:szCs w:val="14"/>
          <w:color w:val="auto"/>
        </w:rPr>
        <w:t>In our Phase 1 clinical trial conducted in Australia in 99 participants, GlyphAllo demonstrated therapeutically relevant exposures with a favorable tolerability profile that supports chronic dosing. No treatment-related severe or serious adverse events were reported. Oral administration of GlyphAllo in our Phase 1 trial of GlyphAllo resulted in plasma exposure levels with an AUC</w:t>
      </w:r>
      <w:r>
        <w:rPr>
          <w:rFonts w:ascii="Times New Roman" w:cs="Times New Roman" w:eastAsia="Times New Roman" w:hAnsi="Times New Roman"/>
          <w:sz w:val="21"/>
          <w:szCs w:val="21"/>
          <w:color w:val="auto"/>
          <w:vertAlign w:val="subscript"/>
        </w:rPr>
        <w:t>inf</w:t>
      </w:r>
      <w:r>
        <w:rPr>
          <w:rFonts w:ascii="Times New Roman" w:cs="Times New Roman" w:eastAsia="Times New Roman" w:hAnsi="Times New Roman"/>
          <w:sz w:val="14"/>
          <w:szCs w:val="14"/>
          <w:color w:val="auto"/>
        </w:rPr>
        <w:t xml:space="preserve"> of 6.6 ng*hr/mL per 1 mg of allopregnanolone dosed.</w:t>
      </w:r>
    </w:p>
    <w:p>
      <w:pPr>
        <w:spacing w:after="0" w:line="2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030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3380" cy="4030980"/>
                    </a:xfrm>
                    <a:prstGeom prst="rect">
                      <a:avLst/>
                    </a:prstGeom>
                    <a:noFill/>
                  </pic:spPr>
                </pic:pic>
              </a:graphicData>
            </a:graphic>
          </wp:anchor>
        </w:drawing>
      </w:r>
    </w:p>
    <w:p>
      <w:pPr>
        <w:spacing w:after="0" w:line="36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GlyphAllo has also demonstrated initial proof-of-concept in a Phase 2a randomized, placebo-controlled trial conducted in Australia in</w:t>
      </w:r>
    </w:p>
    <w:p>
      <w:pPr>
        <w:spacing w:after="0" w:line="22" w:lineRule="exact"/>
        <w:rPr>
          <w:sz w:val="20"/>
          <w:szCs w:val="20"/>
          <w:color w:val="auto"/>
        </w:rPr>
      </w:pPr>
    </w:p>
    <w:p>
      <w:pPr>
        <w:ind w:left="1500" w:right="379"/>
        <w:spacing w:after="0" w:line="251" w:lineRule="auto"/>
        <w:rPr>
          <w:sz w:val="20"/>
          <w:szCs w:val="20"/>
          <w:color w:val="auto"/>
        </w:rPr>
      </w:pPr>
      <w:r>
        <w:rPr>
          <w:rFonts w:ascii="Times New Roman" w:cs="Times New Roman" w:eastAsia="Times New Roman" w:hAnsi="Times New Roman"/>
          <w:sz w:val="14"/>
          <w:szCs w:val="14"/>
          <w:color w:val="auto"/>
        </w:rPr>
        <w:t>80 participants, using the Trier Social Stress Test, or TSST, a validated clinical model of anxiety in healthy volunteers. No severe or serious adverse events were reported. Based on these Phase 1 and Phase 2a data, we believe GlyphAllo has the potential to become a leading treatment for MDD. We advanced GlyphAllo into what we believe is a registration-enabling Phase 2b BUOY-1 trial conducted in the US and EU in July 2025. BUOY-1 is a global, randomized, double-blind, placebo-controlled trial evaluating the efficacy, safety, and tolerability of GlyphAllo in adults with MDD, with or without anxious distress. MDD with anxious distress is a form of MDD characterized by significant anxiety. Approximately 60% of patients with MDD meet the criteria for anxious distress. This trial is expected to enroll up to approximately 360 patients, randomized 1:1 to receive either GlyphAllo or placebo once-daily over a six-week treatment period. This randomized, double-blind, multiregional, placebo-controlled trial is designed to be registration-enabling, subject to review by the FDA and other comparable regulatory authorities, as an adequate and well-controlled investigation that seeks to help provide substantial evidence of effectiveness by assessing GlyphAllo’s efficacy and safety in several hundred patients. Additional clinical trials may be required prior to the submission of a new drug application even if this trial is successful or positive. The primary endpoint of the trial is the change from baseline at six weeks in HAMD-17. Following the initial treatment period, eligible patients may enter an open-label extension trial, in which all participants will receive GlyphAllo for up to six additional weeks.</w:t>
      </w:r>
    </w:p>
    <w:p>
      <w:pPr>
        <w:spacing w:after="0" w:line="152" w:lineRule="exact"/>
        <w:rPr>
          <w:sz w:val="20"/>
          <w:szCs w:val="20"/>
          <w:color w:val="auto"/>
        </w:rPr>
      </w:pPr>
    </w:p>
    <w:p>
      <w:pPr>
        <w:ind w:left="1500" w:right="379" w:firstLine="332"/>
        <w:spacing w:after="0" w:line="258" w:lineRule="auto"/>
        <w:rPr>
          <w:sz w:val="20"/>
          <w:szCs w:val="20"/>
          <w:color w:val="auto"/>
        </w:rPr>
      </w:pPr>
      <w:r>
        <w:rPr>
          <w:rFonts w:ascii="Times New Roman" w:cs="Times New Roman" w:eastAsia="Times New Roman" w:hAnsi="Times New Roman"/>
          <w:sz w:val="14"/>
          <w:szCs w:val="14"/>
          <w:color w:val="auto"/>
        </w:rPr>
        <w:t>Previous clinical development of allopregnanolone and its synthetic analog, which has been evaluated by Sage Therapeutics in multiple late-stage clinical trials for the treatment of MDD, has been generally hindered by poor oral bioavailability, safety concerns, and clinical trial design limitations. GlyphAllo is designed to enhance the oral bioavailability of allopregnanolone and achieve systemic exposures comparable to an intravenous infusion of allopregnanolone, with once-daily oral dosing. We believe our ongoing Phase 2b BUOY-1 trial improves upon the design of previous third-party clinical trials that evaluated a synthetic analog of allopregnanolone in several important ways.</w:t>
      </w:r>
    </w:p>
    <w:p>
      <w:pPr>
        <w:spacing w:after="0" w:line="144" w:lineRule="exact"/>
        <w:rPr>
          <w:sz w:val="20"/>
          <w:szCs w:val="20"/>
          <w:color w:val="auto"/>
        </w:rPr>
      </w:pPr>
    </w:p>
    <w:p>
      <w:pPr>
        <w:ind w:left="1500" w:right="399" w:firstLine="332"/>
        <w:spacing w:after="0" w:line="254" w:lineRule="auto"/>
        <w:rPr>
          <w:sz w:val="20"/>
          <w:szCs w:val="20"/>
          <w:color w:val="auto"/>
        </w:rPr>
      </w:pPr>
      <w:r>
        <w:rPr>
          <w:rFonts w:ascii="Times New Roman" w:cs="Times New Roman" w:eastAsia="Times New Roman" w:hAnsi="Times New Roman"/>
          <w:sz w:val="14"/>
          <w:szCs w:val="14"/>
          <w:color w:val="auto"/>
        </w:rPr>
        <w:t>We are improving durable efficacy by treating patients for the full six-week duration of the primary endpoint time frame, as opposed to previous trials that treated patients for only the first two weeks and assessed efficacy after six weeks. As allopregnanolone also has an anxiolytic effect, we are also enrolling patients that have MDD with or without anxious distress. To reduce placebo response, we are optimizing the frequency of clinician-administered assessments, as our comprehensive meta-analysis of recent antidepressant trials demonstrated that the frequency of these assessments is positively correlated with the magnitude of the placebo response in MDD trials. We are also including a single treatment arm and will flex dose to a target dose, similar to the strategy implemented at Karuna Therapeutics, since the number of active arms is positively associated with increased placebo response. Additionally, we are scrutinizing site selection and patient enrollment to ensure appropriate diagnosis and exclude inappropriate patients, including those with inflated baseline ratings and those who are concurrently participating in other studies. We expect topline data from the Phase 2b BUOY-1 trial in the first half of 2027.</w:t>
      </w:r>
    </w:p>
    <w:p>
      <w:pPr>
        <w:spacing w:after="0" w:line="2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GlyphAgo: Potential Differentiated Therapy for GAD</w:t>
      </w:r>
    </w:p>
    <w:p>
      <w:pPr>
        <w:spacing w:after="0" w:line="93" w:lineRule="exact"/>
        <w:rPr>
          <w:sz w:val="20"/>
          <w:szCs w:val="20"/>
          <w:color w:val="auto"/>
        </w:rPr>
      </w:pPr>
    </w:p>
    <w:p>
      <w:pPr>
        <w:ind w:left="1500" w:right="399" w:firstLine="332"/>
        <w:spacing w:after="0" w:line="261" w:lineRule="auto"/>
        <w:rPr>
          <w:sz w:val="20"/>
          <w:szCs w:val="20"/>
          <w:color w:val="auto"/>
        </w:rPr>
      </w:pPr>
      <w:r>
        <w:rPr>
          <w:rFonts w:ascii="Times New Roman" w:cs="Times New Roman" w:eastAsia="Times New Roman" w:hAnsi="Times New Roman"/>
          <w:sz w:val="14"/>
          <w:szCs w:val="14"/>
          <w:color w:val="auto"/>
        </w:rPr>
        <w:t>GlyphAgo is a novel, Glyphed oral prodrug of agomelatine that we are advancing in a key Phase 1 proof-of-concept trial for the treatment of GAD in Australia, in which we plan to enroll up to approximately 190 participants. Agomelatine, a clinically validated MT1/MT2 melatonin receptor agonist and serotonin 2C (5-HT2C) receptor antagonist, is an effective anxiolytic and antidepressant approved for the treatment of GAD in Australia and MDD in Australia and the EU. In GAD, agomelatine has demonstrated statistically significant</w:t>
      </w: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45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3380" cy="4458335"/>
                    </a:xfrm>
                    <a:prstGeom prst="rect">
                      <a:avLst/>
                    </a:prstGeom>
                    <a:noFill/>
                  </pic:spPr>
                </pic:pic>
              </a:graphicData>
            </a:graphic>
          </wp:anchor>
        </w:drawing>
      </w:r>
    </w:p>
    <w:p>
      <w:pPr>
        <w:spacing w:after="0" w:line="368" w:lineRule="exact"/>
        <w:rPr>
          <w:sz w:val="20"/>
          <w:szCs w:val="20"/>
          <w:color w:val="auto"/>
        </w:rPr>
      </w:pPr>
    </w:p>
    <w:p>
      <w:pPr>
        <w:ind w:left="1500" w:right="419"/>
        <w:spacing w:after="0"/>
        <w:rPr>
          <w:sz w:val="20"/>
          <w:szCs w:val="20"/>
          <w:color w:val="auto"/>
        </w:rPr>
      </w:pPr>
      <w:r>
        <w:rPr>
          <w:rFonts w:ascii="Times New Roman" w:cs="Times New Roman" w:eastAsia="Times New Roman" w:hAnsi="Times New Roman"/>
          <w:sz w:val="14"/>
          <w:szCs w:val="14"/>
          <w:color w:val="auto"/>
        </w:rPr>
        <w:t>separation from placebo in four third-party placebo-controlled studies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Based on two of the largest non-head-to- head literature meta-analyses of clinical trials of pharmacological agents for the treatment of GAD, agomelatine has been shown to have favorable efficacy and tolerability relative to other therapeutic agents. Specifically, in the first of these meta-analyses, which included two of the placebo-controlled studies of agomelatine, agomelatine was observed to have better efficacy and tolerability than certain standard-of-care drugs, such as selective serotonin-reuptake inhibitors, or SSRIs, which can result in sexual dysfunction and weight gain, and benzodiazepines, which can result in dependence and abuse. In the second of these meta-analyses, which included three of the placebo-controlled studies of agomelatine, agomelatine was found to be the most favorable drug in terms of both efficacy and tolerability among the analyzed competitors (venlafaxine, escitalopram, paroxetine, duloxetine, and pregabalin). However, despite this positive profile, over 90% of unmodified agomelatine is lost to first-pass liver metabolism and its use has been limited by dose-dependent liver enzyme elevations. Its label in both Australia and the EU requires liver function testing before initiating treatment, during treatment, and upon increasing the dose. Agomelatine is not approved in the United States.</w:t>
      </w:r>
    </w:p>
    <w:p>
      <w:pPr>
        <w:spacing w:after="0" w:line="160" w:lineRule="exact"/>
        <w:rPr>
          <w:sz w:val="20"/>
          <w:szCs w:val="20"/>
          <w:color w:val="auto"/>
        </w:rPr>
      </w:pPr>
    </w:p>
    <w:p>
      <w:pPr>
        <w:ind w:left="1500" w:right="419" w:firstLine="332"/>
        <w:spacing w:after="0" w:line="254" w:lineRule="auto"/>
        <w:rPr>
          <w:sz w:val="20"/>
          <w:szCs w:val="20"/>
          <w:color w:val="auto"/>
        </w:rPr>
      </w:pPr>
      <w:r>
        <w:rPr>
          <w:rFonts w:ascii="Times New Roman" w:cs="Times New Roman" w:eastAsia="Times New Roman" w:hAnsi="Times New Roman"/>
          <w:sz w:val="14"/>
          <w:szCs w:val="14"/>
          <w:color w:val="auto"/>
        </w:rPr>
        <w:t>Using our proprietary Glyph platform, GlyphAgo is designed to avoid first-pass liver metabolism and increase systemic exposure of agomelatine, enabling exposure levels of agomelatine that are effective in GAD but at a lower dose that reduces liver exposure and reduces or eliminates the need for liver function testing. Based on internal analyses, we believe a two-fold increase in the bioavailability of agomelatine with GlyphAgo dosing will reduce or eliminate liver enzyme elevations. In preclinical studies in NHPs we showed that oral dosing of GlyphAgo increased plasma exposure of agomelatine versus agomelatine alone above this two-fold target. Therefore, based on the data we have generated to date, we believe GlyphAgo has the potential to become a leading treatment for GAD. The ongoing Phase 1 trial will be conducted in multiple parts to evaluate the safety, tolerability, and pharmacokinetics of GlyphAgo and compare the pharmacokinetics of GlyphAgo to agomelatine alone. It will include single- and multiple-ascending dose cohorts, as well as a food-effect crossover portion, using both open-label and placebo-controlled designs.</w:t>
      </w:r>
    </w:p>
    <w:p>
      <w:pPr>
        <w:spacing w:after="0" w:line="149" w:lineRule="exact"/>
        <w:rPr>
          <w:sz w:val="20"/>
          <w:szCs w:val="20"/>
          <w:color w:val="auto"/>
        </w:rPr>
      </w:pPr>
    </w:p>
    <w:p>
      <w:pPr>
        <w:ind w:left="1500" w:right="439" w:firstLine="332"/>
        <w:spacing w:after="0" w:line="254" w:lineRule="auto"/>
        <w:rPr>
          <w:sz w:val="20"/>
          <w:szCs w:val="20"/>
          <w:color w:val="auto"/>
        </w:rPr>
      </w:pPr>
      <w:r>
        <w:rPr>
          <w:rFonts w:ascii="Times New Roman" w:cs="Times New Roman" w:eastAsia="Times New Roman" w:hAnsi="Times New Roman"/>
          <w:sz w:val="14"/>
          <w:szCs w:val="14"/>
          <w:color w:val="auto"/>
        </w:rPr>
        <w:t>In April 2026, we reported topline data from the SAD and crossover portions of our Phase 1 proof-of-concept clinical trial of GlyphAgo. In the head-to-head crossover portion of the trial, GlyphAgo demonstrated a 6.8-fold increase in bioavailability of agomelatine compared to unmodified orally administered agomelatine. GlyphAgo also showed significantly lower (10-fold) PK variability compared to unmodified agomelatine. The crossover portion included participants who were taking estrogen-containing oral contraceptives that are known to increase agomelatine exposure due to liver drug-drug interaction. In contrast, GlyphAgo exposure was unaffected by oral contraceptives, further supporting the ability of GlyphAgo to bypass first-pass liver metabolism. GlyphAgo demonstrated a 9.6 to 14.5-fold increase in dose-normalized exposure compared to agomelatine in a separate SAD portion of the trial in which no participants were on oral contraceptives. GlyphAgo was well tolerated and no liver-related AEs were observed. We plan to initiate a Phase 2a proof-of-pharmacology trial designed to evaluate the potential sleep benefit of GlyphAgo in patients with GAD and sleep disturbance, with topline data expected in early 2028.</w:t>
      </w:r>
    </w:p>
    <w:p>
      <w:pPr>
        <w:spacing w:after="0" w:line="149" w:lineRule="exact"/>
        <w:rPr>
          <w:sz w:val="20"/>
          <w:szCs w:val="20"/>
          <w:color w:val="auto"/>
        </w:rPr>
      </w:pPr>
    </w:p>
    <w:p>
      <w:pPr>
        <w:ind w:left="1500" w:right="559" w:firstLine="332"/>
        <w:spacing w:after="0" w:line="261" w:lineRule="auto"/>
        <w:rPr>
          <w:sz w:val="20"/>
          <w:szCs w:val="20"/>
          <w:color w:val="auto"/>
        </w:rPr>
      </w:pPr>
      <w:r>
        <w:rPr>
          <w:rFonts w:ascii="Times New Roman" w:cs="Times New Roman" w:eastAsia="Times New Roman" w:hAnsi="Times New Roman"/>
          <w:sz w:val="14"/>
          <w:szCs w:val="14"/>
          <w:color w:val="auto"/>
        </w:rPr>
        <w:t>We also plan to initiate, in parallel, a randomized, double-blind, placebo-controlled Phase 2b trial evaluating the efficacy and safety of GlyphAgo in patients with GAD, with topline data expected by the end of 2028. This multiregional trial is designed to be registration-enabling, subject to review by the FDA and other comparable regulatory authorities, as an adequate and well-controlled investigation that seeks to provide substantial evidence</w:t>
      </w:r>
    </w:p>
    <w:p>
      <w:pPr>
        <w:spacing w:after="0" w:line="117" w:lineRule="exact"/>
        <w:rPr>
          <w:sz w:val="20"/>
          <w:szCs w:val="20"/>
          <w:color w:val="auto"/>
        </w:rPr>
      </w:pPr>
    </w:p>
    <w:p>
      <w:pPr>
        <w:ind w:left="1660" w:right="419" w:hanging="163"/>
        <w:spacing w:after="0" w:line="228" w:lineRule="auto"/>
        <w:tabs>
          <w:tab w:leader="none" w:pos="1660" w:val="left"/>
        </w:tabs>
        <w:numPr>
          <w:ilvl w:val="0"/>
          <w:numId w:val="1"/>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The statements above relating to the placebo-controlled studies of agomelatine in GAD are based on the following, which represents a complete list of all placebo-controlled studies of agomelatine in GAD: Dan J. Stein, et al., Efficacy and safety of agomelatine (10 or 25 mg/day) in non-depressed out-patients with generalized anxiety disorder: A 12-week, double-blind, placebo-controlled study, European Neuropsychopharmacology, Volume 27, Issue 5, 2017 (Also included in meta-analyses); Dan J. Stein, et al., Agomelatine in Generalized Anxiety Disorder: An Active Comparator and Placebo-Controlled Study, J Clin Psychiatry 2014;75(4):362-368 (Also included in meta-analyses); Dan J. Stein, et al., Agomelatine Prevents Relapse in Generalized Anxiety Disorder: A 6-Month Randomized, Double-Blind, Placebo-Controlled Discontinuation Study, J Clin Psychiatry 2012;73(7):1002-1008; Dan J. Stein, et al., Journal of Clinical Psychopharmacology 28(5):p 561-566, October 2008 (Also included in meta-analyses).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38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3380" cy="4838700"/>
                    </a:xfrm>
                    <a:prstGeom prst="rect">
                      <a:avLst/>
                    </a:prstGeom>
                    <a:noFill/>
                  </pic:spPr>
                </pic:pic>
              </a:graphicData>
            </a:graphic>
          </wp:anchor>
        </w:drawing>
      </w:r>
    </w:p>
    <w:p>
      <w:pPr>
        <w:spacing w:after="0" w:line="368" w:lineRule="exact"/>
        <w:rPr>
          <w:sz w:val="20"/>
          <w:szCs w:val="20"/>
          <w:color w:val="auto"/>
        </w:rPr>
      </w:pPr>
    </w:p>
    <w:p>
      <w:pPr>
        <w:ind w:left="1500" w:right="399"/>
        <w:spacing w:after="0" w:line="283" w:lineRule="auto"/>
        <w:rPr>
          <w:sz w:val="20"/>
          <w:szCs w:val="20"/>
          <w:color w:val="auto"/>
        </w:rPr>
      </w:pPr>
      <w:r>
        <w:rPr>
          <w:rFonts w:ascii="Times New Roman" w:cs="Times New Roman" w:eastAsia="Times New Roman" w:hAnsi="Times New Roman"/>
          <w:sz w:val="14"/>
          <w:szCs w:val="14"/>
          <w:color w:val="auto"/>
        </w:rPr>
        <w:t>of effectiveness by assessing GlyphAgo’s efficacy and safety in several hundred patients. Although this trial is designed to be registration-enabling, additional clinical trials may be required prior to the submission of a new drug application even if this trial is successful or positive.</w:t>
      </w:r>
    </w:p>
    <w:p>
      <w:pPr>
        <w:spacing w:after="0" w:line="125" w:lineRule="exact"/>
        <w:rPr>
          <w:sz w:val="20"/>
          <w:szCs w:val="20"/>
          <w:color w:val="auto"/>
        </w:rPr>
      </w:pPr>
    </w:p>
    <w:p>
      <w:pPr>
        <w:ind w:left="1500" w:right="619" w:firstLine="332"/>
        <w:spacing w:after="0" w:line="283" w:lineRule="auto"/>
        <w:rPr>
          <w:sz w:val="20"/>
          <w:szCs w:val="20"/>
          <w:color w:val="auto"/>
        </w:rPr>
      </w:pPr>
      <w:r>
        <w:rPr>
          <w:rFonts w:ascii="Times New Roman" w:cs="Times New Roman" w:eastAsia="Times New Roman" w:hAnsi="Times New Roman"/>
          <w:sz w:val="14"/>
          <w:szCs w:val="14"/>
          <w:color w:val="auto"/>
        </w:rPr>
        <w:t>Although the development and commercialization of GlyphAgo for the treatment of GAD is our primary focus, as part of our longer-term growth strategy, we may evaluate GlyphAgo in other indications as well, including MDD.</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Glyph2BLSD and Additional Applications of the Glyph Platform</w:t>
      </w:r>
    </w:p>
    <w:p>
      <w:pPr>
        <w:spacing w:after="0" w:line="93" w:lineRule="exact"/>
        <w:rPr>
          <w:sz w:val="20"/>
          <w:szCs w:val="20"/>
          <w:color w:val="auto"/>
        </w:rPr>
      </w:pPr>
    </w:p>
    <w:p>
      <w:pPr>
        <w:ind w:left="1500" w:right="379" w:firstLine="332"/>
        <w:spacing w:after="0" w:line="261" w:lineRule="auto"/>
        <w:rPr>
          <w:sz w:val="20"/>
          <w:szCs w:val="20"/>
          <w:color w:val="auto"/>
        </w:rPr>
      </w:pPr>
      <w:r>
        <w:rPr>
          <w:rFonts w:ascii="Times New Roman" w:cs="Times New Roman" w:eastAsia="Times New Roman" w:hAnsi="Times New Roman"/>
          <w:sz w:val="14"/>
          <w:szCs w:val="14"/>
          <w:color w:val="auto"/>
        </w:rPr>
        <w:t>Glyph2BLSD is our novel, Glyphed oral prodrug of 2-bromo-LSD, a differentiated non-hallucinogenic neuroplastogen. Glyph2BLSD is designed to harness the differentiated and non-hallucinogenic profile of 2-bromo-LSD, which has rapidly acting clinical activity and is not expected to exhibit the fibrosis, cardiovascular effects, or hallucinations characteristic of some other neuroplastogens. Glyph2BLSD is designed to improve the pharmacokinetic and tolerability profile of 2-bromo-LSD while maintaining therapeutic exposure levels.</w:t>
      </w:r>
    </w:p>
    <w:p>
      <w:pPr>
        <w:spacing w:after="0" w:line="141" w:lineRule="exact"/>
        <w:rPr>
          <w:sz w:val="20"/>
          <w:szCs w:val="20"/>
          <w:color w:val="auto"/>
        </w:rPr>
      </w:pPr>
    </w:p>
    <w:p>
      <w:pPr>
        <w:ind w:left="1500" w:right="379" w:firstLine="332"/>
        <w:spacing w:after="0" w:line="267" w:lineRule="auto"/>
        <w:rPr>
          <w:sz w:val="20"/>
          <w:szCs w:val="20"/>
          <w:color w:val="auto"/>
        </w:rPr>
      </w:pPr>
      <w:r>
        <w:rPr>
          <w:rFonts w:ascii="Times New Roman" w:cs="Times New Roman" w:eastAsia="Times New Roman" w:hAnsi="Times New Roman"/>
          <w:sz w:val="14"/>
          <w:szCs w:val="14"/>
          <w:color w:val="auto"/>
        </w:rPr>
        <w:t>Glyph2BLSD’s non-hallucinogenic profile unlocks the potential to enable convenient outpatient and repeat dosing to improve efficacy. We are advancing Glyph2BLSD through preclinical studies and are developing Glyph2BLSD for the treatment of depressive disorders, including TRD, PTSD, and headache disorders with significant unmet need. We are currently conducting first-in-human-enabling studies of Glyph2BLSD.</w:t>
      </w:r>
    </w:p>
    <w:p>
      <w:pPr>
        <w:spacing w:after="0" w:line="136" w:lineRule="exact"/>
        <w:rPr>
          <w:sz w:val="20"/>
          <w:szCs w:val="20"/>
          <w:color w:val="auto"/>
        </w:rPr>
      </w:pPr>
    </w:p>
    <w:p>
      <w:pPr>
        <w:ind w:left="1500" w:right="499" w:firstLine="332"/>
        <w:spacing w:after="0" w:line="283" w:lineRule="auto"/>
        <w:rPr>
          <w:sz w:val="20"/>
          <w:szCs w:val="20"/>
          <w:color w:val="auto"/>
        </w:rPr>
      </w:pPr>
      <w:r>
        <w:rPr>
          <w:rFonts w:ascii="Times New Roman" w:cs="Times New Roman" w:eastAsia="Times New Roman" w:hAnsi="Times New Roman"/>
          <w:sz w:val="14"/>
          <w:szCs w:val="14"/>
          <w:color w:val="auto"/>
        </w:rPr>
        <w:t>We are also leveraging the power of the Glyph platform to explore additional applications in central nervous system, or CNS, and non-CNS diseases and advance programs that address significant unmet needs in these areas.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Team</w:t>
      </w:r>
    </w:p>
    <w:p>
      <w:pPr>
        <w:spacing w:after="0" w:line="93" w:lineRule="exact"/>
        <w:rPr>
          <w:sz w:val="20"/>
          <w:szCs w:val="20"/>
          <w:color w:val="auto"/>
        </w:rPr>
      </w:pPr>
    </w:p>
    <w:p>
      <w:pPr>
        <w:ind w:left="1500" w:right="399" w:firstLine="332"/>
        <w:spacing w:after="0" w:line="254" w:lineRule="auto"/>
        <w:rPr>
          <w:sz w:val="20"/>
          <w:szCs w:val="20"/>
          <w:color w:val="auto"/>
        </w:rPr>
      </w:pPr>
      <w:r>
        <w:rPr>
          <w:rFonts w:ascii="Times New Roman" w:cs="Times New Roman" w:eastAsia="Times New Roman" w:hAnsi="Times New Roman"/>
          <w:sz w:val="14"/>
          <w:szCs w:val="14"/>
          <w:color w:val="auto"/>
        </w:rPr>
        <w:t>Seaport was founded by pioneers in the neuropsychiatry field and is led by a team of seasoned industry veterans with a shared mission to transform the treatment of neuropsychiatric disorders and improve patients’ lives. We have assembled an experienced group of individuals with a proven track record of building successful companies that have developed and commercialized innovative neuropsychiatric medicines. Members of our leadership team have collaborated successfully over several decades on the discovery, development, and commercialization of neuropsychiatric medicines including Cobenfy, Latuda, Zyprexa, Cymbalta, and Zurzuvae. Our co-founders, Daphne Zohar and Dr. Steven Paul, were central to the success of Karuna Therapeutics, which invented and advanced the first-in-class medicine Cobenfy, and was acquired by Bristol Myers Squibb in March 2024 for $14 billion. Cobenfy was approved by the FDA in September 2024 and is the first drug to provide a new mechanism of action for schizophrenia in over 30 years. Cobenfy is estimated to achieve annual peak sales of over $5 billion. Despite the prior experience of our team, our limited operating history as a standalone company makes any reliance on past performance uncertain.</w:t>
      </w:r>
    </w:p>
    <w:p>
      <w:pPr>
        <w:spacing w:after="0" w:line="149" w:lineRule="exact"/>
        <w:rPr>
          <w:sz w:val="20"/>
          <w:szCs w:val="20"/>
          <w:color w:val="auto"/>
        </w:rPr>
      </w:pPr>
    </w:p>
    <w:p>
      <w:pPr>
        <w:ind w:left="1500" w:right="479" w:firstLine="332"/>
        <w:spacing w:after="0" w:line="261" w:lineRule="auto"/>
        <w:rPr>
          <w:sz w:val="20"/>
          <w:szCs w:val="20"/>
          <w:color w:val="auto"/>
        </w:rPr>
      </w:pPr>
      <w:r>
        <w:rPr>
          <w:rFonts w:ascii="Times New Roman" w:cs="Times New Roman" w:eastAsia="Times New Roman" w:hAnsi="Times New Roman"/>
          <w:sz w:val="14"/>
          <w:szCs w:val="14"/>
          <w:color w:val="auto"/>
        </w:rPr>
        <w:t>Since our inception, we have raised $325 million in net proceeds from leading life science investors, including shareholders with holdings greater than 5%: ARCH Venture Partners, General Atlantic, Sofinnova Investments, Third Rock Ventures, and our founder, PureTech. Prospective investors should not rely on the investment decisions of our existing investors, as these investors may have different risk tolerances and in certain cases received their shares in prior offerings at prices lower than the price offered to the public in this offering.</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3" w:lineRule="exact"/>
        <w:rPr>
          <w:sz w:val="20"/>
          <w:szCs w:val="20"/>
          <w:color w:val="auto"/>
        </w:rPr>
      </w:pPr>
    </w:p>
    <w:p>
      <w:pPr>
        <w:ind w:left="1500" w:right="379" w:firstLine="332"/>
        <w:spacing w:after="0" w:line="283" w:lineRule="auto"/>
        <w:rPr>
          <w:sz w:val="20"/>
          <w:szCs w:val="20"/>
          <w:color w:val="auto"/>
        </w:rPr>
      </w:pPr>
      <w:r>
        <w:rPr>
          <w:rFonts w:ascii="Times New Roman" w:cs="Times New Roman" w:eastAsia="Times New Roman" w:hAnsi="Times New Roman"/>
          <w:sz w:val="14"/>
          <w:szCs w:val="14"/>
          <w:color w:val="auto"/>
        </w:rPr>
        <w:t>We founded our company with a mission to develop life-changing treatments for patients with depression, anxiety, and other neuropsychiatric disorders. The key elements of our business strategy are to:</w:t>
      </w:r>
    </w:p>
    <w:p>
      <w:pPr>
        <w:spacing w:after="0" w:line="51" w:lineRule="exact"/>
        <w:rPr>
          <w:sz w:val="20"/>
          <w:szCs w:val="20"/>
          <w:color w:val="auto"/>
        </w:rPr>
      </w:pPr>
    </w:p>
    <w:p>
      <w:pPr>
        <w:ind w:left="2220" w:right="81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advance GlyphAllo through clinical development for the treatment of patients with MDD with or without anxious distress.</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25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3380" cy="4725670"/>
                    </a:xfrm>
                    <a:prstGeom prst="rect">
                      <a:avLst/>
                    </a:prstGeom>
                    <a:noFill/>
                  </pic:spPr>
                </pic:pic>
              </a:graphicData>
            </a:graphic>
          </wp:anchor>
        </w:drawing>
      </w:r>
    </w:p>
    <w:p>
      <w:pPr>
        <w:spacing w:after="0" w:line="368" w:lineRule="exact"/>
        <w:rPr>
          <w:sz w:val="20"/>
          <w:szCs w:val="20"/>
          <w:color w:val="auto"/>
        </w:rPr>
      </w:pPr>
    </w:p>
    <w:p>
      <w:pPr>
        <w:ind w:left="2220" w:hanging="313"/>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advance GlyphAgo through clinical development for the treatment of patients with GAD.</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 robust pipeline of differentiated programs for neuropsychiatric and other CNS disorders by leveraging our Glyph platform.</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Opportunistically pursue strategic partnerships to maximize the value of our Glyph platform.</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Differentiated Approach</w:t>
      </w:r>
    </w:p>
    <w:p>
      <w:pPr>
        <w:spacing w:after="0" w:line="93" w:lineRule="exact"/>
        <w:rPr>
          <w:sz w:val="20"/>
          <w:szCs w:val="20"/>
          <w:color w:val="auto"/>
        </w:rPr>
      </w:pPr>
    </w:p>
    <w:p>
      <w:pPr>
        <w:ind w:left="1500" w:right="379" w:firstLine="332"/>
        <w:spacing w:after="0" w:line="258" w:lineRule="auto"/>
        <w:rPr>
          <w:sz w:val="20"/>
          <w:szCs w:val="20"/>
          <w:color w:val="auto"/>
        </w:rPr>
      </w:pPr>
      <w:r>
        <w:rPr>
          <w:rFonts w:ascii="Times New Roman" w:cs="Times New Roman" w:eastAsia="Times New Roman" w:hAnsi="Times New Roman"/>
          <w:sz w:val="14"/>
          <w:szCs w:val="14"/>
          <w:color w:val="auto"/>
        </w:rPr>
        <w:t>We are uniquely positioned to develop novel medicines that will make a significant impact for patients and their families through our differentiated, three-pillar approach: 1) identify clinically validated mechanisms held back by issues that can be addressed by our proprietary Glyph platform, 2) create novel medicines with strong intellectual property using Glyph, and 3) apply our team’s expertise to optimize the design and execution of clinical trials and drive successful business outcomes. We believe our approach will enable us to develop transformative treatments for patients and build a leading neuropsychiatry company.</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Risks Associated With Our Business</w:t>
      </w:r>
    </w:p>
    <w:p>
      <w:pPr>
        <w:spacing w:after="0" w:line="93" w:lineRule="exact"/>
        <w:rPr>
          <w:sz w:val="20"/>
          <w:szCs w:val="20"/>
          <w:color w:val="auto"/>
        </w:rPr>
      </w:pPr>
    </w:p>
    <w:p>
      <w:pPr>
        <w:ind w:left="1500" w:right="399" w:firstLine="332"/>
        <w:spacing w:after="0" w:line="283" w:lineRule="auto"/>
        <w:rPr>
          <w:sz w:val="20"/>
          <w:szCs w:val="20"/>
          <w:color w:val="auto"/>
        </w:rPr>
      </w:pPr>
      <w:r>
        <w:rPr>
          <w:rFonts w:ascii="Times New Roman" w:cs="Times New Roman" w:eastAsia="Times New Roman" w:hAnsi="Times New Roman"/>
          <w:sz w:val="14"/>
          <w:szCs w:val="14"/>
          <w:color w:val="auto"/>
        </w:rPr>
        <w:t>Our business is subject to a number of risks of which you should be aware before making an investment decision. These risks include, but are not limited to, the following:</w:t>
      </w:r>
    </w:p>
    <w:p>
      <w:pPr>
        <w:spacing w:after="0" w:line="51" w:lineRule="exact"/>
        <w:rPr>
          <w:sz w:val="20"/>
          <w:szCs w:val="20"/>
          <w:color w:val="auto"/>
        </w:rPr>
      </w:pPr>
    </w:p>
    <w:p>
      <w:pPr>
        <w:ind w:left="2220" w:right="53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61" w:lineRule="exact"/>
        <w:rPr>
          <w:rFonts w:ascii="Times New Roman" w:cs="Times New Roman" w:eastAsia="Times New Roman" w:hAnsi="Times New Roman"/>
          <w:sz w:val="14"/>
          <w:szCs w:val="14"/>
          <w:color w:val="auto"/>
        </w:rPr>
      </w:pPr>
    </w:p>
    <w:p>
      <w:pPr>
        <w:ind w:left="2220" w:right="57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61" w:lineRule="exact"/>
        <w:rPr>
          <w:rFonts w:ascii="Times New Roman" w:cs="Times New Roman" w:eastAsia="Times New Roman" w:hAnsi="Times New Roman"/>
          <w:sz w:val="14"/>
          <w:szCs w:val="14"/>
          <w:color w:val="auto"/>
        </w:rPr>
      </w:pPr>
    </w:p>
    <w:p>
      <w:pPr>
        <w:ind w:left="2220" w:right="499" w:hanging="313"/>
        <w:spacing w:after="0" w:line="261"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highly dependent on the success of our product candidates, particularly GlyphAllo for the treatment of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67" w:lineRule="exact"/>
        <w:rPr>
          <w:rFonts w:ascii="Times New Roman" w:cs="Times New Roman" w:eastAsia="Times New Roman" w:hAnsi="Times New Roman"/>
          <w:sz w:val="14"/>
          <w:szCs w:val="14"/>
          <w:color w:val="auto"/>
        </w:rPr>
      </w:pPr>
    </w:p>
    <w:p>
      <w:pPr>
        <w:ind w:left="2220" w:right="51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and preclinical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p>
    <w:p>
      <w:pPr>
        <w:spacing w:after="0" w:line="61" w:lineRule="exact"/>
        <w:rPr>
          <w:rFonts w:ascii="Times New Roman" w:cs="Times New Roman" w:eastAsia="Times New Roman" w:hAnsi="Times New Roman"/>
          <w:sz w:val="14"/>
          <w:szCs w:val="14"/>
          <w:color w:val="auto"/>
        </w:rPr>
      </w:pPr>
    </w:p>
    <w:p>
      <w:pPr>
        <w:ind w:left="2220" w:right="39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61" w:lineRule="exact"/>
        <w:rPr>
          <w:rFonts w:ascii="Times New Roman" w:cs="Times New Roman" w:eastAsia="Times New Roman" w:hAnsi="Times New Roman"/>
          <w:sz w:val="14"/>
          <w:szCs w:val="14"/>
          <w:color w:val="auto"/>
        </w:rPr>
      </w:pPr>
    </w:p>
    <w:p>
      <w:pPr>
        <w:ind w:left="2220" w:right="379" w:hanging="313"/>
        <w:spacing w:after="0" w:line="25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determination of whether the BUOY-1 clinical trial will be registration-enabling lies solely within the discretion of the FDA and/or other comparable regulatory authorities, based on whether such body views this trial as an adequate and well-controlled clinical investigation that can support regulatory decision making, and whether the resulting data from the trial provide substantial evidence of effectiveness. There can be no assurance that our clinical trials will ultimately be successful or support further clinical development of our product candidates, and we may have to complete multiple additional clinical trials, which may be differently designed than prior clinical trials, to support a submission for marketing authorization for this product candidate.</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906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3380" cy="4906010"/>
                    </a:xfrm>
                    <a:prstGeom prst="rect">
                      <a:avLst/>
                    </a:prstGeom>
                    <a:noFill/>
                  </pic:spPr>
                </pic:pic>
              </a:graphicData>
            </a:graphic>
          </wp:anchor>
        </w:drawing>
      </w:r>
    </w:p>
    <w:p>
      <w:pPr>
        <w:spacing w:after="0" w:line="368" w:lineRule="exact"/>
        <w:rPr>
          <w:sz w:val="20"/>
          <w:szCs w:val="20"/>
          <w:color w:val="auto"/>
        </w:rPr>
      </w:pPr>
    </w:p>
    <w:p>
      <w:pPr>
        <w:ind w:left="2220" w:right="399" w:hanging="313"/>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61" w:lineRule="exact"/>
        <w:rPr>
          <w:rFonts w:ascii="Times New Roman" w:cs="Times New Roman" w:eastAsia="Times New Roman" w:hAnsi="Times New Roman"/>
          <w:sz w:val="14"/>
          <w:szCs w:val="14"/>
          <w:color w:val="auto"/>
        </w:rPr>
      </w:pPr>
    </w:p>
    <w:p>
      <w:pPr>
        <w:ind w:left="2220" w:right="39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51" w:lineRule="exact"/>
        <w:rPr>
          <w:rFonts w:ascii="Times New Roman" w:cs="Times New Roman" w:eastAsia="Times New Roman" w:hAnsi="Times New Roman"/>
          <w:sz w:val="14"/>
          <w:szCs w:val="14"/>
          <w:color w:val="auto"/>
        </w:rPr>
      </w:pPr>
    </w:p>
    <w:p>
      <w:pPr>
        <w:ind w:left="2220" w:right="87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unexpected costs or experience delays in completing, or ultimately be unable to complete, the development and commercialization of our product candidates.</w:t>
      </w:r>
    </w:p>
    <w:p>
      <w:pPr>
        <w:spacing w:after="0" w:line="51" w:lineRule="exact"/>
        <w:rPr>
          <w:rFonts w:ascii="Times New Roman" w:cs="Times New Roman" w:eastAsia="Times New Roman" w:hAnsi="Times New Roman"/>
          <w:sz w:val="14"/>
          <w:szCs w:val="14"/>
          <w:color w:val="auto"/>
        </w:rPr>
      </w:pPr>
    </w:p>
    <w:p>
      <w:pPr>
        <w:ind w:left="2220" w:right="459" w:hanging="313"/>
        <w:spacing w:after="0" w:line="258"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be associated with adverse events, or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70" w:lineRule="exact"/>
        <w:rPr>
          <w:rFonts w:ascii="Times New Roman" w:cs="Times New Roman" w:eastAsia="Times New Roman" w:hAnsi="Times New Roman"/>
          <w:sz w:val="14"/>
          <w:szCs w:val="14"/>
          <w:color w:val="auto"/>
        </w:rPr>
      </w:pPr>
    </w:p>
    <w:p>
      <w:pPr>
        <w:ind w:left="2220" w:right="57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concentrated our research and development efforts on the treatment of disorders of the brain and central nervous system, a field that faces certain challenges in drug development.</w:t>
      </w:r>
    </w:p>
    <w:p>
      <w:pPr>
        <w:spacing w:after="0" w:line="51" w:lineRule="exact"/>
        <w:rPr>
          <w:rFonts w:ascii="Times New Roman" w:cs="Times New Roman" w:eastAsia="Times New Roman" w:hAnsi="Times New Roman"/>
          <w:sz w:val="14"/>
          <w:szCs w:val="14"/>
          <w:color w:val="auto"/>
        </w:rPr>
      </w:pPr>
    </w:p>
    <w:p>
      <w:pPr>
        <w:ind w:left="2220" w:right="439" w:hanging="313"/>
        <w:spacing w:after="0" w:line="261"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and potential future 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67" w:lineRule="exact"/>
        <w:rPr>
          <w:rFonts w:ascii="Times New Roman" w:cs="Times New Roman" w:eastAsia="Times New Roman" w:hAnsi="Times New Roman"/>
          <w:sz w:val="14"/>
          <w:szCs w:val="14"/>
          <w:color w:val="auto"/>
        </w:rPr>
      </w:pPr>
    </w:p>
    <w:p>
      <w:pPr>
        <w:ind w:left="2220" w:right="77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product candidates, leverage our Glyph platform and our future growth depends on attracting, hiring, and retaining our key personnel and recruiting additional qualified personnel.</w:t>
      </w:r>
    </w:p>
    <w:p>
      <w:pPr>
        <w:spacing w:after="0" w:line="51" w:lineRule="exact"/>
        <w:rPr>
          <w:rFonts w:ascii="Times New Roman" w:cs="Times New Roman" w:eastAsia="Times New Roman" w:hAnsi="Times New Roman"/>
          <w:sz w:val="14"/>
          <w:szCs w:val="14"/>
          <w:color w:val="auto"/>
        </w:rPr>
      </w:pPr>
    </w:p>
    <w:p>
      <w:pPr>
        <w:ind w:left="2220" w:right="679" w:hanging="313"/>
        <w:spacing w:after="0" w:line="261"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67" w:lineRule="exact"/>
        <w:rPr>
          <w:rFonts w:ascii="Times New Roman" w:cs="Times New Roman" w:eastAsia="Times New Roman" w:hAnsi="Times New Roman"/>
          <w:sz w:val="14"/>
          <w:szCs w:val="14"/>
          <w:color w:val="auto"/>
        </w:rPr>
      </w:pPr>
    </w:p>
    <w:p>
      <w:pPr>
        <w:ind w:left="2220" w:right="599" w:hanging="313"/>
        <w:spacing w:after="0" w:line="261"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67" w:lineRule="exact"/>
        <w:rPr>
          <w:rFonts w:ascii="Times New Roman" w:cs="Times New Roman" w:eastAsia="Times New Roman" w:hAnsi="Times New Roman"/>
          <w:sz w:val="14"/>
          <w:szCs w:val="14"/>
          <w:color w:val="auto"/>
        </w:rPr>
      </w:pPr>
    </w:p>
    <w:p>
      <w:pPr>
        <w:ind w:left="2220" w:right="419" w:hanging="313"/>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heavily reliant upon the Amended and Restated License Agreement with Monash University, or the Monash License Agreement, pursuant to which we have been granted an exclusive, royalty-bearing license to certain patent rights that are important or necessary to the development of our proprietary technology and product candidates.</w:t>
      </w:r>
    </w:p>
    <w:p>
      <w:pPr>
        <w:spacing w:after="0" w:line="61" w:lineRule="exact"/>
        <w:rPr>
          <w:rFonts w:ascii="Times New Roman" w:cs="Times New Roman" w:eastAsia="Times New Roman" w:hAnsi="Times New Roman"/>
          <w:sz w:val="14"/>
          <w:szCs w:val="14"/>
          <w:color w:val="auto"/>
        </w:rPr>
      </w:pPr>
    </w:p>
    <w:p>
      <w:pPr>
        <w:ind w:left="2220" w:right="459" w:hanging="313"/>
        <w:spacing w:after="0" w:line="261"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67" w:lineRule="exact"/>
        <w:rPr>
          <w:rFonts w:ascii="Times New Roman" w:cs="Times New Roman" w:eastAsia="Times New Roman" w:hAnsi="Times New Roman"/>
          <w:sz w:val="14"/>
          <w:szCs w:val="14"/>
          <w:color w:val="auto"/>
        </w:rPr>
      </w:pPr>
    </w:p>
    <w:p>
      <w:pPr>
        <w:jc w:val="both"/>
        <w:ind w:left="2220" w:right="839" w:hanging="313"/>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for the period from January 1, 2024 to April 7, 2024, which are included in the consolidated financial statements for the year ended December 31, 2024, have been prepared on a “carve-out” basis based on management estimates, assumptions, and judgments about appropriate</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032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3380" cy="5032375"/>
                    </a:xfrm>
                    <a:prstGeom prst="rect">
                      <a:avLst/>
                    </a:prstGeom>
                    <a:noFill/>
                  </pic:spPr>
                </pic:pic>
              </a:graphicData>
            </a:graphic>
          </wp:anchor>
        </w:drawing>
      </w:r>
    </w:p>
    <w:p>
      <w:pPr>
        <w:spacing w:after="0" w:line="368" w:lineRule="exact"/>
        <w:rPr>
          <w:sz w:val="20"/>
          <w:szCs w:val="20"/>
          <w:color w:val="auto"/>
        </w:rPr>
      </w:pPr>
    </w:p>
    <w:p>
      <w:pPr>
        <w:ind w:left="2240" w:right="439"/>
        <w:spacing w:after="0" w:line="283" w:lineRule="auto"/>
        <w:rPr>
          <w:sz w:val="20"/>
          <w:szCs w:val="20"/>
          <w:color w:val="auto"/>
        </w:rPr>
      </w:pPr>
      <w:r>
        <w:rPr>
          <w:rFonts w:ascii="Times New Roman" w:cs="Times New Roman" w:eastAsia="Times New Roman" w:hAnsi="Times New Roman"/>
          <w:sz w:val="14"/>
          <w:szCs w:val="14"/>
          <w:color w:val="auto"/>
        </w:rPr>
        <w:t>allocation and may not be indicative of what they would have been had we actually been an independent standalone entity throughout such period.</w:t>
      </w:r>
    </w:p>
    <w:p>
      <w:pPr>
        <w:spacing w:after="0" w:line="51" w:lineRule="exact"/>
        <w:rPr>
          <w:sz w:val="20"/>
          <w:szCs w:val="20"/>
          <w:color w:val="auto"/>
        </w:rPr>
      </w:pPr>
    </w:p>
    <w:p>
      <w:pPr>
        <w:ind w:left="2220" w:hanging="313"/>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no prior public market for our common stock, and an active trading market may not develop or be sustained.</w:t>
      </w:r>
    </w:p>
    <w:p>
      <w:pPr>
        <w:spacing w:after="0" w:line="175" w:lineRule="exact"/>
        <w:rPr>
          <w:sz w:val="20"/>
          <w:szCs w:val="20"/>
          <w:color w:val="auto"/>
        </w:rPr>
      </w:pPr>
    </w:p>
    <w:p>
      <w:pPr>
        <w:ind w:left="1500" w:right="419" w:firstLine="332"/>
        <w:spacing w:after="0" w:line="258" w:lineRule="auto"/>
        <w:rPr>
          <w:sz w:val="20"/>
          <w:szCs w:val="20"/>
          <w:color w:val="auto"/>
        </w:rPr>
      </w:pPr>
      <w:r>
        <w:rPr>
          <w:rFonts w:ascii="Times New Roman" w:cs="Times New Roman" w:eastAsia="Times New Roman" w:hAnsi="Times New Roman"/>
          <w:sz w:val="14"/>
          <w:szCs w:val="14"/>
          <w:color w:val="auto"/>
        </w:rPr>
        <w:t>The summary risk factors described above should be read together with the text of the full risk factors in the section titled “Risk Factors” and the other information set forth in this prospectus, including our consolidated financial statements and the related notes, as well as in other documents that we file with the Securities and Exchange Commission, or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1500" w:right="399" w:firstLine="332"/>
        <w:spacing w:after="0" w:line="254" w:lineRule="auto"/>
        <w:rPr>
          <w:sz w:val="20"/>
          <w:szCs w:val="20"/>
          <w:color w:val="auto"/>
        </w:rPr>
      </w:pPr>
      <w:r>
        <w:rPr>
          <w:rFonts w:ascii="Times New Roman" w:cs="Times New Roman" w:eastAsia="Times New Roman" w:hAnsi="Times New Roman"/>
          <w:sz w:val="14"/>
          <w:szCs w:val="14"/>
          <w:color w:val="auto"/>
        </w:rPr>
        <w:t xml:space="preserve">We were incorporated under the laws of the State of Delaware as SP Therapeutics, Inc. on April 1, 2024 and changed our name to Seaport Therapeutics, Inc. on April 2, 2024. Our wholly owned subsidiary, SPTX, Inc., was a result of the incorporation of a predecessor company under the laws of the State of Delaware in February 2024 under the name Seaport Therapeutics, Inc., which subsequently changed its name to Seaport Therapeutics Holdings, Inc. in March 2024 and to SPTX, Inc. in April 2024. In April 2024, we entered into a share exchange agreement, or the Share Exchange Agreement, with SPTX, Inc., which resulted in SPTX, Inc. becoming our wholly owned subsidiary. At the time of the Share Exchange Agreement, we were a wholly-owned subsidiary of PureTech. Our principal executive offices are located at 101 Seaport Blvd., Floor 12, Boston, Massachusetts 02210, and our telephone number is (617) 807-4062. We have three subsidiaries, Seaport Therapeutics Securities Corporation, formed in December 2024 under the laws of the Commonwealth of Massachusetts, SPTX, Inc., formed in February 2024 under the laws of the State of Delaware, and Seaport Therapeutics Australia Pty Ltd, formed in February 2025 under the laws of Australia. Our website address is </w:t>
      </w:r>
      <w:r>
        <w:rPr>
          <w:rFonts w:ascii="Times New Roman" w:cs="Times New Roman" w:eastAsia="Times New Roman" w:hAnsi="Times New Roman"/>
          <w:sz w:val="14"/>
          <w:szCs w:val="14"/>
          <w:i w:val="1"/>
          <w:iCs w:val="1"/>
          <w:color w:val="auto"/>
        </w:rPr>
        <w:t>www.seaporttx.com</w:t>
      </w:r>
      <w:r>
        <w:rPr>
          <w:rFonts w:ascii="Times New Roman" w:cs="Times New Roman" w:eastAsia="Times New Roman" w:hAnsi="Times New Roman"/>
          <w:sz w:val="14"/>
          <w:szCs w:val="14"/>
          <w:color w:val="auto"/>
        </w:rPr>
        <w:t>.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93" w:lineRule="exact"/>
        <w:rPr>
          <w:sz w:val="20"/>
          <w:szCs w:val="20"/>
          <w:color w:val="auto"/>
        </w:rPr>
      </w:pPr>
    </w:p>
    <w:p>
      <w:pPr>
        <w:ind w:left="1500" w:right="459" w:firstLine="332"/>
        <w:spacing w:after="0" w:line="267"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62" w:lineRule="exact"/>
        <w:rPr>
          <w:sz w:val="20"/>
          <w:szCs w:val="20"/>
          <w:color w:val="auto"/>
        </w:rPr>
      </w:pPr>
    </w:p>
    <w:p>
      <w:pPr>
        <w:ind w:left="2220" w:right="419" w:hanging="313"/>
        <w:spacing w:after="0" w:line="267"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w:t>
      </w:r>
    </w:p>
    <w:p>
      <w:pPr>
        <w:spacing w:after="0" w:line="101" w:lineRule="exact"/>
        <w:rPr>
          <w:rFonts w:ascii="Times New Roman" w:cs="Times New Roman" w:eastAsia="Times New Roman" w:hAnsi="Times New Roman"/>
          <w:sz w:val="14"/>
          <w:szCs w:val="14"/>
          <w:color w:val="auto"/>
        </w:rPr>
      </w:pPr>
    </w:p>
    <w:p>
      <w:pPr>
        <w:ind w:left="2220" w:right="799" w:hanging="313"/>
        <w:spacing w:after="0" w:line="283"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advisory votes on executive compensation or to obtain stockholder approval of any golden parachute arrangements not previously approved;</w:t>
      </w:r>
    </w:p>
    <w:p>
      <w:pPr>
        <w:spacing w:after="0" w:line="5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in the assessment of our internal control over financial reporting pursuant to Section 404 of the Sarbanes-Oxley Act of 2002, or the Sarbanes-Oxley Act; and</w:t>
      </w:r>
    </w:p>
    <w:p>
      <w:pPr>
        <w:spacing w:after="0" w:line="51" w:lineRule="exact"/>
        <w:rPr>
          <w:rFonts w:ascii="Times New Roman" w:cs="Times New Roman" w:eastAsia="Times New Roman" w:hAnsi="Times New Roman"/>
          <w:sz w:val="14"/>
          <w:szCs w:val="14"/>
          <w:color w:val="auto"/>
        </w:rPr>
      </w:pPr>
    </w:p>
    <w:p>
      <w:pPr>
        <w:ind w:left="2220" w:right="1179" w:hanging="313"/>
        <w:spacing w:after="0" w:line="283"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requirements of the Public Company Accounting Oversight Board regarding the communication of critical audit matters in the auditor’s report on the financial statements.</w:t>
      </w:r>
    </w:p>
    <w:p>
      <w:pPr>
        <w:spacing w:after="0" w:line="125"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We may remain an emerging growth company for up to five years from the date of the first sale in this offering. We would cease to be an emerging growth company on the date that is the earliest of (i) the last day of</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2749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3380" cy="2749550"/>
                    </a:xfrm>
                    <a:prstGeom prst="rect">
                      <a:avLst/>
                    </a:prstGeom>
                    <a:noFill/>
                  </pic:spPr>
                </pic:pic>
              </a:graphicData>
            </a:graphic>
          </wp:anchor>
        </w:drawing>
      </w:r>
    </w:p>
    <w:p>
      <w:pPr>
        <w:spacing w:after="0" w:line="368" w:lineRule="exact"/>
        <w:rPr>
          <w:sz w:val="20"/>
          <w:szCs w:val="20"/>
          <w:color w:val="auto"/>
        </w:rPr>
      </w:pPr>
    </w:p>
    <w:p>
      <w:pPr>
        <w:ind w:left="1500" w:right="459"/>
        <w:spacing w:after="0" w:line="253" w:lineRule="auto"/>
        <w:rPr>
          <w:sz w:val="20"/>
          <w:szCs w:val="20"/>
          <w:color w:val="auto"/>
        </w:rPr>
      </w:pPr>
      <w:r>
        <w:rPr>
          <w:rFonts w:ascii="Times New Roman" w:cs="Times New Roman" w:eastAsia="Times New Roman" w:hAnsi="Times New Roman"/>
          <w:sz w:val="14"/>
          <w:szCs w:val="14"/>
          <w:color w:val="auto"/>
        </w:rPr>
        <w:t>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may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have in the past chosen and may in the future choose to early adopt any new or revised accounting standards whenever such early adoption is permitted for private companies.</w:t>
      </w:r>
    </w:p>
    <w:p>
      <w:pPr>
        <w:spacing w:after="0" w:line="149" w:lineRule="exact"/>
        <w:rPr>
          <w:sz w:val="20"/>
          <w:szCs w:val="20"/>
          <w:color w:val="auto"/>
        </w:rPr>
      </w:pPr>
    </w:p>
    <w:p>
      <w:pPr>
        <w:ind w:left="1500" w:right="459" w:firstLine="332"/>
        <w:spacing w:after="0" w:line="255"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measured on the last business day of our second fiscal quarter or (ii) our annual revenue was less than $100 million during the most recently completed fiscal year and the market value of our shares held by non-affiliates is less than</w:t>
      </w:r>
    </w:p>
    <w:p>
      <w:pPr>
        <w:ind w:left="1500" w:right="499"/>
        <w:spacing w:after="0" w:line="253" w:lineRule="auto"/>
        <w:rPr>
          <w:sz w:val="20"/>
          <w:szCs w:val="20"/>
          <w:color w:val="auto"/>
        </w:rPr>
      </w:pPr>
      <w:r>
        <w:rPr>
          <w:rFonts w:ascii="Times New Roman" w:cs="Times New Roman" w:eastAsia="Times New Roman" w:hAnsi="Times New Roman"/>
          <w:sz w:val="14"/>
          <w:szCs w:val="14"/>
          <w:color w:val="auto"/>
        </w:rPr>
        <w:t>$700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525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3380" cy="4525010"/>
                    </a:xfrm>
                    <a:prstGeom prst="rect">
                      <a:avLst/>
                    </a:prstGeom>
                    <a:noFill/>
                  </pic:spPr>
                </pic:pic>
              </a:graphicData>
            </a:graphic>
          </wp:anchor>
        </w:drawing>
      </w:r>
    </w:p>
    <w:p>
      <w:pPr>
        <w:spacing w:after="0" w:line="366" w:lineRule="exact"/>
        <w:rPr>
          <w:sz w:val="20"/>
          <w:szCs w:val="20"/>
          <w:color w:val="auto"/>
        </w:rPr>
      </w:pPr>
    </w:p>
    <w:tbl>
      <w:tblPr>
        <w:tblLayout w:type="fixed"/>
        <w:tblInd w:w="150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offered by us</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4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shares</w:t>
            </w:r>
          </w:p>
        </w:tc>
      </w:tr>
      <w:tr>
        <w:trPr>
          <w:trHeight w:val="353"/>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Option to purchase additional shares of common stock</w:t>
            </w:r>
          </w:p>
        </w:tc>
        <w:tc>
          <w:tcPr>
            <w:tcW w:w="50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We have granted the underwriters an option for a period of 30 days to purchase up to</w:t>
            </w:r>
          </w:p>
        </w:tc>
      </w:tr>
      <w:tr>
        <w:trPr>
          <w:trHeight w:val="168"/>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offered by us</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additional shares of common stock from us at the public offering price, less</w:t>
            </w:r>
          </w:p>
        </w:tc>
      </w:tr>
      <w:tr>
        <w:trPr>
          <w:trHeight w:val="168"/>
        </w:trPr>
        <w:tc>
          <w:tcPr>
            <w:tcW w:w="3100" w:type="dxa"/>
            <w:vAlign w:val="bottom"/>
          </w:tcPr>
          <w:p>
            <w:pPr>
              <w:spacing w:after="0"/>
              <w:rPr>
                <w:sz w:val="14"/>
                <w:szCs w:val="14"/>
                <w:color w:val="auto"/>
              </w:rPr>
            </w:pPr>
          </w:p>
        </w:tc>
        <w:tc>
          <w:tcPr>
            <w:tcW w:w="50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w w:val="99"/>
              </w:rPr>
              <w:t>underwriting discounts and commissions on the same terms as set forth in this prospectus.</w:t>
            </w:r>
          </w:p>
        </w:tc>
      </w:tr>
      <w:tr>
        <w:trPr>
          <w:trHeight w:val="168"/>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Common stock to be outstanding immediately after this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4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shares (or                shares if the underwriters exercise their option to</w:t>
            </w:r>
          </w:p>
        </w:tc>
      </w:tr>
      <w:tr>
        <w:trPr>
          <w:trHeight w:val="183"/>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offering</w:t>
            </w:r>
          </w:p>
        </w:tc>
        <w:tc>
          <w:tcPr>
            <w:tcW w:w="50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purchase additional shares of common stock in full)</w:t>
            </w:r>
          </w:p>
        </w:tc>
      </w:tr>
    </w:tbl>
    <w:p>
      <w:pPr>
        <w:spacing w:after="0" w:line="16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We will have two series of common stock authorized immediately following this offering:</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voting common stock and non-voting common stock. We are offering voting stock in this</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offering and unless otherwise noted, all references in this prospectus to our “common</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stock” refer to our voting common stock. The non-voting common stock will not be listed</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for trading on any securities exchange. Immediately after consummation of this offering,</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no shares of non-voting stock will be outstanding, and we have no present intention to</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issue any shares of non-voting common stock.</w:t>
      </w:r>
    </w:p>
    <w:p>
      <w:pPr>
        <w:spacing w:after="0" w:line="182"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We estimate that the net proceeds from the sale of our common stock in this offering will</w:t>
            </w:r>
          </w:p>
        </w:tc>
      </w:tr>
      <w:tr>
        <w:trPr>
          <w:trHeight w:val="168"/>
        </w:trPr>
        <w:tc>
          <w:tcPr>
            <w:tcW w:w="2380" w:type="dxa"/>
            <w:vAlign w:val="bottom"/>
          </w:tcPr>
          <w:p>
            <w:pPr>
              <w:spacing w:after="0"/>
              <w:rPr>
                <w:sz w:val="14"/>
                <w:szCs w:val="14"/>
                <w:color w:val="auto"/>
              </w:rPr>
            </w:pPr>
          </w:p>
        </w:tc>
        <w:tc>
          <w:tcPr>
            <w:tcW w:w="43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 xml:space="preserve">be approximately $                million (or approximately $ </w:t>
            </w:r>
          </w:p>
        </w:tc>
        <w:tc>
          <w:tcPr>
            <w:tcW w:w="220" w:type="dxa"/>
            <w:vAlign w:val="bottom"/>
          </w:tcPr>
          <w:p>
            <w:pPr>
              <w:jc w:val="center"/>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million if the</w:t>
            </w:r>
          </w:p>
        </w:tc>
      </w:tr>
      <w:tr>
        <w:trPr>
          <w:trHeight w:val="168"/>
        </w:trPr>
        <w:tc>
          <w:tcPr>
            <w:tcW w:w="2380" w:type="dxa"/>
            <w:vAlign w:val="bottom"/>
          </w:tcPr>
          <w:p>
            <w:pPr>
              <w:spacing w:after="0"/>
              <w:rPr>
                <w:sz w:val="14"/>
                <w:szCs w:val="14"/>
                <w:color w:val="auto"/>
              </w:rPr>
            </w:pPr>
          </w:p>
        </w:tc>
        <w:tc>
          <w:tcPr>
            <w:tcW w:w="412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7"/>
              </w:rPr>
              <w:t>underwriters exercise their option to purchase additional 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of common</w:t>
            </w:r>
          </w:p>
        </w:tc>
      </w:tr>
      <w:tr>
        <w:trPr>
          <w:trHeight w:val="168"/>
        </w:trPr>
        <w:tc>
          <w:tcPr>
            <w:tcW w:w="2380" w:type="dxa"/>
            <w:vAlign w:val="bottom"/>
          </w:tcPr>
          <w:p>
            <w:pPr>
              <w:spacing w:after="0"/>
              <w:rPr>
                <w:sz w:val="14"/>
                <w:szCs w:val="14"/>
                <w:color w:val="auto"/>
              </w:rPr>
            </w:pPr>
          </w:p>
        </w:tc>
        <w:tc>
          <w:tcPr>
            <w:tcW w:w="4780" w:type="dxa"/>
            <w:vAlign w:val="bottom"/>
            <w:gridSpan w:val="4"/>
          </w:tcPr>
          <w:p>
            <w:pPr>
              <w:ind w:left="900"/>
              <w:spacing w:after="0"/>
              <w:rPr>
                <w:sz w:val="20"/>
                <w:szCs w:val="20"/>
                <w:color w:val="auto"/>
              </w:rPr>
            </w:pPr>
            <w:r>
              <w:rPr>
                <w:rFonts w:ascii="Times New Roman" w:cs="Times New Roman" w:eastAsia="Times New Roman" w:hAnsi="Times New Roman"/>
                <w:sz w:val="14"/>
                <w:szCs w:val="14"/>
                <w:color w:val="auto"/>
                <w:w w:val="96"/>
              </w:rPr>
              <w:t>stock in full), based on the assumed initial public offering price of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per share,</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which is the midpoint of the price range set forth on the cover page of this prospectus, after</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deducting the estimated underwriting discounts and commissions and estimated offering</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expenses payable by us. We intend to use the net proceeds we receive from this offering,</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together with our existing cash, cash equivalents, and investments, to advance development</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line="168" w:lineRule="exact"/>
              <w:rPr>
                <w:sz w:val="20"/>
                <w:szCs w:val="20"/>
                <w:color w:val="auto"/>
              </w:rPr>
            </w:pPr>
            <w:r>
              <w:rPr>
                <w:rFonts w:ascii="Times New Roman" w:cs="Times New Roman" w:eastAsia="Times New Roman" w:hAnsi="Times New Roman"/>
                <w:sz w:val="13"/>
                <w:szCs w:val="13"/>
                <w:color w:val="auto"/>
              </w:rPr>
              <w:t>of GlyphAllo</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3"/>
                <w:szCs w:val="13"/>
                <w:color w:val="auto"/>
              </w:rPr>
              <w:t xml:space="preserve"> (SPT-300), GlyphAgo</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3"/>
                <w:szCs w:val="13"/>
                <w:color w:val="auto"/>
              </w:rPr>
              <w:t xml:space="preserve"> (SPT-320), and Glyph2BLSD</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3"/>
                <w:szCs w:val="13"/>
                <w:color w:val="auto"/>
              </w:rPr>
              <w:t xml:space="preserve"> (SPT-348), as</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well as to fund research and development activities for additional programs, and the</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remainder for working capital and general corporate purposes. For additional information,</w:t>
            </w:r>
          </w:p>
        </w:tc>
      </w:tr>
      <w:tr>
        <w:trPr>
          <w:trHeight w:val="183"/>
        </w:trPr>
        <w:tc>
          <w:tcPr>
            <w:tcW w:w="2380" w:type="dxa"/>
            <w:vAlign w:val="bottom"/>
          </w:tcPr>
          <w:p>
            <w:pPr>
              <w:spacing w:after="0"/>
              <w:rPr>
                <w:sz w:val="15"/>
                <w:szCs w:val="15"/>
                <w:color w:val="auto"/>
              </w:rPr>
            </w:pPr>
          </w:p>
        </w:tc>
        <w:tc>
          <w:tcPr>
            <w:tcW w:w="4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see the section titled “Use of Proceeds.”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4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Directed share program</w:t>
            </w:r>
          </w:p>
        </w:tc>
        <w:tc>
          <w:tcPr>
            <w:tcW w:w="4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 xml:space="preserve">At our request, the underwriters have reserved up to     </w:t>
            </w:r>
          </w:p>
        </w:tc>
        <w:tc>
          <w:tcPr>
            <w:tcW w:w="2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of the shares of common stock</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being offered by this prospectus for sale at the initial public offering price to our directors,</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officers, certain employees, and certain other persons associated with us. The sales will be</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made by Goldman Sachs &amp; Co. LLC, an underwriter of this offering, through a directed</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share program. We do not know if these persons will choose to purchase all or any portion</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of these reserved shares, but any purchases they do make will reduce the number of shares</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of common stock available to the general public. Any reserved shares not so purchased will</w:t>
            </w:r>
          </w:p>
        </w:tc>
      </w:tr>
      <w:tr>
        <w:trPr>
          <w:trHeight w:val="168"/>
        </w:trPr>
        <w:tc>
          <w:tcPr>
            <w:tcW w:w="2380" w:type="dxa"/>
            <w:vAlign w:val="bottom"/>
          </w:tcPr>
          <w:p>
            <w:pPr>
              <w:spacing w:after="0"/>
              <w:rPr>
                <w:sz w:val="14"/>
                <w:szCs w:val="14"/>
                <w:color w:val="auto"/>
              </w:rPr>
            </w:pPr>
          </w:p>
        </w:tc>
        <w:tc>
          <w:tcPr>
            <w:tcW w:w="620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be offered by the underwriters to the general public on the same terms as the other shares</w:t>
            </w:r>
          </w:p>
        </w:tc>
      </w:tr>
      <w:tr>
        <w:trPr>
          <w:trHeight w:val="183"/>
        </w:trPr>
        <w:tc>
          <w:tcPr>
            <w:tcW w:w="2380" w:type="dxa"/>
            <w:vAlign w:val="bottom"/>
          </w:tcPr>
          <w:p>
            <w:pPr>
              <w:spacing w:after="0"/>
              <w:rPr>
                <w:sz w:val="15"/>
                <w:szCs w:val="15"/>
                <w:color w:val="auto"/>
              </w:rPr>
            </w:pPr>
          </w:p>
        </w:tc>
        <w:tc>
          <w:tcPr>
            <w:tcW w:w="4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of common stock. Except for reserved shares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32"/>
        </w:trPr>
        <w:tc>
          <w:tcPr>
            <w:tcW w:w="238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79"/>
        </w:trPr>
        <w:tc>
          <w:tcPr>
            <w:tcW w:w="2380" w:type="dxa"/>
            <w:vAlign w:val="bottom"/>
          </w:tcPr>
          <w:p>
            <w:pPr>
              <w:spacing w:after="0"/>
              <w:rPr>
                <w:sz w:val="24"/>
                <w:szCs w:val="24"/>
                <w:color w:val="auto"/>
              </w:rPr>
            </w:pPr>
          </w:p>
        </w:tc>
        <w:tc>
          <w:tcPr>
            <w:tcW w:w="412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324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3380" cy="4324985"/>
                    </a:xfrm>
                    <a:prstGeom prst="rect">
                      <a:avLst/>
                    </a:prstGeom>
                    <a:noFill/>
                  </pic:spPr>
                </pic:pic>
              </a:graphicData>
            </a:graphic>
          </wp:anchor>
        </w:drawing>
      </w:r>
    </w:p>
    <w:p>
      <w:pPr>
        <w:spacing w:after="0" w:line="368" w:lineRule="exact"/>
        <w:rPr>
          <w:sz w:val="20"/>
          <w:szCs w:val="20"/>
          <w:color w:val="auto"/>
        </w:rPr>
      </w:pPr>
    </w:p>
    <w:p>
      <w:pPr>
        <w:ind w:left="4640" w:right="439"/>
        <w:spacing w:after="0" w:line="267" w:lineRule="auto"/>
        <w:rPr>
          <w:sz w:val="20"/>
          <w:szCs w:val="20"/>
          <w:color w:val="auto"/>
        </w:rPr>
      </w:pPr>
      <w:r>
        <w:rPr>
          <w:rFonts w:ascii="Times New Roman" w:cs="Times New Roman" w:eastAsia="Times New Roman" w:hAnsi="Times New Roman"/>
          <w:sz w:val="14"/>
          <w:szCs w:val="14"/>
          <w:color w:val="auto"/>
        </w:rPr>
        <w:t>purchased by our executive officers and directors, these reserved shares will not be subject to the lock-up restrictions described elsewhere in this prospectus. For additional information, see the section titled “Underwriting—Directed Share Program.”</w:t>
      </w:r>
    </w:p>
    <w:p>
      <w:pPr>
        <w:sectPr>
          <w:pgSz w:w="11900" w:h="16838" w:orient="portrait"/>
          <w:cols w:equalWidth="0" w:num="1">
            <w:col w:w="10159"/>
          </w:cols>
          <w:pgMar w:left="300" w:top="386" w:right="1440" w:bottom="1440" w:gutter="0" w:footer="0" w:header="0"/>
        </w:sectPr>
      </w:pP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439"/>
        <w:spacing w:after="0" w:line="283" w:lineRule="auto"/>
        <w:rPr>
          <w:sz w:val="20"/>
          <w:szCs w:val="20"/>
          <w:color w:val="auto"/>
        </w:rPr>
      </w:pPr>
      <w:r>
        <w:rPr>
          <w:rFonts w:ascii="Times New Roman" w:cs="Times New Roman" w:eastAsia="Times New Roman" w:hAnsi="Times New Roman"/>
          <w:sz w:val="14"/>
          <w:szCs w:val="14"/>
          <w:color w:val="auto"/>
        </w:rPr>
        <w:t>For a discussion of factors you should carefully consider before deciding whether to invest in our common stock, see the section titled “Risk Factors.”</w:t>
      </w:r>
    </w:p>
    <w:p>
      <w:pPr>
        <w:spacing w:after="0" w:line="146"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“SPTX”</w:t>
      </w:r>
    </w:p>
    <w:p>
      <w:pPr>
        <w:spacing w:after="0" w:line="197" w:lineRule="exact"/>
        <w:rPr>
          <w:sz w:val="20"/>
          <w:szCs w:val="20"/>
          <w:color w:val="auto"/>
        </w:rPr>
      </w:pPr>
    </w:p>
    <w:p>
      <w:pPr>
        <w:sectPr>
          <w:pgSz w:w="11900" w:h="16838" w:orient="portrait"/>
          <w:cols w:equalWidth="0" w:num="2">
            <w:col w:w="4220" w:space="420"/>
            <w:col w:w="5519"/>
          </w:cols>
          <w:pgMar w:left="300" w:top="386" w:right="1440" w:bottom="1440" w:gutter="0" w:footer="0" w:header="0"/>
          <w:type w:val="continuous"/>
        </w:sectPr>
      </w:pPr>
    </w:p>
    <w:p>
      <w:pPr>
        <w:ind w:left="1500" w:right="399" w:firstLine="332"/>
        <w:spacing w:after="0" w:line="261" w:lineRule="auto"/>
        <w:rPr>
          <w:sz w:val="20"/>
          <w:szCs w:val="20"/>
          <w:color w:val="auto"/>
        </w:rPr>
      </w:pPr>
      <w:r>
        <w:rPr>
          <w:rFonts w:ascii="Times New Roman" w:cs="Times New Roman" w:eastAsia="Times New Roman" w:hAnsi="Times New Roman"/>
          <w:sz w:val="14"/>
          <w:szCs w:val="14"/>
          <w:color w:val="auto"/>
        </w:rPr>
        <w:t>Unless otherwise noted, the number of shares of our common stock that will be outstanding after this offering is based on 122,072,236 shares of common stock (which includes 486,114 shares of unvested restricted common stock) outstanding as of December 31, 2025, after giving effect to the conversion of all outstanding shares of our convertible preferred stock into an aggregate of 113,921,036 shares of common stock immediately prior to the completion of this offering, or the Preferred Stock Conversion, and excludes:</w:t>
      </w:r>
    </w:p>
    <w:p>
      <w:pPr>
        <w:spacing w:after="0" w:line="67" w:lineRule="exact"/>
        <w:rPr>
          <w:sz w:val="20"/>
          <w:szCs w:val="20"/>
          <w:color w:val="auto"/>
        </w:rPr>
      </w:pPr>
    </w:p>
    <w:p>
      <w:pPr>
        <w:ind w:left="2220" w:right="479" w:hanging="313"/>
        <w:spacing w:after="0" w:line="267"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27,633,144 shares of common stock issuable upon exercise of outstanding stock options as of December 31, 2025, which includes 718,500 performance-based awards that have not yet been deemed granted for accounting purposes, under our 2024 Equity Incentive Plan, as amended, or the 2024 Plan, with a weighted-average exercise price of $1.52 per share;</w:t>
      </w:r>
    </w:p>
    <w:p>
      <w:pPr>
        <w:spacing w:after="0" w:line="61" w:lineRule="exact"/>
        <w:rPr>
          <w:rFonts w:ascii="Times New Roman" w:cs="Times New Roman" w:eastAsia="Times New Roman" w:hAnsi="Times New Roman"/>
          <w:sz w:val="14"/>
          <w:szCs w:val="14"/>
          <w:color w:val="auto"/>
        </w:rPr>
      </w:pPr>
    </w:p>
    <w:p>
      <w:pPr>
        <w:ind w:left="2220" w:right="519" w:hanging="313"/>
        <w:spacing w:after="0" w:line="283"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3,023,510 shares of common stock issuable upon exercise of outstanding stock options granted after December 31, 2025 pursuant to our 2024 Plan, with a weighted-average exercise price of $3.28 per share;</w:t>
      </w:r>
    </w:p>
    <w:p>
      <w:pPr>
        <w:spacing w:after="0" w:line="5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4,722,667 shares of common stock reserved for future issuance as of December 31, 2025 under the 2024 Plan, which will cease to be available for issuance at the time that our 2026 Stock Option and Incentive Plan, or the 2026 Plan, becomes effective;</w:t>
      </w:r>
    </w:p>
    <w:p>
      <w:pPr>
        <w:spacing w:after="0" w:line="51" w:lineRule="exact"/>
        <w:rPr>
          <w:sz w:val="20"/>
          <w:szCs w:val="20"/>
          <w:color w:val="auto"/>
        </w:rPr>
      </w:pPr>
    </w:p>
    <w:tbl>
      <w:tblPr>
        <w:tblLayout w:type="fixed"/>
        <w:tblInd w:w="1900" w:type="dxa"/>
        <w:tblCellMar>
          <w:top w:w="0" w:type="dxa"/>
          <w:left w:w="0" w:type="dxa"/>
          <w:bottom w:w="0" w:type="dxa"/>
          <w:right w:w="0" w:type="dxa"/>
        </w:tblCellMar>
      </w:tblPr>
      <w:tr>
        <w:trPr>
          <w:trHeight w:val="16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of our common stock to be granted to an executive officer and a director under the 2026 Plan, issuable upon the</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exercise of stock options, with an exercise price that is equal to the initial public offering price in this offering, or a number of shares</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of restricted common stock, as applicable, or the IPO Grants, to maintain an aggregate of approximately 12.5% of the number of</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shares of our common stock to be outstanding upon the closing of this offering calculated on a fully diluted basis; see the sections</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w w:val="99"/>
              </w:rPr>
              <w:t>titled “Executive Compensation—Narrative disclosure to the 2025 Summary Compensation Table—Equity Incentive Compensation”</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and “Director Compensation” for more information on such grants, including a description of how the number of shares issuable</w:t>
            </w:r>
          </w:p>
        </w:tc>
      </w:tr>
      <w:tr>
        <w:trPr>
          <w:trHeight w:val="183"/>
        </w:trPr>
        <w:tc>
          <w:tcPr>
            <w:tcW w:w="180" w:type="dxa"/>
            <w:vAlign w:val="bottom"/>
          </w:tcPr>
          <w:p>
            <w:pPr>
              <w:spacing w:after="0"/>
              <w:rPr>
                <w:sz w:val="15"/>
                <w:szCs w:val="15"/>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pursuant to such grants will be determined;</w:t>
            </w:r>
          </w:p>
        </w:tc>
      </w:tr>
      <w:tr>
        <w:trPr>
          <w:trHeight w:val="24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6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of our common stock that will become available for future issuance under our 2026 Plan, including shares reserved</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for the IPO Grants, which will become effective on the date immediately prior to the effectiveness of the registration statement of</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which this prospectus forms a part, as well as any automatic increases in the number of shares of common stock reserved for future</w:t>
            </w:r>
          </w:p>
        </w:tc>
      </w:tr>
      <w:tr>
        <w:trPr>
          <w:trHeight w:val="168"/>
        </w:trPr>
        <w:tc>
          <w:tcPr>
            <w:tcW w:w="180" w:type="dxa"/>
            <w:vAlign w:val="bottom"/>
          </w:tcPr>
          <w:p>
            <w:pPr>
              <w:spacing w:after="0"/>
              <w:rPr>
                <w:sz w:val="14"/>
                <w:szCs w:val="14"/>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issuance under the 2026 Plan and any shares underlying outstanding stock awards granted under the 2024 Plan that expire or are</w:t>
            </w:r>
          </w:p>
        </w:tc>
      </w:tr>
      <w:tr>
        <w:trPr>
          <w:trHeight w:val="183"/>
        </w:trPr>
        <w:tc>
          <w:tcPr>
            <w:tcW w:w="180" w:type="dxa"/>
            <w:vAlign w:val="bottom"/>
          </w:tcPr>
          <w:p>
            <w:pPr>
              <w:spacing w:after="0"/>
              <w:rPr>
                <w:sz w:val="15"/>
                <w:szCs w:val="15"/>
                <w:color w:val="auto"/>
              </w:rPr>
            </w:pP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repurchased, forfeited, cancelled, or withheld; and</w:t>
            </w:r>
          </w:p>
        </w:tc>
      </w:tr>
    </w:tbl>
    <w:p>
      <w:pPr>
        <w:spacing w:after="0" w:line="80" w:lineRule="exact"/>
        <w:rPr>
          <w:sz w:val="20"/>
          <w:szCs w:val="20"/>
          <w:color w:val="auto"/>
        </w:rPr>
      </w:pPr>
    </w:p>
    <w:p>
      <w:pPr>
        <w:ind w:left="2220" w:right="459" w:hanging="313"/>
        <w:spacing w:after="0" w:line="267"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common stock reserved for future issuance under our 2026 Employee Stock Purchase Plan, or the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614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3380" cy="1614805"/>
                    </a:xfrm>
                    <a:prstGeom prst="rect">
                      <a:avLst/>
                    </a:prstGeom>
                    <a:noFill/>
                  </pic:spPr>
                </pic:pic>
              </a:graphicData>
            </a:graphic>
          </wp:anchor>
        </w:drawing>
      </w:r>
    </w:p>
    <w:p>
      <w:pPr>
        <w:spacing w:after="0" w:line="36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Unless otherwise indicated, the information in this prospectus reflects or assumes the following:</w:t>
      </w:r>
    </w:p>
    <w:p>
      <w:pPr>
        <w:sectPr>
          <w:pgSz w:w="11900" w:h="16838" w:orient="portrait"/>
          <w:cols w:equalWidth="0" w:num="1">
            <w:col w:w="10159"/>
          </w:cols>
          <w:pgMar w:left="300" w:top="386" w:right="1440" w:bottom="1440" w:gutter="0" w:footer="0" w:header="0"/>
        </w:sectPr>
      </w:pPr>
    </w:p>
    <w:p>
      <w:pPr>
        <w:spacing w:after="0" w:line="10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1-for-            reverse stock split of our common stock, which will become effective prior to the completion of this offering;</w:t>
      </w:r>
    </w:p>
    <w:p>
      <w:pPr>
        <w:spacing w:after="0" w:line="102" w:lineRule="exact"/>
        <w:rPr>
          <w:sz w:val="20"/>
          <w:szCs w:val="20"/>
          <w:color w:val="auto"/>
        </w:rPr>
      </w:pPr>
    </w:p>
    <w:p>
      <w:pPr>
        <w:sectPr>
          <w:pgSz w:w="11900" w:h="16838" w:orient="portrait"/>
          <w:cols w:equalWidth="0" w:num="2">
            <w:col w:w="1960" w:space="260"/>
            <w:col w:w="7939"/>
          </w:cols>
          <w:pgMar w:left="300" w:top="386" w:right="1440"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right="839"/>
        <w:spacing w:after="0" w:line="283" w:lineRule="auto"/>
        <w:rPr>
          <w:sz w:val="20"/>
          <w:szCs w:val="20"/>
          <w:color w:val="auto"/>
        </w:rPr>
      </w:pPr>
      <w:r>
        <w:rPr>
          <w:rFonts w:ascii="Times New Roman" w:cs="Times New Roman" w:eastAsia="Times New Roman" w:hAnsi="Times New Roman"/>
          <w:sz w:val="14"/>
          <w:szCs w:val="14"/>
          <w:color w:val="auto"/>
        </w:rPr>
        <w:t>the conversion of all outstanding shares of         convertible preferred stock as of December 31, 2025 into an aggregate of 113,921,036 shares of common stock immediately prior to the completion of this offering</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sectPr>
          <w:pgSz w:w="11900" w:h="16838" w:orient="portrait"/>
          <w:cols w:equalWidth="0" w:num="2">
            <w:col w:w="1960" w:space="260"/>
            <w:col w:w="7939"/>
          </w:cols>
          <w:pgMar w:left="300" w:top="386" w:right="1440" w:bottom="1440" w:gutter="0" w:footer="0" w:header="0"/>
          <w:type w:val="continuous"/>
        </w:sectPr>
      </w:pPr>
    </w:p>
    <w:p>
      <w:pPr>
        <w:ind w:left="2220" w:hanging="313"/>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outstanding stock options described above after December 31, 2025;</w:t>
      </w:r>
    </w:p>
    <w:p>
      <w:pPr>
        <w:spacing w:after="0" w:line="102" w:lineRule="exact"/>
        <w:rPr>
          <w:sz w:val="20"/>
          <w:szCs w:val="20"/>
          <w:color w:val="auto"/>
        </w:rPr>
      </w:pPr>
    </w:p>
    <w:p>
      <w:pPr>
        <w:ind w:left="1900"/>
        <w:spacing w:after="0"/>
        <w:tabs>
          <w:tab w:leader="none" w:pos="2200" w:val="left"/>
          <w:tab w:leader="none" w:pos="67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exercise of the underwriters’ option to purchase up to an additional           </w:t>
      </w:r>
      <w:r>
        <w:rPr>
          <w:sz w:val="20"/>
          <w:szCs w:val="20"/>
          <w:color w:val="auto"/>
        </w:rPr>
        <w:tab/>
      </w:r>
      <w:r>
        <w:rPr>
          <w:rFonts w:ascii="Times New Roman" w:cs="Times New Roman" w:eastAsia="Times New Roman" w:hAnsi="Times New Roman"/>
          <w:sz w:val="13"/>
          <w:szCs w:val="13"/>
          <w:color w:val="auto"/>
        </w:rPr>
        <w:t>shares of common stock in this offering;</w:t>
      </w:r>
    </w:p>
    <w:p>
      <w:pPr>
        <w:spacing w:after="0" w:line="102" w:lineRule="exact"/>
        <w:rPr>
          <w:sz w:val="20"/>
          <w:szCs w:val="20"/>
          <w:color w:val="auto"/>
        </w:rPr>
      </w:pPr>
    </w:p>
    <w:p>
      <w:pPr>
        <w:ind w:left="2220" w:hanging="313"/>
        <w:spacing w:after="0"/>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purchases by existing stockholders or their affiliates pursuant to the directed share program; and</w:t>
      </w:r>
    </w:p>
    <w:p>
      <w:pPr>
        <w:spacing w:after="0" w:line="101" w:lineRule="exact"/>
        <w:rPr>
          <w:rFonts w:ascii="Times New Roman" w:cs="Times New Roman" w:eastAsia="Times New Roman" w:hAnsi="Times New Roman"/>
          <w:sz w:val="14"/>
          <w:szCs w:val="14"/>
          <w:color w:val="auto"/>
        </w:rPr>
      </w:pPr>
    </w:p>
    <w:p>
      <w:pPr>
        <w:ind w:left="2220" w:right="619" w:hanging="313"/>
        <w:spacing w:after="0" w:line="267"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and effectiveness of our amended and restated certificate of incorporation immediately prior to the completion of this offering and the adoption of our amended and restated bylaws to be in effect upon the effectiveness of the registration statement of which this prospectus forms a part.</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52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3380" cy="4652010"/>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 CONSOLIDATED FINANCIAL DATA</w:t>
      </w:r>
    </w:p>
    <w:p>
      <w:pPr>
        <w:spacing w:after="0" w:line="177" w:lineRule="exact"/>
        <w:rPr>
          <w:sz w:val="20"/>
          <w:szCs w:val="20"/>
          <w:color w:val="auto"/>
        </w:rPr>
      </w:pPr>
    </w:p>
    <w:p>
      <w:pPr>
        <w:ind w:left="1500" w:right="419" w:firstLine="332"/>
        <w:spacing w:after="0" w:line="254" w:lineRule="auto"/>
        <w:rPr>
          <w:sz w:val="20"/>
          <w:szCs w:val="20"/>
          <w:color w:val="auto"/>
        </w:rPr>
      </w:pPr>
      <w:r>
        <w:rPr>
          <w:rFonts w:ascii="Times New Roman" w:cs="Times New Roman" w:eastAsia="Times New Roman" w:hAnsi="Times New Roman"/>
          <w:sz w:val="14"/>
          <w:szCs w:val="14"/>
          <w:color w:val="auto"/>
        </w:rPr>
        <w:t>The following tables set forth our summary consolidated statements of operations data for the years ended December 31, 2025 and 2024 and our summary consolidated balance sheet data as of December 31, 2025. We have derived the summary consolidated statements of operations data for years ended December 31, 2025 and 2024, and the summary consolidated balance sheet data as of December 31, 2025, from our audited consolidated financial statements included elsewhere in this prospectus. The historical results for the period from January 1, 2024 to April 7, 2024, which are included in the consolidated financial statements for the year ended December 31, 2024, have been prepared on a “carve-out” basis and are not necessarily indicative of results that may be expected in the future, nor are our other historical results necessarily indicative of the results that may be expected for any period in the future.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152"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left="61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center"/>
              <w:ind w:left="61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5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1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1"/>
              <w:spacing w:after="0" w:line="106"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40" w:type="dxa"/>
            <w:vAlign w:val="bottom"/>
            <w:gridSpan w:val="5"/>
          </w:tcPr>
          <w:p>
            <w:pPr>
              <w:jc w:val="center"/>
              <w:ind w:right="91"/>
              <w:spacing w:after="0" w:line="87" w:lineRule="exact"/>
              <w:rPr>
                <w:sz w:val="20"/>
                <w:szCs w:val="20"/>
                <w:color w:val="auto"/>
              </w:rPr>
            </w:pPr>
            <w:r>
              <w:rPr>
                <w:rFonts w:ascii="Times New Roman" w:cs="Times New Roman" w:eastAsia="Times New Roman" w:hAnsi="Times New Roman"/>
                <w:sz w:val="10"/>
                <w:szCs w:val="10"/>
                <w:b w:val="1"/>
                <w:bCs w:val="1"/>
                <w:color w:val="auto"/>
              </w:rPr>
              <w:t>(in thousands, except share and per share</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ind w:right="104"/>
              <w:spacing w:after="0"/>
              <w:rPr>
                <w:sz w:val="20"/>
                <w:szCs w:val="20"/>
                <w:color w:val="auto"/>
              </w:rPr>
            </w:pPr>
            <w:r>
              <w:rPr>
                <w:rFonts w:ascii="Times New Roman" w:cs="Times New Roman" w:eastAsia="Times New Roman" w:hAnsi="Times New Roman"/>
                <w:sz w:val="11"/>
                <w:szCs w:val="11"/>
                <w:b w:val="1"/>
                <w:bCs w:val="1"/>
                <w:color w:val="auto"/>
              </w:rPr>
              <w:t>data)</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00" w:type="dxa"/>
            <w:vAlign w:val="bottom"/>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Research and development (including stock-based compensation expense of</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ind w:left="420"/>
              <w:spacing w:after="0" w:line="183" w:lineRule="exact"/>
              <w:rPr>
                <w:sz w:val="20"/>
                <w:szCs w:val="20"/>
                <w:color w:val="auto"/>
              </w:rPr>
            </w:pPr>
            <w:r>
              <w:rPr>
                <w:rFonts w:ascii="Times New Roman" w:cs="Times New Roman" w:eastAsia="Times New Roman" w:hAnsi="Times New Roman"/>
                <w:sz w:val="14"/>
                <w:szCs w:val="14"/>
                <w:color w:val="auto"/>
              </w:rPr>
              <w:t xml:space="preserve">$2.3 million and $0.7 million for 2025 and 2024, respectively)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3"/>
            <w:shd w:val="clear" w:color="auto" w:fill="CCEEFF"/>
          </w:tcPr>
          <w:p>
            <w:pPr>
              <w:jc w:val="right"/>
              <w:ind w:right="624"/>
              <w:spacing w:after="0"/>
              <w:rPr>
                <w:sz w:val="20"/>
                <w:szCs w:val="20"/>
                <w:color w:val="auto"/>
              </w:rPr>
            </w:pPr>
            <w:r>
              <w:rPr>
                <w:rFonts w:ascii="Times New Roman" w:cs="Times New Roman" w:eastAsia="Times New Roman" w:hAnsi="Times New Roman"/>
                <w:sz w:val="14"/>
                <w:szCs w:val="14"/>
                <w:color w:val="auto"/>
              </w:rPr>
              <w:t>66,313</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25,070</w:t>
            </w:r>
          </w:p>
        </w:tc>
        <w:tc>
          <w:tcPr>
            <w:tcW w:w="0" w:type="dxa"/>
            <w:vAlign w:val="bottom"/>
          </w:tcPr>
          <w:p>
            <w:pPr>
              <w:spacing w:after="0"/>
              <w:rPr>
                <w:sz w:val="1"/>
                <w:szCs w:val="1"/>
                <w:color w:val="auto"/>
              </w:rPr>
            </w:pPr>
          </w:p>
        </w:tc>
      </w:tr>
      <w:tr>
        <w:trPr>
          <w:trHeight w:val="153"/>
        </w:trPr>
        <w:tc>
          <w:tcPr>
            <w:tcW w:w="570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General and administrative (including stock-based compensation expense of</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00" w:type="dxa"/>
            <w:vAlign w:val="bottom"/>
          </w:tcPr>
          <w:p>
            <w:pPr>
              <w:ind w:left="420"/>
              <w:spacing w:after="0" w:line="183" w:lineRule="exact"/>
              <w:rPr>
                <w:sz w:val="20"/>
                <w:szCs w:val="20"/>
                <w:color w:val="auto"/>
              </w:rPr>
            </w:pPr>
            <w:r>
              <w:rPr>
                <w:rFonts w:ascii="Times New Roman" w:cs="Times New Roman" w:eastAsia="Times New Roman" w:hAnsi="Times New Roman"/>
                <w:sz w:val="14"/>
                <w:szCs w:val="14"/>
                <w:color w:val="auto"/>
              </w:rPr>
              <w:t xml:space="preserve">$4.6 million and $15.2 million for 2025 and 2024, respectively)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5"/>
                <w:szCs w:val="15"/>
                <w:color w:val="auto"/>
              </w:rPr>
            </w:pPr>
          </w:p>
        </w:tc>
        <w:tc>
          <w:tcPr>
            <w:tcW w:w="1500" w:type="dxa"/>
            <w:vAlign w:val="bottom"/>
            <w:gridSpan w:val="3"/>
          </w:tcPr>
          <w:p>
            <w:pPr>
              <w:jc w:val="right"/>
              <w:ind w:right="624"/>
              <w:spacing w:after="0"/>
              <w:rPr>
                <w:sz w:val="20"/>
                <w:szCs w:val="20"/>
                <w:color w:val="auto"/>
              </w:rPr>
            </w:pPr>
            <w:r>
              <w:rPr>
                <w:rFonts w:ascii="Times New Roman" w:cs="Times New Roman" w:eastAsia="Times New Roman" w:hAnsi="Times New Roman"/>
                <w:sz w:val="14"/>
                <w:szCs w:val="14"/>
                <w:color w:val="auto"/>
              </w:rPr>
              <w:t>20,981</w:t>
            </w:r>
          </w:p>
        </w:tc>
        <w:tc>
          <w:tcPr>
            <w:tcW w:w="32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27,346</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624"/>
              <w:spacing w:after="0"/>
              <w:rPr>
                <w:sz w:val="20"/>
                <w:szCs w:val="20"/>
                <w:color w:val="auto"/>
              </w:rPr>
            </w:pPr>
            <w:r>
              <w:rPr>
                <w:rFonts w:ascii="Times New Roman" w:cs="Times New Roman" w:eastAsia="Times New Roman" w:hAnsi="Times New Roman"/>
                <w:sz w:val="14"/>
                <w:szCs w:val="14"/>
                <w:color w:val="auto"/>
              </w:rPr>
              <w:t>87,294</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52,416</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(87,294)</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Interest income, net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11,403</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5,537</w:t>
            </w:r>
          </w:p>
        </w:tc>
        <w:tc>
          <w:tcPr>
            <w:tcW w:w="0" w:type="dxa"/>
            <w:vAlign w:val="bottom"/>
          </w:tcPr>
          <w:p>
            <w:pPr>
              <w:spacing w:after="0"/>
              <w:rPr>
                <w:sz w:val="1"/>
                <w:szCs w:val="1"/>
                <w:color w:val="auto"/>
              </w:rPr>
            </w:pPr>
          </w:p>
        </w:tc>
      </w:tr>
      <w:tr>
        <w:trPr>
          <w:trHeight w:val="168"/>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1,898</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5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tcPr>
          <w:p>
            <w:pPr>
              <w:spacing w:after="0"/>
              <w:rPr>
                <w:sz w:val="14"/>
                <w:szCs w:val="14"/>
                <w:color w:val="auto"/>
              </w:rPr>
            </w:pPr>
          </w:p>
        </w:tc>
        <w:tc>
          <w:tcPr>
            <w:tcW w:w="1500" w:type="dxa"/>
            <w:vAlign w:val="bottom"/>
            <w:gridSpan w:val="3"/>
          </w:tcPr>
          <w:p>
            <w:pPr>
              <w:jc w:val="right"/>
              <w:ind w:right="564"/>
              <w:spacing w:after="0"/>
              <w:rPr>
                <w:sz w:val="20"/>
                <w:szCs w:val="20"/>
                <w:color w:val="auto"/>
              </w:rPr>
            </w:pPr>
            <w:r>
              <w:rPr>
                <w:rFonts w:ascii="Times New Roman" w:cs="Times New Roman" w:eastAsia="Times New Roman" w:hAnsi="Times New Roman"/>
                <w:sz w:val="14"/>
                <w:szCs w:val="14"/>
                <w:color w:val="auto"/>
              </w:rPr>
              <w:t>(115)</w:t>
            </w:r>
          </w:p>
        </w:tc>
        <w:tc>
          <w:tcPr>
            <w:tcW w:w="3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other income, net</w:t>
            </w:r>
          </w:p>
        </w:tc>
        <w:tc>
          <w:tcPr>
            <w:tcW w:w="16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624"/>
              <w:spacing w:after="0"/>
              <w:rPr>
                <w:sz w:val="20"/>
                <w:szCs w:val="20"/>
                <w:color w:val="auto"/>
              </w:rPr>
            </w:pPr>
            <w:r>
              <w:rPr>
                <w:rFonts w:ascii="Times New Roman" w:cs="Times New Roman" w:eastAsia="Times New Roman" w:hAnsi="Times New Roman"/>
                <w:sz w:val="14"/>
                <w:szCs w:val="14"/>
                <w:color w:val="auto"/>
              </w:rPr>
              <w:t>13,186</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5,537</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16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624"/>
              <w:spacing w:after="0"/>
              <w:rPr>
                <w:sz w:val="20"/>
                <w:szCs w:val="20"/>
                <w:color w:val="auto"/>
              </w:rPr>
            </w:pPr>
            <w:r>
              <w:rPr>
                <w:rFonts w:ascii="Times New Roman" w:cs="Times New Roman" w:eastAsia="Times New Roman" w:hAnsi="Times New Roman"/>
                <w:sz w:val="14"/>
                <w:szCs w:val="14"/>
                <w:color w:val="auto"/>
              </w:rPr>
              <w:t>773</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(74,881)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 xml:space="preserve">Net loss per share, basic and diluted </w:t>
            </w:r>
            <w:r>
              <w:rPr>
                <w:rFonts w:ascii="Times New Roman" w:cs="Times New Roman" w:eastAsia="Times New Roman" w:hAnsi="Times New Roman"/>
                <w:sz w:val="17"/>
                <w:szCs w:val="17"/>
                <w:color w:val="auto"/>
                <w:vertAlign w:val="superscript"/>
              </w:rPr>
              <w:t>(3)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3"/>
            <w:shd w:val="clear" w:color="auto" w:fill="CCEEFF"/>
          </w:tcPr>
          <w:p>
            <w:pPr>
              <w:jc w:val="right"/>
              <w:ind w:right="564"/>
              <w:spacing w:after="0" w:line="150" w:lineRule="exact"/>
              <w:rPr>
                <w:sz w:val="20"/>
                <w:szCs w:val="20"/>
                <w:color w:val="auto"/>
              </w:rPr>
            </w:pPr>
            <w:r>
              <w:rPr>
                <w:rFonts w:ascii="Times New Roman" w:cs="Times New Roman" w:eastAsia="Times New Roman" w:hAnsi="Times New Roman"/>
                <w:sz w:val="14"/>
                <w:szCs w:val="14"/>
                <w:color w:val="auto"/>
              </w:rPr>
              <w:t>(10.04)</w:t>
            </w:r>
          </w:p>
        </w:tc>
        <w:tc>
          <w:tcPr>
            <w:tcW w:w="320" w:type="dxa"/>
            <w:vAlign w:val="bottom"/>
            <w:shd w:val="clear" w:color="auto" w:fill="CCEEFF"/>
          </w:tcPr>
          <w:p>
            <w:pPr>
              <w:jc w:val="right"/>
              <w:ind w:right="170"/>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169"/>
        </w:trPr>
        <w:tc>
          <w:tcPr>
            <w:tcW w:w="5700" w:type="dxa"/>
            <w:vAlign w:val="bottom"/>
          </w:tcPr>
          <w:p>
            <w:pPr>
              <w:spacing w:after="0" w:line="169" w:lineRule="exact"/>
              <w:rPr>
                <w:sz w:val="20"/>
                <w:szCs w:val="20"/>
                <w:color w:val="auto"/>
              </w:rPr>
            </w:pPr>
            <w:r>
              <w:rPr>
                <w:rFonts w:ascii="Times New Roman" w:cs="Times New Roman" w:eastAsia="Times New Roman" w:hAnsi="Times New Roman"/>
                <w:sz w:val="13"/>
                <w:szCs w:val="13"/>
                <w:color w:val="auto"/>
              </w:rPr>
              <w:t xml:space="preserve">Weighted-average common shares outstanding, basic and diluted </w:t>
            </w:r>
            <w:r>
              <w:rPr>
                <w:rFonts w:ascii="Times New Roman" w:cs="Times New Roman" w:eastAsia="Times New Roman" w:hAnsi="Times New Roman"/>
                <w:sz w:val="19"/>
                <w:szCs w:val="19"/>
                <w:color w:val="auto"/>
                <w:vertAlign w:val="superscript"/>
              </w:rPr>
              <w:t>(3)</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7,456,011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2,961,543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7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Pro forma net loss per share attributable to common stockholders, basic and diluted</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4"/>
                <w:szCs w:val="14"/>
                <w:color w:val="auto"/>
              </w:rPr>
              <w:t xml:space="preserve">(unaudited) </w:t>
            </w:r>
            <w:r>
              <w:rPr>
                <w:rFonts w:ascii="Times New Roman" w:cs="Times New Roman" w:eastAsia="Times New Roman" w:hAnsi="Times New Roman"/>
                <w:sz w:val="21"/>
                <w:szCs w:val="21"/>
                <w:color w:val="auto"/>
                <w:vertAlign w:val="superscript"/>
              </w:rPr>
              <w:t>(4)</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3"/>
            <w:shd w:val="clear" w:color="auto" w:fill="CCEEFF"/>
          </w:tcPr>
          <w:p>
            <w:pPr>
              <w:jc w:val="right"/>
              <w:ind w:right="564"/>
              <w:spacing w:after="0"/>
              <w:rPr>
                <w:sz w:val="20"/>
                <w:szCs w:val="20"/>
                <w:color w:val="auto"/>
              </w:rPr>
            </w:pPr>
            <w:r>
              <w:rPr>
                <w:rFonts w:ascii="Times New Roman" w:cs="Times New Roman" w:eastAsia="Times New Roman" w:hAnsi="Times New Roman"/>
                <w:sz w:val="14"/>
                <w:szCs w:val="14"/>
                <w:color w:val="auto"/>
              </w:rPr>
              <w:t>(0.62)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 xml:space="preserve">Pro forma weighted-average common shares outstanding, basic and diluted (unaudited) </w:t>
            </w:r>
            <w:r>
              <w:rPr>
                <w:rFonts w:ascii="Times New Roman" w:cs="Times New Roman" w:eastAsia="Times New Roman" w:hAnsi="Times New Roman"/>
                <w:sz w:val="21"/>
                <w:szCs w:val="21"/>
                <w:color w:val="auto"/>
                <w:vertAlign w:val="superscript"/>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121,377,047</w:t>
            </w:r>
          </w:p>
        </w:tc>
        <w:tc>
          <w:tcPr>
            <w:tcW w:w="2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1820" w:right="599" w:hanging="323"/>
        <w:spacing w:after="0" w:line="256" w:lineRule="auto"/>
        <w:tabs>
          <w:tab w:leader="none" w:pos="18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related-party amounts of $0.3 million and $14.2 million for research and development expenses for the years ended December 31, 2025 and 2024, respectively. See Note 17 to our consolidated financial statements included elsewhere in this prospectus.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33972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3380" cy="3397250"/>
                    </a:xfrm>
                    <a:prstGeom prst="rect">
                      <a:avLst/>
                    </a:prstGeom>
                    <a:noFill/>
                  </pic:spPr>
                </pic:pic>
              </a:graphicData>
            </a:graphic>
          </wp:anchor>
        </w:drawing>
      </w:r>
    </w:p>
    <w:p>
      <w:pPr>
        <w:spacing w:after="0" w:line="365" w:lineRule="exact"/>
        <w:rPr>
          <w:sz w:val="20"/>
          <w:szCs w:val="20"/>
          <w:color w:val="auto"/>
        </w:rPr>
      </w:pPr>
    </w:p>
    <w:p>
      <w:pPr>
        <w:ind w:left="1820" w:right="439" w:hanging="323"/>
        <w:spacing w:after="0" w:line="230" w:lineRule="auto"/>
        <w:tabs>
          <w:tab w:leader="none" w:pos="182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related-party amounts of $0.1 million and $5.8 million for general administrative expenses for the years ended December 31, 2025 and 2024, respectively. See Note 17 to our consolidated financial statements included elsewhere in this prospectus.</w:t>
      </w:r>
    </w:p>
    <w:p>
      <w:pPr>
        <w:ind w:left="1820" w:right="419" w:hanging="323"/>
        <w:spacing w:after="0" w:line="219" w:lineRule="auto"/>
        <w:tabs>
          <w:tab w:leader="none" w:pos="182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Notes 2 and 16 to our consolidated financial statements included elsewhere in this prospectus for details on the calculation of basic and diluted net loss per share attributable to common stockholders.</w:t>
      </w:r>
    </w:p>
    <w:p>
      <w:pPr>
        <w:ind w:left="1820" w:right="419" w:hanging="323"/>
        <w:spacing w:after="0" w:line="226" w:lineRule="auto"/>
        <w:tabs>
          <w:tab w:leader="none" w:pos="182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 weighted-average common shares outstanding for the period. Pro forma weighted-average common shares outstanding is computed by adjusting the weighted-average common shares outstanding to give pro forma effect to the Preferred Stock Conversion as if such conversion had occurred on January 1, 2025. Pro forma basic and diluted net loss per share attributable to common stockholders does not include the effect of the shares expected to be sold in this offering.</w:t>
      </w:r>
    </w:p>
    <w:p>
      <w:pPr>
        <w:spacing w:after="0" w:line="158"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56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vMerge w:val="restart"/>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Pro</w:t>
            </w:r>
          </w:p>
        </w:tc>
        <w:tc>
          <w:tcPr>
            <w:tcW w:w="200" w:type="dxa"/>
            <w:vAlign w:val="bottom"/>
          </w:tcPr>
          <w:p>
            <w:pPr>
              <w:spacing w:after="0"/>
              <w:rPr>
                <w:sz w:val="7"/>
                <w:szCs w:val="7"/>
                <w:color w:val="auto"/>
              </w:rPr>
            </w:pPr>
          </w:p>
        </w:tc>
        <w:tc>
          <w:tcPr>
            <w:tcW w:w="680" w:type="dxa"/>
            <w:vAlign w:val="bottom"/>
          </w:tcPr>
          <w:p>
            <w:pPr>
              <w:jc w:val="center"/>
              <w:ind w:right="62"/>
              <w:spacing w:after="0" w:line="87"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620" w:type="dxa"/>
            <w:vAlign w:val="bottom"/>
          </w:tcPr>
          <w:p>
            <w:pPr>
              <w:spacing w:after="0"/>
              <w:rPr>
                <w:sz w:val="10"/>
                <w:szCs w:val="10"/>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As</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 xml:space="preserve">Forma </w:t>
            </w:r>
            <w:r>
              <w:rPr>
                <w:rFonts w:ascii="Times New Roman" w:cs="Times New Roman" w:eastAsia="Times New Roman" w:hAnsi="Times New Roman"/>
                <w:sz w:val="8"/>
                <w:szCs w:val="8"/>
                <w:b w:val="1"/>
                <w:bCs w:val="1"/>
                <w:color w:val="auto"/>
              </w:rPr>
              <w:t>(1)</w:t>
            </w:r>
          </w:p>
        </w:tc>
        <w:tc>
          <w:tcPr>
            <w:tcW w:w="20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 xml:space="preserve">Adjusted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06"/>
        </w:trPr>
        <w:tc>
          <w:tcPr>
            <w:tcW w:w="56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ind w:left="300"/>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investments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  46,042</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  46,042</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Working capital </w:t>
            </w:r>
            <w:r>
              <w:rPr>
                <w:rFonts w:ascii="Times New Roman" w:cs="Times New Roman" w:eastAsia="Times New Roman" w:hAnsi="Times New Roman"/>
                <w:sz w:val="19"/>
                <w:szCs w:val="19"/>
                <w:color w:val="auto"/>
                <w:vertAlign w:val="superscript"/>
              </w:rPr>
              <w:t>(3)</w:t>
            </w: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210,448</w:t>
            </w: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4"/>
                <w:szCs w:val="14"/>
                <w:color w:val="auto"/>
              </w:rPr>
              <w:t>210,488</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249,009</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249,009</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16,226</w:t>
            </w: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4"/>
                <w:szCs w:val="14"/>
                <w:color w:val="auto"/>
              </w:rPr>
              <w:t>16,226</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325,328</w:t>
            </w: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(114,109)</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4"/>
                <w:szCs w:val="14"/>
                <w:color w:val="auto"/>
              </w:rPr>
              <w:t>(114,109)</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(92,545)</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232,783</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820" w:right="419" w:hanging="323"/>
        <w:spacing w:after="0" w:line="230" w:lineRule="auto"/>
        <w:tabs>
          <w:tab w:leader="none" w:pos="18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 forma balance sheet data give effect to (i) the Preferred Stock Conversion and (ii) the filing and effectiveness of our amended and restated certificate of incorporation in Delaware immediately prior to the completion of this offering.</w:t>
      </w:r>
    </w:p>
    <w:p>
      <w:pPr>
        <w:ind w:left="1820" w:hanging="323"/>
        <w:spacing w:after="0" w:line="219" w:lineRule="auto"/>
        <w:tabs>
          <w:tab w:leader="none" w:pos="18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 forma as adjusted balance sheet data give effect to (i) the pro forma adjustments set forth in footnote (1) above and (ii) the issuance and sale of shares of our common</w:t>
      </w:r>
    </w:p>
    <w:p>
      <w:pPr>
        <w:ind w:left="1820" w:right="399"/>
        <w:spacing w:after="0" w:line="219" w:lineRule="auto"/>
        <w:rPr>
          <w:sz w:val="20"/>
          <w:szCs w:val="20"/>
          <w:color w:val="auto"/>
        </w:rPr>
      </w:pPr>
      <w:r>
        <w:rPr>
          <w:rFonts w:ascii="Times New Roman" w:cs="Times New Roman" w:eastAsia="Times New Roman" w:hAnsi="Times New Roman"/>
          <w:sz w:val="11"/>
          <w:szCs w:val="11"/>
          <w:color w:val="auto"/>
        </w:rPr>
        <w:t xml:space="preserve">stock in this offering at an assumed initial public offering price of $      </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 per share, which is the midpoint of the price range set forth on the cover page of this prospectus, after deducting the estimated underwriting discounts and commissions and estimated offering expenses payable by us. Pro forma as adjusted balance sheet data is illustrative only and will change based on the actual initial public offering price and other terms of this offering determined at pricing. Each $1.00 increase (decrease) in the assumed initial public offering price of $      </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 per share, which is the midpoint of the price range set forth on the cover page of this prospectus, would increase (decrease) the pro forma as adjusted amount of each of cash, cash equivalents, and investments, working capital, total assets, and total stockholders’ equity by approximately $      </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 , assuming that the number of shares offered by us, as set forth on the cover page of this prospectus, remains the same, and after deducting the estimated underwriting discounts and commissions and estimated offering expenses payable by us. Each 1,000,000 increase (decrease) in the number of shares offered by us, as set forth on the cover page of this prospectus, would increase (decrease) the pro forma as adjusted amount of each of cash, cash equivalents, and investments, working capital, total assets and total stockholders’ equity by approximately $      </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 million, assuming no change in the assumed initial offering price per share, and after deducting the estimated underwriting discounts and commissions and estimated offering expenses payable by us.</w:t>
      </w:r>
    </w:p>
    <w:p>
      <w:pPr>
        <w:spacing w:after="0" w:line="2" w:lineRule="exact"/>
        <w:rPr>
          <w:sz w:val="20"/>
          <w:szCs w:val="20"/>
          <w:color w:val="auto"/>
        </w:rPr>
      </w:pPr>
    </w:p>
    <w:p>
      <w:pPr>
        <w:ind w:left="1820" w:right="479" w:hanging="323"/>
        <w:spacing w:after="0" w:line="236" w:lineRule="auto"/>
        <w:tabs>
          <w:tab w:leader="none" w:pos="18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working capital as current assets less current liabilities. See our consolidated financial statements appearing elsewhere in this prospectus for further details regarding our current assets and current liabilities.</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consider and read carefully all of the risks and uncertainties described below, as well as the other information in this prospectus, including our consolidated financial statements and the related notes included elsewhere in this prospectus and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This prospectus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Limited Operating History, Financial Condition, and Need for Additional Capital</w:t>
      </w:r>
    </w:p>
    <w:p>
      <w:pPr>
        <w:spacing w:after="0" w:line="91" w:lineRule="exact"/>
        <w:rPr>
          <w:sz w:val="20"/>
          <w:szCs w:val="20"/>
          <w:color w:val="auto"/>
        </w:rPr>
      </w:pPr>
    </w:p>
    <w:p>
      <w:pPr>
        <w:ind w:left="1360" w:right="21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135" w:lineRule="exact"/>
        <w:rPr>
          <w:sz w:val="20"/>
          <w:szCs w:val="20"/>
          <w:color w:val="auto"/>
        </w:rPr>
      </w:pPr>
    </w:p>
    <w:p>
      <w:pPr>
        <w:ind w:left="1360" w:right="239" w:firstLine="343"/>
        <w:spacing w:after="0"/>
        <w:rPr>
          <w:sz w:val="20"/>
          <w:szCs w:val="20"/>
          <w:color w:val="auto"/>
        </w:rPr>
      </w:pPr>
      <w:r>
        <w:rPr>
          <w:rFonts w:ascii="Times New Roman" w:cs="Times New Roman" w:eastAsia="Times New Roman" w:hAnsi="Times New Roman"/>
          <w:sz w:val="14"/>
          <w:szCs w:val="14"/>
          <w:color w:val="auto"/>
        </w:rPr>
        <w:t>We are a clinical-stage therapeutics company with a limited operating history. We were formed by PureTech Health plc, or PureTech, in April 2024 and our operations to date have been limited to organizing and staffing our company, business planning, raising capital, advancing our Glyph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platform and technology, identifying potential product candidates, securing intellectual property rights, and planning and undertaking preclinical studies and clinical trials. Our Glyph platform was being developed by members of our current team during their tenure at PureTech up to the date of our entry into an Asset Transfer Agreement , or the Asset Transfer Agreement, with PureTech Health LLC, or PureTech Health, and PureTech LYT, Inc., or PureTech LYT, at which time we became a standalone company. As such, our results of operations for the period from January 1, 2024 to April 7, 2024, which are included in the consolidated financial statements for the year ended December 31, 2024, have been carved out from the results of operations of PureTech that were attributable to operations related to our Glyph platform and our product candidates, based on management estimates, assumptions, and judgments about appropriate allocation and may not be indicative of what they would have been had we actually been an independent standalone entity throughout such period, nor are they necessarily indicative of our future results of operations, financial position, and cash flows.</w:t>
      </w:r>
    </w:p>
    <w:p>
      <w:pPr>
        <w:spacing w:after="0" w:line="160" w:lineRule="exact"/>
        <w:rPr>
          <w:sz w:val="20"/>
          <w:szCs w:val="20"/>
          <w:color w:val="auto"/>
        </w:rPr>
      </w:pPr>
    </w:p>
    <w:p>
      <w:pPr>
        <w:ind w:left="1360" w:right="319" w:firstLine="343"/>
        <w:spacing w:after="0" w:line="225" w:lineRule="auto"/>
        <w:rPr>
          <w:sz w:val="20"/>
          <w:szCs w:val="20"/>
          <w:color w:val="auto"/>
        </w:rPr>
      </w:pPr>
      <w:r>
        <w:rPr>
          <w:rFonts w:ascii="Times New Roman" w:cs="Times New Roman" w:eastAsia="Times New Roman" w:hAnsi="Times New Roman"/>
          <w:sz w:val="14"/>
          <w:szCs w:val="14"/>
          <w:color w:val="auto"/>
        </w:rPr>
        <w:t>At Seaport, we have not yet demonstrated an ability to generate product or collaboration revenues, obtain regulatory approvals, manufacture any product on a commercial scale or arrange for a third party to do so on our behalf or conduct sales and marketing activities necessary for successful product commercialization. All preclinical and early clinical development of GlyphAllo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(SPT-300), certain preclinical development of GlyphAgo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(SPT-320) and our other candidates prior to our formation was conducted when we were part of PureTech. Despite our affiliation with PureTech, and members of our current team’s involvement in the development of the Glyph platform while at PureTech, our limited operating history as a standalone company makes any reliance on past performance uncertain. We will encounter risks and difficulties frequently experienced by early-stage therapeutics companies in rapidly evolving fields, and we have not yet demonstrated an ability to successfully overcome such risks and difficulties. If we do not address these risks and difficulties successfully, our business will suffer.</w:t>
      </w:r>
    </w:p>
    <w:p>
      <w:pPr>
        <w:spacing w:after="0" w:line="155"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success of our business depends primarily upon our ability to identify, develop, and commercialize product candidates based on our Glyph platform. We do not know whether we will be able to develop any product candidates that succeed through clinical development or to develop products of commercial value. We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have no products approved for commercial sale and have not generated any revenue from product sales or collaboration arrangements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$74.9 million and $46.9 million for the years ended December 31, 2025 and 2024, respectively. As of December 31, 2025, we have not yet generated product or collaboration revenue and had an accumulated deficit of $114.1 million. We expect to continue to incur significant losses for the foreseeable future, and we expect these losses to increase as we continue our research and development of, and seek regulatory approvals for, our product candidates. The success of our product candidates will depend on several factors, including the following:</w:t>
      </w:r>
    </w:p>
    <w:p>
      <w:pPr>
        <w:spacing w:after="0" w:line="72" w:lineRule="exact"/>
        <w:rPr>
          <w:sz w:val="20"/>
          <w:szCs w:val="20"/>
          <w:color w:val="auto"/>
        </w:rPr>
      </w:pPr>
    </w:p>
    <w:p>
      <w:pPr>
        <w:ind w:left="2120" w:right="51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and completion of preclinical studies with favorable results, including toxicology and other studies designed to be compliant with good laboratory practice, or GLP, requirements;</w:t>
      </w:r>
    </w:p>
    <w:p>
      <w:pPr>
        <w:spacing w:after="0" w:line="51" w:lineRule="exact"/>
        <w:rPr>
          <w:rFonts w:ascii="Times New Roman" w:cs="Times New Roman" w:eastAsia="Times New Roman" w:hAnsi="Times New Roman"/>
          <w:sz w:val="14"/>
          <w:szCs w:val="14"/>
          <w:color w:val="auto"/>
        </w:rPr>
      </w:pPr>
    </w:p>
    <w:p>
      <w:pPr>
        <w:ind w:left="2120" w:right="379" w:hanging="345"/>
        <w:spacing w:after="0" w:line="267"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 to proceed with clinical trials under Investigational New Drug applications, or INDs, by the United States Food and Drug Administration, or the FDA, or of similar regulatory submissions by comparable foreign regulatory authorities for the conduct of clinical trials of our product candidates;</w:t>
      </w:r>
    </w:p>
    <w:p>
      <w:pPr>
        <w:spacing w:after="0" w:line="6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enrollment, and completion of clinical studies in accordance with good clinical practice, or GCPs, requirements and other applicable rules and regulations;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frequency and severity of adverse events, or AEs, observed in clinical trials;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establishing relationships with contract research organizations, or CROs, and clinical sites for the clinical development of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demonstrating the safety and efficacy of our product candidates to the satisfaction of the FDA and other applicable regulatory authorities;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approvals from applicable regulatory authorities, including approvals of New Drug applications, or NDAs, from the FDA, and maintaining any such approvals;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arrangements with third-party manufacturers for, or establishing, clinical or commercial manufacturing capabilities;</w:t>
      </w:r>
    </w:p>
    <w:p>
      <w:pPr>
        <w:spacing w:after="0" w:line="101" w:lineRule="exact"/>
        <w:rPr>
          <w:rFonts w:ascii="Times New Roman" w:cs="Times New Roman" w:eastAsia="Times New Roman" w:hAnsi="Times New Roman"/>
          <w:sz w:val="14"/>
          <w:szCs w:val="14"/>
          <w:color w:val="auto"/>
        </w:rPr>
      </w:pPr>
    </w:p>
    <w:p>
      <w:pPr>
        <w:ind w:left="2120" w:right="77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launching commercial sales of our product candidates, if and when approved, either alone or in collaboration with others;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establishing, and maintaining patent and trade secret protection or regulatory exclusivity for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acceptable safety profile of our product candidates following regulatory approval, if any;</w:t>
      </w:r>
    </w:p>
    <w:p>
      <w:pPr>
        <w:spacing w:after="0" w:line="101" w:lineRule="exact"/>
        <w:rPr>
          <w:rFonts w:ascii="Times New Roman" w:cs="Times New Roman" w:eastAsia="Times New Roman" w:hAnsi="Times New Roman"/>
          <w:sz w:val="14"/>
          <w:szCs w:val="14"/>
          <w:color w:val="auto"/>
        </w:rPr>
      </w:pPr>
    </w:p>
    <w:p>
      <w:pPr>
        <w:ind w:left="2120" w:right="73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growing an organization of people who can develop and, if approved, commercialize, market and sell our product candidates, if approved;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approved, by patients, the medical community and third-party payors.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anticipate that our expenses will increase substantially if, and as, we:</w:t>
      </w:r>
    </w:p>
    <w:p>
      <w:pPr>
        <w:spacing w:after="0" w:line="102" w:lineRule="exact"/>
        <w:rPr>
          <w:sz w:val="20"/>
          <w:szCs w:val="20"/>
          <w:color w:val="auto"/>
        </w:rPr>
      </w:pPr>
    </w:p>
    <w:p>
      <w:pPr>
        <w:ind w:left="2120" w:right="23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product candidates through preclinical and clinical development, including advancing GlyphAllo and GlyphAgo through later-stage clinical trials, and other candidates through discovery and early clinical and preclinical stages;</w:t>
      </w:r>
    </w:p>
    <w:p>
      <w:pPr>
        <w:spacing w:after="0" w:line="51" w:lineRule="exact"/>
        <w:rPr>
          <w:rFonts w:ascii="Times New Roman" w:cs="Times New Roman" w:eastAsia="Times New Roman" w:hAnsi="Times New Roman"/>
          <w:sz w:val="14"/>
          <w:szCs w:val="14"/>
          <w:color w:val="auto"/>
        </w:rPr>
      </w:pPr>
    </w:p>
    <w:p>
      <w:pPr>
        <w:ind w:left="2120" w:right="113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our product candidates that successfully complete clinical trials from the U.S. Food and Drug Administration, or the FDA, and/or other foreign comparable regulatory authorities;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quality control, medical, scientific, and other technical personnel to support the clinical development of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internal capabilities to support clinical-stage development;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headcount as we expand our research and development organization, and pre-commercial planning activities;</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any activities to establish sales, marketing, and distribution capabilities in preparation for commercialization, as applicable, including hiring additional personnel to support such operations;</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heightened regulatory scrutiny;</w:t>
      </w:r>
    </w:p>
    <w:p>
      <w:pPr>
        <w:spacing w:after="0" w:line="101" w:lineRule="exact"/>
        <w:rPr>
          <w:rFonts w:ascii="Times New Roman" w:cs="Times New Roman" w:eastAsia="Times New Roman" w:hAnsi="Times New Roman"/>
          <w:sz w:val="14"/>
          <w:szCs w:val="14"/>
          <w:color w:val="auto"/>
        </w:rPr>
      </w:pPr>
    </w:p>
    <w:p>
      <w:pPr>
        <w:ind w:left="2120" w:right="819" w:hanging="345"/>
        <w:spacing w:after="0" w:line="323" w:lineRule="auto"/>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milestone, royalty, or other payments due under the Asset Transfer Agreement and/or the License Agreement with Monash University, or the Monash License Agreement, and any future in-license or collaboration agreements with third parties; and</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legal, accounting, and other expenses associated with operating as a public company.</w:t>
      </w:r>
    </w:p>
    <w:p>
      <w:pPr>
        <w:spacing w:after="0" w:line="175"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Therapeutic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therapeutics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4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Additionally, our expenses could increase beyond our expectations if we are required by the FDA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134" w:lineRule="exact"/>
        <w:rPr>
          <w:sz w:val="20"/>
          <w:szCs w:val="20"/>
          <w:color w:val="auto"/>
        </w:rPr>
      </w:pPr>
    </w:p>
    <w:p>
      <w:pPr>
        <w:ind w:left="1360" w:right="439" w:firstLine="343"/>
        <w:spacing w:after="0" w:line="326" w:lineRule="auto"/>
        <w:rPr>
          <w:sz w:val="20"/>
          <w:szCs w:val="20"/>
          <w:color w:val="auto"/>
        </w:rPr>
      </w:pPr>
      <w:r>
        <w:rPr>
          <w:rFonts w:ascii="Times New Roman" w:cs="Times New Roman" w:eastAsia="Times New Roman" w:hAnsi="Times New Roman"/>
          <w:sz w:val="13"/>
          <w:szCs w:val="13"/>
          <w:b w:val="1"/>
          <w:bCs w:val="1"/>
          <w:i w:val="1"/>
          <w:iCs w:val="1"/>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00"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Developing therapeutic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candidates, continue to identify additional targets using our Glyph platform, commence additional preclinical studies and clinical trials, and continue to identify and develop additional product candidates either through internal development or through acquisitions or in-licensing product candidates.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As of December 31, 2025, we had $233.7 million of cash, cash equivalents and investments. Based upon our current operating plan, we believe that our existing cash, cash equivalents, and investments, together with the net proceeds from this offering, will enable us to fund our operating expenses and capital expenditure requirements through        .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70" w:lineRule="exact"/>
        <w:rPr>
          <w:sz w:val="20"/>
          <w:szCs w:val="20"/>
          <w:color w:val="auto"/>
        </w:rPr>
      </w:pPr>
    </w:p>
    <w:p>
      <w:pPr>
        <w:ind w:left="2120" w:right="53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progress, costs, and results of discovery, preclinical development and clinical trials for our current or future product candidates and effectiveness of our Glyph platform;</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trials required for regulatory approval of our current or future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any of our current or future product candidates;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our current or future product candidates;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1" w:lineRule="exact"/>
        <w:rPr>
          <w:rFonts w:ascii="Times New Roman" w:cs="Times New Roman" w:eastAsia="Times New Roman" w:hAnsi="Times New Roman"/>
          <w:sz w:val="14"/>
          <w:szCs w:val="14"/>
          <w:color w:val="auto"/>
        </w:rPr>
      </w:pPr>
    </w:p>
    <w:p>
      <w:pPr>
        <w:ind w:left="2120" w:right="619" w:hanging="345"/>
        <w:spacing w:after="0" w:line="323" w:lineRule="auto"/>
        <w:tabs>
          <w:tab w:leader="none" w:pos="2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28" w:lineRule="exact"/>
        <w:rPr>
          <w:rFonts w:ascii="Times New Roman" w:cs="Times New Roman" w:eastAsia="Times New Roman" w:hAnsi="Times New Roman"/>
          <w:sz w:val="13"/>
          <w:szCs w:val="13"/>
          <w:color w:val="auto"/>
        </w:rPr>
      </w:pPr>
    </w:p>
    <w:p>
      <w:pPr>
        <w:ind w:left="2120" w:right="55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attract, hire, and retain skilled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commercially viable pricing structure and obtain approval for coverage and adequate reimbursement from third-party and government payors;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macroeconomic trends including inflation, tariffs, and fluctuating interest rates;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potential supply chain interruptions or delays;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w:t>
      </w:r>
    </w:p>
    <w:p>
      <w:pPr>
        <w:spacing w:after="0" w:line="17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upon the completion of this offering, we expect to incur additional costs associated with operating as a public company. Accordingly, we will need to obtain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139" w:lineRule="exact"/>
        <w:rPr>
          <w:sz w:val="20"/>
          <w:szCs w:val="20"/>
          <w:color w:val="auto"/>
        </w:rPr>
      </w:pPr>
    </w:p>
    <w:p>
      <w:pPr>
        <w:ind w:left="1360" w:right="57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product candidates.</w:t>
      </w:r>
    </w:p>
    <w:p>
      <w:pPr>
        <w:spacing w:after="0" w:line="123"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 we expect to finance our operations with our existing cash, cash equivalents, and investments, the net proceeds from this offering, any future equity, debt, royalty, other financings, or any future proceeds received under any licenses or collaborations, if any.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Attempting to secure additional financing may also divert management from our day-to-day activities. Any of these occurrences may have a material adverse effect on our business, financial condition, results of operations, and prospects.</w:t>
      </w:r>
    </w:p>
    <w:p>
      <w:pPr>
        <w:spacing w:after="0" w:line="3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91" w:lineRule="exact"/>
        <w:rPr>
          <w:sz w:val="20"/>
          <w:szCs w:val="20"/>
          <w:color w:val="auto"/>
        </w:rPr>
      </w:pPr>
    </w:p>
    <w:p>
      <w:pPr>
        <w:ind w:left="1360" w:right="35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business is highly dependent on the success of our product candidates, particularly GlyphAllo for the treatment of major depressive disorder, or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140"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To date, as an organization, we have not completed the development of any product candidates and nearly all of our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that we pursue will require substantial additional investment for clinical development, regulatory review, and approval in one or more jurisdictions. If any of our product candidates, particularly GlyphAllo for MDD with or without anxious distress, and GlyphAgo for GAD and MDD, encounters safety or efficacy problems, development delays or regulatory issues, or other problems, our development plans and business would be materially harmed.</w:t>
      </w:r>
    </w:p>
    <w:p>
      <w:pPr>
        <w:spacing w:after="0" w:line="143"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51" w:lineRule="exact"/>
        <w:rPr>
          <w:sz w:val="20"/>
          <w:szCs w:val="20"/>
          <w:color w:val="auto"/>
        </w:rPr>
      </w:pPr>
    </w:p>
    <w:p>
      <w:pPr>
        <w:ind w:left="2120" w:right="37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other comparable regulatory authorities that our product candidates are safe and effective;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insufficiency of our financial and other resources to complete the necessary clinical trials and preclinical studies;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product-related AEs experienced by subjects in our clinical trials, including unexpected toxicity results, or by individuals using drugs or therapeutic biologics similar to our product candidates;</w:t>
      </w:r>
    </w:p>
    <w:p>
      <w:pPr>
        <w:spacing w:after="0" w:line="5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submitting an IND application, a New Drug Application, or an NDA, or other regulatory submission to the FDA or other comparable regulatory authorities, delays or failure in obtaining the necessary approvals from regulators to commence a clinical trial, or a suspension, termination, or hold, of a clinical trial once commenced;</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by the FDA or other comparable regulatory authorities regarding the scope or design of our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effectiveness of our product candidates during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enrolling subjects in our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drop-out rates of subjects from our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supply or quality of product candidates or other materials necessary for the conduct of our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anticipated clinical trial or manufacturing costs;</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FDA or other comparable regulatory authority inspection and review of our clinical trial sites, manufacturing sites, or those of our partners;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contractors or investigators to comply with regulatory requirements or the clinical trial protocol or otherwise meet their contractual obligations in a timely manner, or at all;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with existing platforms, product candidates, or therapies;</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and changes in regulatory requirements, policies, and guidelines, including the imposition of additional regulatory oversight around clinical testing generally or with respect to our therapies in particular;</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insufficiency of our financial and other resources to complete the necessary activities to prepare for launch, commercialization and/or resources to address coverage and reimbursement matters to the extent any of our products receive approval;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data by the FDA or other comparable regulatory authorities.</w:t>
      </w:r>
    </w:p>
    <w:p>
      <w:pPr>
        <w:spacing w:after="0" w:line="173"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Clinical and preclinical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p>
    <w:p>
      <w:pPr>
        <w:spacing w:after="0" w:line="13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other comparable regulatory authorities along with other information, including information about product candidate chemistry, manufacturing and controls, and our proposed clinical trial protocol, as part of an IND or similar regulatory submission. The FDA or other comparable regulatory authorities may require us to conduct additional preclinical studies for any product candidate before it allows us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141"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We do not know whether our planned clinical trials will begin on time or be completed on schedule, if at all. The timing for commencement, data readouts, and completion of clinical trials can be delayed for a number of reasons, including delays related to:</w:t>
      </w:r>
    </w:p>
    <w:p>
      <w:pPr>
        <w:spacing w:after="0" w:line="49" w:lineRule="exact"/>
        <w:rPr>
          <w:sz w:val="20"/>
          <w:szCs w:val="20"/>
          <w:color w:val="auto"/>
        </w:rPr>
      </w:pPr>
    </w:p>
    <w:p>
      <w:pPr>
        <w:ind w:left="2120" w:right="459" w:hanging="345"/>
        <w:spacing w:after="0" w:line="286"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inability to generate sufficient preclinical, toxicology, or other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data to support the initiation or continuation of clinical trials;</w:t>
      </w:r>
    </w:p>
    <w:p>
      <w:pPr>
        <w:spacing w:after="0" w:line="49"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allowance or approval from regulatory authorities to commence a trial or reaching a consensus with regulatory authorities on trial design;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disagreeing as to the design or implementation of our clinical trials;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or delay in reaching an agreement with CROs and clinical trial sites, the terms of which can be subject to extensive negotiation and may vary significantly among different CROs and trial sites;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identifying, recruiting, and training suitable clinical investigators;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approval from one or more institutional review boards, or IRBs, or ethics committees at clinical trial sites;</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IRBs refusing to approve, suspending, or terminating the trial at an investigational site, precluding enrollment of additional subjects, or withdrawing their approval of the trial;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amendments to the clinical trial protocol;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the trial protocol or dropping out of a trial;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CROs to perform in accordance with GCP requirements or applicable regulatory rules and guidelines in other countries;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sufficient quantities of our product candidates for use in clinical trials;</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failing to enroll or remain in our trials at the rate we expect, or failing to return for post-treatment follow-up, including subjects failing to remain in our trials;</w:t>
      </w:r>
    </w:p>
    <w:p>
      <w:pPr>
        <w:spacing w:after="0" w:line="51" w:lineRule="exact"/>
        <w:rPr>
          <w:rFonts w:ascii="Times New Roman" w:cs="Times New Roman" w:eastAsia="Times New Roman" w:hAnsi="Times New Roman"/>
          <w:sz w:val="14"/>
          <w:szCs w:val="14"/>
          <w:color w:val="auto"/>
        </w:rPr>
      </w:pPr>
    </w:p>
    <w:p>
      <w:pPr>
        <w:ind w:left="2120" w:right="73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patients choosing an alternative product for the indications for which we are developing our product candidates, or participating in competing clinical trials;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adequate funding to continue a clinical trial or costs being greater than we anticipate;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subjects experiencing severe or serious unexpected drug-related AEs;</w:t>
      </w:r>
    </w:p>
    <w:p>
      <w:pPr>
        <w:spacing w:after="0" w:line="10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serious AEs in trials of the same class of agents conducted by other companies that could be considered similar to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of clinical endpoints that require prolonged periods of clinical observation or extended analysis of the resulting data;</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of manufacturing processes to larger-scale facilities operated by a contract manufacturing organization, or CMO, delays or failure by our CMOs or us to make any necessary changes to such manufacturing process, or failure of our CMOs to produce clinical trial materials in accordance with current Good Manufacturing Practice, or cGMP, regulations or other applicable requirements; and</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being unwilling or unable to satisfy their contractual obligations to us in a timely manner.</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Clinical trials must be conducted in accordance with the FDA and other comparable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other comparable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other comparable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46"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Further, conducting clinical trials in foreign countries, as we are currently doing and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41"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results of operations, and prospects.</w:t>
      </w:r>
    </w:p>
    <w:p>
      <w:pPr>
        <w:spacing w:after="0" w:line="142" w:lineRule="exact"/>
        <w:rPr>
          <w:sz w:val="20"/>
          <w:szCs w:val="20"/>
          <w:color w:val="auto"/>
        </w:rPr>
      </w:pPr>
    </w:p>
    <w:p>
      <w:pPr>
        <w:ind w:left="1360" w:right="23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Due to the significant resources required for the development of our pipeline and uncertainty regarding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13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seek to invent and develop new medicines for patients with depression, anxiety, and other debilitating neuropsychiatric disorders. Our lead product candidate, GlyphAllo for the treatment of MDD, with or without anxious distress, has been evaluated in Phase 1 and Phase 2a studies in healthy volunteers and is currently in Phase 2b clinical development in our BUOY-1 trial. Our second product candidate, GlyphAgo, is being evaluated in an ongoing Phase 1 trial and we intend to advance GlyphAgo into parallel Phase 2a and Phase 2b clinical trials. Our third product candidate, Glyph2BLSD, is in preclinical studies and our other programs are at various stages of discovery and preclinical development.</w:t>
      </w:r>
    </w:p>
    <w:p>
      <w:pPr>
        <w:spacing w:after="0" w:line="14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96" w:lineRule="auto"/>
        <w:rPr>
          <w:sz w:val="20"/>
          <w:szCs w:val="20"/>
          <w:color w:val="auto"/>
        </w:rPr>
      </w:pPr>
      <w:r>
        <w:rPr>
          <w:rFonts w:ascii="Times New Roman" w:cs="Times New Roman" w:eastAsia="Times New Roman" w:hAnsi="Times New Roman"/>
          <w:sz w:val="13"/>
          <w:szCs w:val="13"/>
          <w:color w:val="auto"/>
        </w:rPr>
        <w:t>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118" w:lineRule="exact"/>
        <w:rPr>
          <w:sz w:val="20"/>
          <w:szCs w:val="20"/>
          <w:color w:val="auto"/>
        </w:rPr>
      </w:pPr>
    </w:p>
    <w:p>
      <w:pPr>
        <w:ind w:left="1360" w:right="35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third parties on which we rely,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140"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(such as our third-party CROs, and other contractors and consultants)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44"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The legislative and regulatory framework for the processing of personal data worldwide is rapidly evolving and is likely to remain uncertain for the foreseeable future. Numerous federal, state, and local laws and regulations, including federal and state information security and data breach notification laws and regulations, federal and state consumer protection laws (e.g., Section 5 of the Federal Trade Commission Act), and other similar laws (e.g., wiretapping laws) govern the processing of health-related and other personal data. Many of these laws and regulations differ from each other and from the Health Insurance Portability and Accountability Act of 1996, or HIPAA, thus complicating compliance efforts. Failure to comply with these laws, where applicable, can result in the imposition of significant civil and/or criminal penalties, private litigation, and injunctive relief. In the event that we are subject to or affected by HIPAA or other domestic privacy and data protection laws, any liability from failure to comply with the requirements of these laws could adversely affect our financial condition.</w:t>
      </w:r>
    </w:p>
    <w:p>
      <w:pPr>
        <w:spacing w:after="0" w:line="14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 comprehensive privacy laws that are in effect at the state level generally exempt certain data processed in the context of clinical trials, the continued development of new privacy laws at the state level may further complicate compliance efforts, and increase legal risk and compliance costs for us and the third parties upon whom we rely. Further proposed privacy legislation, if enacted, may add additional complexity, variation in requirements, restrictions and potential legal risk, require additional investment of resources in compliance programs, impact strategies and the availability of data and information that could be of potential use to the growth and development of our business, and could result in increased compliance costs and/or the necessity of making changes in our business practices and policies. The continued further development of privacy laws in different states in the country would make our compliance obligations more complex and costly and may increase the likelihood that we may be subject to enforcement actions or otherwise incur liability for noncompliance.</w:t>
      </w:r>
    </w:p>
    <w:p>
      <w:pPr>
        <w:spacing w:after="0" w:line="144" w:lineRule="exact"/>
        <w:rPr>
          <w:sz w:val="20"/>
          <w:szCs w:val="20"/>
          <w:color w:val="auto"/>
        </w:rPr>
      </w:pPr>
    </w:p>
    <w:p>
      <w:pPr>
        <w:ind w:left="1360" w:right="519" w:firstLine="343"/>
        <w:spacing w:after="0" w:line="296" w:lineRule="auto"/>
        <w:rPr>
          <w:sz w:val="20"/>
          <w:szCs w:val="20"/>
          <w:color w:val="auto"/>
        </w:rPr>
      </w:pPr>
      <w:r>
        <w:rPr>
          <w:rFonts w:ascii="Times New Roman" w:cs="Times New Roman" w:eastAsia="Times New Roman" w:hAnsi="Times New Roman"/>
          <w:sz w:val="13"/>
          <w:szCs w:val="13"/>
          <w:color w:val="auto"/>
        </w:rPr>
        <w:t>Additionally, we may be subject to new laws governing the privacy of certain specific types of data, including, most notably, consumer health data. For example, Washington State’s My Health My Data Act broadly defines consumer health data, creates a private right of action to allow individuals to sue for violations of the law, imposes stringent consent requirements, and grants consumers certain rights with respect to their health</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data, including to request deletion of their information. Connecticut and Nevada have also passed similar laws regulating consumer health data. State laws are changing rapidly and there is ongoing discussion in the U.S. Congress of a new comprehensive federal data privacy law to which we would likely become subject, if enacted. These various privacy and data security laws may impact our business activities, including our identification of research subjects, relationships with business partners, and ultimately the marketing and distribution of our products.</w:t>
      </w:r>
    </w:p>
    <w:p>
      <w:pPr>
        <w:spacing w:after="0" w:line="14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may govern privacy and data security. For example, the European Union’s General Data Protection Regulation, or EU GDPR, and the United Kingdom’s, or UK’s, GDPR, or UK GDPR, impose strict requirements for processing personal data. The EU GDPR and the UK GDPR, or together, GDPR, establish stringent requirements regarding the processing of personal data, including strict requirements relating to processing of sensitive data (such as health data), ensuring there is a legal basis or condition to justify the processing of personal data, where required strict requirements relating to obtaining consent of individuals, expanded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w:t>
      </w:r>
    </w:p>
    <w:p>
      <w:pPr>
        <w:spacing w:after="0" w:line="145" w:lineRule="exact"/>
        <w:rPr>
          <w:sz w:val="20"/>
          <w:szCs w:val="20"/>
          <w:color w:val="auto"/>
        </w:rPr>
      </w:pPr>
    </w:p>
    <w:p>
      <w:pPr>
        <w:ind w:left="1360" w:right="579" w:firstLine="343"/>
        <w:spacing w:after="0" w:line="261" w:lineRule="auto"/>
        <w:rPr>
          <w:sz w:val="20"/>
          <w:szCs w:val="20"/>
          <w:color w:val="auto"/>
        </w:rPr>
      </w:pPr>
      <w:r>
        <w:rPr>
          <w:rFonts w:ascii="Times New Roman" w:cs="Times New Roman" w:eastAsia="Times New Roman" w:hAnsi="Times New Roman"/>
          <w:sz w:val="14"/>
          <w:szCs w:val="14"/>
          <w:color w:val="auto"/>
        </w:rPr>
        <w:t>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condition, and results of operations.</w:t>
      </w:r>
    </w:p>
    <w:p>
      <w:pPr>
        <w:spacing w:after="0" w:line="141"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154" w:lineRule="exact"/>
        <w:rPr>
          <w:sz w:val="20"/>
          <w:szCs w:val="20"/>
          <w:color w:val="auto"/>
        </w:rPr>
      </w:pPr>
    </w:p>
    <w:p>
      <w:pPr>
        <w:jc w:val="both"/>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successful. We may publish privacy policies and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45"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financial condition, or results of operations,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the Discovery and Development of Our Current or Future Product Candidates</w:t>
      </w:r>
    </w:p>
    <w:p>
      <w:pPr>
        <w:spacing w:after="0" w:line="91" w:lineRule="exact"/>
        <w:rPr>
          <w:sz w:val="20"/>
          <w:szCs w:val="20"/>
          <w:color w:val="auto"/>
        </w:rPr>
      </w:pPr>
    </w:p>
    <w:p>
      <w:pPr>
        <w:ind w:left="1360" w:right="3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12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We are not permitted to commercialize, market, promote, or sell any product candidate in the United States without obtaining regulatory approval from the FDA. Other comparable regulatory authorities impose similar requirements. The time required to obtain approval by the FDA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 may have different requirements for regulatory approval, which may require us to conduct additional clinical, nonclinical, or chemistry, manufacturing, and control studies. To date, we have not submitted an NDA to the FDA or similar drug approval submissions to other comparable regulatory authorities for any product candidate. We must complete additional preclinical studies and clinical trials to demonstrate the safety and efficacy of our product candidates in humans before we will be able to obtain these approvals.</w:t>
      </w:r>
    </w:p>
    <w:p>
      <w:pPr>
        <w:spacing w:after="0" w:line="146"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Clinical testing is expensive, difficult to design and implement, can take many years to complete, and is inherently uncertain as to outcome. We cannot guarantee that our clinical trials will be conducted as planned or completed on schedule, if at all. The clinical development of our initial and potential additional product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current and future product candidates could fail to receive regulatory approval for many reasons, including the following:</w:t>
      </w:r>
    </w:p>
    <w:p>
      <w:pPr>
        <w:spacing w:after="0" w:line="102" w:lineRule="exact"/>
        <w:rPr>
          <w:sz w:val="20"/>
          <w:szCs w:val="20"/>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as to the design or implementation of our clinical trials;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other comparable regulatory authorities that a product candidate is safe and effective for its proposed indication;</w:t>
      </w:r>
    </w:p>
    <w:p>
      <w:pPr>
        <w:spacing w:after="0" w:line="51" w:lineRule="exact"/>
        <w:rPr>
          <w:rFonts w:ascii="Times New Roman" w:cs="Times New Roman" w:eastAsia="Times New Roman" w:hAnsi="Times New Roman"/>
          <w:sz w:val="14"/>
          <w:szCs w:val="14"/>
          <w:color w:val="auto"/>
        </w:rPr>
      </w:pPr>
    </w:p>
    <w:p>
      <w:pPr>
        <w:ind w:left="2120" w:right="85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other comparable regulatory authorities for approval;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clinical and other benefits outweigh its safety risks;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our interpretation of data from clinical trials or preclinical studies;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other comparable regulatory authorities may significantly change in a manner rendering our clinical data insufficient for approval.</w:t>
      </w:r>
    </w:p>
    <w:p>
      <w:pPr>
        <w:spacing w:after="0" w:line="125" w:lineRule="exact"/>
        <w:rPr>
          <w:sz w:val="20"/>
          <w:szCs w:val="20"/>
          <w:color w:val="auto"/>
        </w:rPr>
      </w:pPr>
    </w:p>
    <w:p>
      <w:pPr>
        <w:ind w:left="1360" w:right="379" w:firstLine="343"/>
        <w:spacing w:after="0" w:line="255" w:lineRule="auto"/>
        <w:rPr>
          <w:sz w:val="20"/>
          <w:szCs w:val="20"/>
          <w:color w:val="auto"/>
        </w:rPr>
      </w:pPr>
      <w:r>
        <w:rPr>
          <w:rFonts w:ascii="Times New Roman" w:cs="Times New Roman" w:eastAsia="Times New Roman" w:hAnsi="Times New Roman"/>
          <w:sz w:val="14"/>
          <w:szCs w:val="14"/>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other comparable regulatory authorities. Furthermore,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4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2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 The revisions may, however, have a significant impact on the pharmaceutical industry and our business in the long term.</w:t>
      </w:r>
    </w:p>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The FDA or other comparable regulatory authorities may disagree with our regulatory plan for our product candidates.</w:t>
      </w:r>
    </w:p>
    <w:p>
      <w:pPr>
        <w:spacing w:after="0" w:line="177"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if we elect to pursue an indication of MDD with anxious distress, we will need to be able to reliably and consistently identify this sub-population of MDD patients, and we will need to demonstrate that GlyphAllo has a differentiated effect in these patients. However, the FDA may not agree with our proposed development plans, and our clinical trial results may not support approval of our product candidates for our target indications. In addition, our product candidates could fail to receive regulatory approval, or regulatory approval could be delayed, for many reasons, including the following:</w:t>
      </w:r>
    </w:p>
    <w:p>
      <w:pPr>
        <w:spacing w:after="0" w:line="73" w:lineRule="exact"/>
        <w:rPr>
          <w:sz w:val="20"/>
          <w:szCs w:val="20"/>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not file or accept our NDA or marketing application for substantive review;</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the dosing regimen, design, or implementation of our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determine there is not substantial evidence of effectiveness to support approval;</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other comparable regulatory authorities that our product candidates are safe and effective for any of their proposed indications;</w:t>
      </w:r>
    </w:p>
    <w:p>
      <w:pPr>
        <w:spacing w:after="0" w:line="5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clinical trials may not meet the level of statistical significance required by the FDA or other comparable regulatory authorities for approval;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our product candidates’ clinical and other benefits outweigh their safety risks;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our interpretation of data from preclinical studies or clinical trials;</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the satisfaction of the FDA or other comparable regulatory authorities to support the submission of an NDA or other comparable submission in foreign jurisdictions or to obtain regulatory approval in the United States or elsewhere;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3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other comparable regulatory authorities may significantly change in a manner rendering our clinical data insufficient for approval.</w:t>
      </w:r>
    </w:p>
    <w:p>
      <w:pPr>
        <w:spacing w:after="0" w:line="123" w:lineRule="exact"/>
        <w:rPr>
          <w:sz w:val="20"/>
          <w:szCs w:val="20"/>
          <w:color w:val="auto"/>
        </w:rPr>
      </w:pPr>
    </w:p>
    <w:p>
      <w:pPr>
        <w:ind w:left="1360" w:right="3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12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 key element of our strategy is utilizing our proprietary Glyph platform, which is designed to leverage the lymphatic system to enable and enhance the oral administration of drugs, avoid first-pass liver metabolism and reduce side effects that have previously impeded the development of certain active drugs. Despite favorable results in third-party clinical trials of the active moiety that is chemically identical to the active moiety within our product candidates and the favorable results in clinical trials of our molecules and mechanisms to date, the scientific research that forms the basis of our approach is still ongoing. Each of our current product candidates utilizes our Glyph platform. As a result, we are exposed to a number of unforeseen risks related to our Glyph platform, and these risks could impact each of our product candidates.</w:t>
      </w:r>
    </w:p>
    <w:p>
      <w:pPr>
        <w:spacing w:after="0" w:line="14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Although our research and development efforts to date have resulted in a development portfolio of programs and product candidates, we may not be able to discover or identify additional candidates that could appropriately utilize our Glyph platform and thus not be able to develop product candidates to expand our development portfolio. Even if we are successful in continuing to build and expand our development portfolio, the potential product candidates that we identify may not be successful in clinical development. For example, even though our Glyph platform is intended to reduce certain side effects, our product candidates may nonetheless be shown to have harmful side effects or other characteristics that indicate that they are unlikely to offer an improvement over standard of care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w:t>
      </w:r>
    </w:p>
    <w:p>
      <w:pPr>
        <w:spacing w:after="0" w:line="143" w:lineRule="exact"/>
        <w:rPr>
          <w:sz w:val="20"/>
          <w:szCs w:val="20"/>
          <w:color w:val="auto"/>
        </w:rPr>
      </w:pPr>
    </w:p>
    <w:p>
      <w:pPr>
        <w:jc w:val="both"/>
        <w:ind w:left="1360" w:right="23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123" w:lineRule="exact"/>
        <w:rPr>
          <w:sz w:val="20"/>
          <w:szCs w:val="20"/>
          <w:color w:val="auto"/>
        </w:rPr>
      </w:pPr>
    </w:p>
    <w:p>
      <w:pPr>
        <w:jc w:val="both"/>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preclinical animal models may not translate to similar results in patients, and results from our initial studies in healthy volunteers may not translate to clinical trials in patients with MDD or GAD.</w:t>
      </w:r>
    </w:p>
    <w:p>
      <w:pPr>
        <w:spacing w:after="0" w:line="141"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AEs. Additionally, GlyphAllo is a novel, Glyphed oral prodrug of allopregnanolone, an endogenous neurosteroid with a well-established, clinically validated antidepressant, anxiolytic, and sleep-promoting effect, and GlyphAgo is a novel, Glyphed oral prodrug of agomelatine, a clinically validated antidepressant and anxiolytic. We may be unable to replicate the previous clinical efficacy observed with such molecules in clinical trials utilizing our Glyph platform.</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Additionally, we may in the future utilize an “open-label” clinical trial design for certain of our future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49"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other comparable regulatory authority approval.</w:t>
      </w:r>
    </w:p>
    <w:p>
      <w:pPr>
        <w:spacing w:after="0" w:line="134" w:lineRule="exact"/>
        <w:rPr>
          <w:sz w:val="20"/>
          <w:szCs w:val="20"/>
          <w:color w:val="auto"/>
        </w:rPr>
      </w:pPr>
    </w:p>
    <w:p>
      <w:pPr>
        <w:ind w:left="1360" w:right="12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incur unexpected costs or experience delays in completing, or ultimately be unable to complete, the development and commercialization of our product candidates.</w:t>
      </w:r>
    </w:p>
    <w:p>
      <w:pPr>
        <w:spacing w:after="0" w:line="123"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To obtain the requisite regulatory approvals to commercialize any of our product candidates, we must demonstrate through extensive preclinical studies and clinical trials that our product candidates are safe and effective in humans. We have and may in the future experience delays in our clinical trials or preclinical studies and initiating or completing additional clinical trials or preclinical studies, including as a result of regulators not allowing or delay in allowing clinical trials to proceed under an IND or similar foreign authorization (e.g. regulatory hold), or not approving or delaying approval for any clinical trial grant or similar approval we need to initiate a clinical trial or a hold on an ongoing clinical trial. We may also experience numerous unforeseen events during our clinical trials that could delay or prevent our ability to receive marketing approval or commercialize the product candidates we develop, including:</w:t>
      </w:r>
    </w:p>
    <w:p>
      <w:pPr>
        <w:spacing w:after="0" w:line="70" w:lineRule="exact"/>
        <w:rPr>
          <w:sz w:val="20"/>
          <w:szCs w:val="20"/>
          <w:color w:val="auto"/>
        </w:rPr>
      </w:pPr>
    </w:p>
    <w:p>
      <w:pPr>
        <w:ind w:left="2120" w:right="23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or other reviewing bodies may not authorize us or our investigators to commence a clinical trial, to conduct, or continue a clinical trial at a prospective or specific trial site;</w:t>
      </w:r>
    </w:p>
    <w:p>
      <w:pPr>
        <w:spacing w:after="0" w:line="5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reach agreement on acceptable terms with prospective CROs and clinical trial sites, the terms of which can be subject to extensive negotiation and may vary significantly among different CROs and trial sites;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challenges or delays in recruiting principal investigators or study sites to lead our clinical trials;</w:t>
      </w:r>
    </w:p>
    <w:p>
      <w:pPr>
        <w:spacing w:after="0" w:line="101" w:lineRule="exact"/>
        <w:rPr>
          <w:rFonts w:ascii="Times New Roman" w:cs="Times New Roman" w:eastAsia="Times New Roman" w:hAnsi="Times New Roman"/>
          <w:sz w:val="14"/>
          <w:szCs w:val="14"/>
          <w:color w:val="auto"/>
        </w:rPr>
      </w:pPr>
    </w:p>
    <w:p>
      <w:pPr>
        <w:ind w:left="2120" w:right="219" w:hanging="345"/>
        <w:spacing w:after="0" w:line="261"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67"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5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5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other reviewing bodies may find deficiencies with, fail to approve, or subsequently find fault with the manufacturing processes or facilities of third-party manufacturers with which we enter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519"/>
        <w:spacing w:after="0" w:line="267" w:lineRule="auto"/>
        <w:rPr>
          <w:sz w:val="20"/>
          <w:szCs w:val="20"/>
          <w:color w:val="auto"/>
        </w:rPr>
      </w:pPr>
      <w:r>
        <w:rPr>
          <w:rFonts w:ascii="Times New Roman" w:cs="Times New Roman" w:eastAsia="Times New Roman" w:hAnsi="Times New Roman"/>
          <w:sz w:val="14"/>
          <w:szCs w:val="14"/>
          <w:color w:val="auto"/>
        </w:rPr>
        <w:t>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62" w:lineRule="exact"/>
        <w:rPr>
          <w:sz w:val="20"/>
          <w:szCs w:val="20"/>
          <w:color w:val="auto"/>
        </w:rPr>
      </w:pPr>
    </w:p>
    <w:p>
      <w:pPr>
        <w:ind w:left="2120" w:right="23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other comparable regulatory authorities to significantly change in a manner rendering our clinical data insufficient for approval.</w:t>
      </w:r>
    </w:p>
    <w:p>
      <w:pPr>
        <w:spacing w:after="0" w:line="125"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146"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143" w:lineRule="exact"/>
        <w:rPr>
          <w:sz w:val="20"/>
          <w:szCs w:val="20"/>
          <w:color w:val="auto"/>
        </w:rPr>
      </w:pPr>
    </w:p>
    <w:p>
      <w:pPr>
        <w:ind w:left="1360" w:right="31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be associated with adverse side effects,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140"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Undesirable side effects caused by any of our product candidates could cause us or regulatory authorities to interrupt, delay, or halt clinical trials and could result in a more restrictive label, the inclusion of a Risk Evaluation and Mitigation Strategy, or REMS, or the delay or denial of regulatory approval by the FDA or other comparable regulatory authorities.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w:t>
      </w:r>
    </w:p>
    <w:p>
      <w:pPr>
        <w:spacing w:after="0" w:line="144"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We may observe safety or tolerability issues beyond those we anticipate with our product candidates in ongoing or future clinical trials. For example, to date, we have only completed clinical studies evaluating GlyphAllo in healthy volunteers, and it is possible that serious AEs related to GlyphAllo may occur in this clinical program or in our clinical programs for other product candidates. Additionally, it is possible that human subjects with MDD may experience greater side effects in our clinical program for GlyphAllo than observed in</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healthy volunteers. We continue to learn more about our product candidates, and unfavorable profiles could lead to adverse outcomes or concerns by the FDA or other comparable regulatory authorities.</w:t>
      </w:r>
    </w:p>
    <w:p>
      <w:pPr>
        <w:spacing w:after="0" w:line="125"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w:t>
      </w:r>
    </w:p>
    <w:p>
      <w:pPr>
        <w:spacing w:after="0" w:line="144" w:lineRule="exact"/>
        <w:rPr>
          <w:sz w:val="20"/>
          <w:szCs w:val="20"/>
          <w:color w:val="auto"/>
        </w:rPr>
      </w:pPr>
    </w:p>
    <w:p>
      <w:pPr>
        <w:ind w:left="1360" w:right="279" w:firstLine="343"/>
        <w:spacing w:after="0" w:line="275" w:lineRule="auto"/>
        <w:rPr>
          <w:sz w:val="20"/>
          <w:szCs w:val="20"/>
          <w:color w:val="auto"/>
        </w:rPr>
      </w:pPr>
      <w:r>
        <w:rPr>
          <w:rFonts w:ascii="Times New Roman" w:cs="Times New Roman" w:eastAsia="Times New Roman" w:hAnsi="Times New Roman"/>
          <w:sz w:val="13"/>
          <w:szCs w:val="13"/>
          <w:color w:val="auto"/>
        </w:rPr>
        <w:t>If unacceptable side effects arise in the development of our product candidates, we, the FDA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materially adversely affect our business, financial condition, results of operations, and prospects.</w:t>
      </w:r>
    </w:p>
    <w:p>
      <w:pPr>
        <w:spacing w:after="0" w:line="137"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13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In addition, some of our product candidates utilize prodrugs of drugs that have been approved by regulatory authorities, such as the FDA and other comparable regulatory authorities, which if such approval is revoked, could negatively impact the success of our own products. For example, GlyphAllo is an oral prodrug of allopregnanolone, and brexanolone, a synthetic formulation of allopregnanolone, is currently approved by FDA for the treatment of postpartum depression. GlyphAgo is an oral prodrug of agomelatine, which has been approved for the treatment of GAD in Australia and MDD in Australia and Europe. It is possible that one or more of the active moieties of our product candidates has also been approved by FDA or other comparable regulatory authorities. In addition, even if our product candidates were to receive marketing approval or be commercialized, we would continue to be subject to the risks that the FDA or other comparable regulatory authorities could revoke approval of an active moiety that is chemically identical to the active moiety within our product candidates or any active moiety as our product candidates, if applicable, or that efficacy or safety issues could arise with any active moiety that is chemically identical to the active moiety within our product candidates or active moiety as our product candidates, if applicable, which could negatively impact the commercial opportunity for our own products.</w:t>
      </w:r>
    </w:p>
    <w:p>
      <w:pPr>
        <w:spacing w:after="0" w:line="14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education, certification of health care professionals or specific monitoring, if we or others later identify undesirable side effects caused by any product that we develop alone. Other potentially significant negative consequences associated with AEs include:</w:t>
      </w:r>
    </w:p>
    <w:p>
      <w:pPr>
        <w:spacing w:after="0" w:line="51" w:lineRule="exact"/>
        <w:rPr>
          <w:sz w:val="20"/>
          <w:szCs w:val="20"/>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suspend marketing of a product, or we may decide to remove such product from the marketplace;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or change their approvals of a product;</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a product for patients, or to conduct post-marketing studies;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is administered;</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subject to fines, injunctions, or the imposition of criminal or civil penalties, or be sued and held liable for harm caused to subjects or patients;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may become less competitive, and our reputation may suffer.</w:t>
      </w:r>
    </w:p>
    <w:p>
      <w:pPr>
        <w:spacing w:after="0" w:line="17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23" w:lineRule="exact"/>
        <w:rPr>
          <w:sz w:val="20"/>
          <w:szCs w:val="20"/>
          <w:color w:val="auto"/>
        </w:rPr>
      </w:pPr>
    </w:p>
    <w:p>
      <w:pPr>
        <w:ind w:left="1360" w:right="4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2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comparable regulatory authorities in the United States, and by other comparable foreign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4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Our team expects to rely, in addition to in-house regulatory personnel, on third-party CROs and regulatory consultants to assist us in submitting and supporting the applications necessary to gain marketing approvals.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44" w:lineRule="exact"/>
        <w:rPr>
          <w:sz w:val="20"/>
          <w:szCs w:val="20"/>
          <w:color w:val="auto"/>
        </w:rPr>
      </w:pPr>
    </w:p>
    <w:p>
      <w:pPr>
        <w:jc w:val="both"/>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color w:val="auto"/>
        </w:rPr>
        <w:t>in the approval or rejection of an application. The FDA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44"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23" w:lineRule="exact"/>
        <w:rPr>
          <w:sz w:val="20"/>
          <w:szCs w:val="20"/>
          <w:color w:val="auto"/>
        </w:rPr>
      </w:pPr>
    </w:p>
    <w:p>
      <w:pPr>
        <w:ind w:left="1360" w:right="27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23"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From time to time, we may publish interim, topline, or preliminary data from our clinical trials and preclinical studies. Such announcements or publications are typically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45"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47" w:lineRule="exact"/>
        <w:rPr>
          <w:sz w:val="20"/>
          <w:szCs w:val="20"/>
          <w:color w:val="auto"/>
        </w:rPr>
      </w:pPr>
    </w:p>
    <w:p>
      <w:pPr>
        <w:ind w:left="1360" w:right="27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do not achieve our projected development and commercialization goals in the timeframes we announce and expect, the development and commercialization of our product candidates may be delayed, and our business, financial condition, and results of operations may be harmed.</w:t>
      </w:r>
    </w:p>
    <w:p>
      <w:pPr>
        <w:spacing w:after="0" w:line="123"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For planning purposes, we sometimes estimate the timing of the accomplishment of various scientific, clinical, regulatory and other product development objectives. These milestones may include our expectations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70" w:lineRule="exact"/>
        <w:rPr>
          <w:sz w:val="20"/>
          <w:szCs w:val="20"/>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capital resources or capital constraints we experience;</w:t>
      </w:r>
    </w:p>
    <w:p>
      <w:pPr>
        <w:spacing w:after="0" w:line="10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progress, costs and results of our clinical trials and research and development activities, including the extent of scheduling conflicts with participating clinicians and collaborators;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enroll patients who meet clinical trial eligibility criteria;</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receipt of approvals by the FDA and other comparable regulatory authorities and the timing thereof;</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actions, decisions, or rules issued by regulators;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sufficient, reliable and affordable supplies of materials used to manufacture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efforts of our collaborators with respect to the commercialization of our product candidates;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securing of, costs related to, and timing issues associated with, product manufacturing as well as sales and marketing activities.</w:t>
      </w:r>
    </w:p>
    <w:p>
      <w:pPr>
        <w:spacing w:after="0" w:line="175"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If we fail to achieve announced milestones in the timeframes we expect, the development and commercialization of our product candidates may be delayed, and our business, financial condition, and results of operations may be harmed.</w:t>
      </w:r>
    </w:p>
    <w:p>
      <w:pPr>
        <w:spacing w:after="0" w:line="123" w:lineRule="exact"/>
        <w:rPr>
          <w:sz w:val="20"/>
          <w:szCs w:val="20"/>
          <w:color w:val="auto"/>
        </w:rPr>
      </w:pPr>
    </w:p>
    <w:p>
      <w:pPr>
        <w:ind w:left="1360" w:right="2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concentrated our research and development efforts on the treatment of disorders of the brain and central nervous system, a field that faces certain challenges in drug development.</w:t>
      </w:r>
    </w:p>
    <w:p>
      <w:pPr>
        <w:spacing w:after="0" w:line="12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We have focused our research and development efforts on addressing disorders of the brain and central nervous system. Developing a product candidate for treatment of these diseases is difficult and subjects us to a number of challenges specific to central nervous system, or CNS, companies. In particular, many neuropsychiatric disorders, such as MDD and GAD, rely on subjective patient-reported outcomes as key clinical endpoints. This makes them more vulnerable to the placebo effect as compared to evaluating outcomes with more objective endpoints. For example, our Phase 2b BUOY-1 trial of GlyphAllo is using endpoints based on subjective assessment scales such as the HAMD-17 and the Clinical Global Impressions-Severity scale.</w:t>
      </w:r>
    </w:p>
    <w:p>
      <w:pPr>
        <w:spacing w:after="0" w:line="14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Moreover, given the history of clinical failures in this field, future clinical or regulatory failures by us or others may result in further negative perception of the likelihood of success in this field, which may significantly and adversely affect the market price of our common stock. We intend to work closely with the FDA and other comparable regulatory authorities to perform the requisite scientific analyses and evaluation in an effort to obtain regulatory approval for our product candidates; however, the process of developing our product candidates may be complex and time-consuming for the reasons described herein. We cannot be certain that our approach will lead to the development of product candidates that effectively and safely address the underlying diseases.</w:t>
      </w:r>
    </w:p>
    <w:p>
      <w:pPr>
        <w:spacing w:after="0" w:line="141" w:lineRule="exact"/>
        <w:rPr>
          <w:sz w:val="20"/>
          <w:szCs w:val="20"/>
          <w:color w:val="auto"/>
        </w:rPr>
      </w:pPr>
    </w:p>
    <w:p>
      <w:pPr>
        <w:ind w:left="1360" w:right="3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123"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Patient enrollment is a significant factor impacting the duration of our clinical trials, along with treatment duration and completion of required follow-up periods. We may experience difficulties in patient enrollment in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our clinical trials for a variety of reasons. The timely completion of clinical trials in accordance with our protocols depends, among other things, on our ability to enroll a sufficient number of patients who remain in the study until its conclusion.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Patient enrollment is affected by many factors, including:</w:t>
      </w:r>
    </w:p>
    <w:p>
      <w:pPr>
        <w:spacing w:after="0" w:line="102" w:lineRule="exact"/>
        <w:rPr>
          <w:sz w:val="20"/>
          <w:szCs w:val="20"/>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the disease under investigation;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study sites;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misrepresentation of their eligibility or non-compliance with the clinical trial protocol, resulting in the need to drop such patients from the clinical trial, increase the needed enrollment size for the clinical trial, or extend the clinical trial’s duration;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new indications for existing therapies or approval of new therapies in general;</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enrollment of prospective patients by clinical trial sites;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before completion.</w:t>
      </w:r>
    </w:p>
    <w:p>
      <w:pPr>
        <w:spacing w:after="0" w:line="175" w:lineRule="exact"/>
        <w:rPr>
          <w:sz w:val="20"/>
          <w:szCs w:val="20"/>
          <w:color w:val="auto"/>
        </w:rPr>
      </w:pPr>
    </w:p>
    <w:p>
      <w:pPr>
        <w:ind w:left="1360" w:right="259" w:firstLine="343"/>
        <w:spacing w:after="0" w:line="273" w:lineRule="auto"/>
        <w:rPr>
          <w:sz w:val="20"/>
          <w:szCs w:val="20"/>
          <w:color w:val="auto"/>
        </w:rPr>
      </w:pPr>
      <w:r>
        <w:rPr>
          <w:rFonts w:ascii="Times New Roman" w:cs="Times New Roman" w:eastAsia="Times New Roman" w:hAnsi="Times New Roman"/>
          <w:sz w:val="13"/>
          <w:szCs w:val="13"/>
          <w:color w:val="auto"/>
        </w:rPr>
        <w:t>We may experience challenges in recruiting principal investigators and patients to participate in ongoing and future clinical trials for such product candidates if we are unable to sufficiently demonstrate the potential of such product candidates to them. Furthermore, we may experience difficulties in reliably and consistently identifying the subpopulation of MDD patients with anxious distress, which may delay our recruitment efforts for our Phase 2b BUOY-1 trial. We also plan to take additional screening steps for patients beyond what certain other sponsors have done in similar trials, which may further narrow the eligible population of patients for our trials and cause delays in our recruitment efforts.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neuropsychiatric disorders such as MDD and GAD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w:t>
      </w: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spacing w:after="0" w:line="142"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123"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We have conducted and are conducting clinical trials for our product candidates outside the United States. The acceptance of study data from clinical trials conducted outside the U.S. or another jurisdiction by the FDA or other comparable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other comparable regulatory authorities will accept data from trials conducted outside of the United States or the relevant jurisdiction. If the FDA or any other comparable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144"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35" w:lineRule="exact"/>
        <w:rPr>
          <w:sz w:val="20"/>
          <w:szCs w:val="20"/>
          <w:color w:val="auto"/>
        </w:rPr>
      </w:pPr>
    </w:p>
    <w:p>
      <w:pPr>
        <w:ind w:left="1360" w:right="259" w:firstLine="343"/>
        <w:spacing w:after="0" w:line="239" w:lineRule="auto"/>
        <w:rPr>
          <w:sz w:val="20"/>
          <w:szCs w:val="20"/>
          <w:color w:val="auto"/>
        </w:rPr>
      </w:pPr>
      <w:r>
        <w:rPr>
          <w:rFonts w:ascii="Times New Roman" w:cs="Times New Roman" w:eastAsia="Times New Roman" w:hAnsi="Times New Roman"/>
          <w:sz w:val="14"/>
          <w:szCs w:val="14"/>
          <w:color w:val="auto"/>
        </w:rPr>
        <w:t>We have never commercialized a product, and even if any of our product candidates are approved by the appropriate regulatory authorities for marketing and sale, it may nonetheless fail to achieve sufficient market acceptance by physicians, patients, third-party payors and others in the medical community. The commercial success of any of our product candidates will depend significantly on the broad adoption and use of the resulting product by these individuals and organizations for approved indications. For example, Glyph2BLSD</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(SPT-348), in development for the treatment of depressive disorders, including treatment-resistant depression, or TRD, post-traumatic stress disorder, or PTSD, and headache disorders, is a Glyphed oral prodrug of the non-hallucinogenic neuroplastogen, 2-bromo-LSD. There has been recent interest in psychedelics in part because of their potential to demonstrate therapeutic effects in neuropsychiatric disorders. Although Glyph2BLSD is not a psychedelic, there is a risk that it will be viewed as such by investors and the public, or could be classified as such by regulatory authorities based on its final structure. Treatments containing controlled substances or drugs</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that have similar effects or characteristics of controlled substances may generate public controversy or unfavorable views, which could lead to delays in, and increased expenses for, and limit or restrict the introduction and marketing of such types of therapeutic candidates. For more information on controlled substances, see subsection titled “—Certain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inadequate coverage or reimbursement by third-party payors. Even if we are able to demonstrate our product candidates’ safety and efficacy to the FDA and other comparable regulatory authorities, safety or efficacy concerns in the medical community may hinder market acceptance.</w:t>
      </w:r>
    </w:p>
    <w:p>
      <w:pPr>
        <w:spacing w:after="0" w:line="14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67" w:lineRule="exact"/>
        <w:rPr>
          <w:sz w:val="20"/>
          <w:szCs w:val="20"/>
          <w:color w:val="auto"/>
        </w:rPr>
      </w:pPr>
    </w:p>
    <w:p>
      <w:pPr>
        <w:ind w:left="2120" w:right="31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of the product, including as compared to any more-established products or other alternative products that may later be approved;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the product compared to competitive therapies;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indications for which the product is approved, if any;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product is designated under physician treatment guidelines as a first-, second- or third-line therapy;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the ability of any future collaborators, to offer the product for sale at competitive prices;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convenience and ease of administration compared to alternative treatments;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and of physicians to prescribe, the product;</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all, or a portion of, out-of-pocket costs associated with the product in the absence of sufficient third-party coverage and adequate reimbursement;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acceptance into standard of care treatment algorithms by medical societies that could limit payor and physician uptake;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including distribution or use restrictions contained in the product’s approved labeling;</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sales, marketing, and distribution support;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for the targeted indications for the product;</w:t>
      </w:r>
    </w:p>
    <w:p>
      <w:pPr>
        <w:spacing w:after="0" w:line="10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adequacy of coverage and reimbursement from government payors, managed care plans, and other third-party payors, including any price concessions required by third-party payors to obtain coverage;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liability claims; and</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relating to the product, or favorable publicity about competitive products.</w:t>
      </w:r>
    </w:p>
    <w:p>
      <w:pPr>
        <w:spacing w:after="0" w:line="175"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Any failure by one or more of our product candidates that obtains regulatory approval to achieve market acceptance or commercial success would adversely affect our business prospects.</w:t>
      </w:r>
    </w:p>
    <w:p>
      <w:pPr>
        <w:spacing w:after="0" w:line="123"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discover, develop, and commercialize other product candidates, we may be unable to grow our business and our ability to achieve our strategic objectives would be impaired.</w:t>
      </w:r>
    </w:p>
    <w:p>
      <w:pPr>
        <w:spacing w:after="0" w:line="12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Although the development and commercialization of our current product candidates are our initial focus, as part of our longer-term growth strategy, we may seek to develop other product candidates leveraging our Glyph platform.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Any other potential product candidates will require additional, time-consuming development efforts prior to commercial sale, including preclinical studies, clinical trials, and approval by the FDA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49"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In addition, we intend to devote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67" w:lineRule="exact"/>
        <w:rPr>
          <w:sz w:val="20"/>
          <w:szCs w:val="20"/>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research methodology used may not be successful in identifying potential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may develop alternatives that render our product candidates obsolete;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that we develop may nevertheless be covered by third parties’ patents or other exclusive rights;</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on further study, be shown to have harmful side effects or other characteristics that indicate it is unlikely to be effective or otherwise does not meet applicable regulatory criteria;</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capable of being produced in commercial quantities at an acceptable cost, or at all;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candidate may not be accepted as safe and effective by patients, the medical community or third-party payors.</w:t>
      </w:r>
    </w:p>
    <w:p>
      <w:pPr>
        <w:spacing w:after="0" w:line="17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future acquisitions may entail numerous operational and financial risks, including:</w:t>
      </w:r>
    </w:p>
    <w:p>
      <w:pPr>
        <w:spacing w:after="0" w:line="102" w:lineRule="exact"/>
        <w:rPr>
          <w:sz w:val="20"/>
          <w:szCs w:val="20"/>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unknown liabilities;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our business and diversion of management’s time and attention to develop acquired products or technologies;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incurrence of substantial debt, dilutive issuances of securities or depletion of cash to pay for acquisitions;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expected acquisition and integration costs;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combining the operations and personnel of any acquired businesses with our operations and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amortization expenses;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relationships with key suppliers or customers of any acquired businesses due to changes in management and ownership;</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entering new markets in which we have limited or no experience;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motivate key employees of any acquired businesses.</w:t>
      </w:r>
    </w:p>
    <w:p>
      <w:pPr>
        <w:spacing w:after="0" w:line="175" w:lineRule="exact"/>
        <w:rPr>
          <w:sz w:val="20"/>
          <w:szCs w:val="20"/>
          <w:color w:val="auto"/>
        </w:rPr>
      </w:pPr>
    </w:p>
    <w:p>
      <w:pPr>
        <w:jc w:val="both"/>
        <w:ind w:left="1360" w:right="659" w:firstLine="343"/>
        <w:spacing w:after="0" w:line="267" w:lineRule="auto"/>
        <w:rPr>
          <w:sz w:val="20"/>
          <w:szCs w:val="20"/>
          <w:color w:val="auto"/>
        </w:rPr>
      </w:pPr>
      <w:r>
        <w:rPr>
          <w:rFonts w:ascii="Times New Roman" w:cs="Times New Roman" w:eastAsia="Times New Roman" w:hAnsi="Times New Roman"/>
          <w:sz w:val="14"/>
          <w:szCs w:val="14"/>
          <w:color w:val="auto"/>
        </w:rPr>
        <w:t>To finance any acquisitions, we may choose to issue shares of our common stock as consideration, which could dilute the ownership of our stockholders. If the price of our common stock is low or volatile, we may be unable to consummate any acquisitions using our common stock as consideration. Additional funds may not be available on terms that are favorable to us, or at all.</w:t>
      </w:r>
    </w:p>
    <w:p>
      <w:pPr>
        <w:spacing w:after="0" w:line="136"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23" w:lineRule="exact"/>
        <w:rPr>
          <w:sz w:val="20"/>
          <w:szCs w:val="20"/>
          <w:color w:val="auto"/>
        </w:rPr>
      </w:pPr>
    </w:p>
    <w:p>
      <w:pPr>
        <w:ind w:left="1360" w:right="419" w:firstLine="343"/>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spacing w:after="0" w:line="143"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Our pipeline includes product candidates for a variety of neuropsychiatric disorders, including MDD and GAD.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MDD and GAD,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ability to generate revenues and achieve profitability or to meet our expectations with respect to the foregoing.</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13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clinical and commercial landscapes for the treatment of neuropsychiatric disorders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CNS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4"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We are aware that a significant number of product candidates are currently under development for MDD, GAD, and other indications that we are currently pursuing and may pursue, and some or all may become commercially available in the future for the treatment of conditions for which we are trying or may try to develop product candidates. Additionally, if our product candidates were to be approved, they would likely compete with historical standard of care therapies. Our potential competitors include large pharmaceutical and biotechnology companies, specialty pharmaceutical and generic drug companies, academic institutions, government agencies, and research institutions. For examples of the competition that our product candidates face, see the section titled “Business—Competition” included elsewhere in this prospectus.</w:t>
      </w:r>
    </w:p>
    <w:p>
      <w:pPr>
        <w:spacing w:after="0" w:line="143"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36"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145"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44"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In addition, our competitors may obtain patent protection, regulatory exclusivities, or FDA approval and commercialize products more rapidly than we do, which may impact future approvals or sales of any of our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4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139"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2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product candidates on our own include:</w:t>
      </w:r>
    </w:p>
    <w:p>
      <w:pPr>
        <w:spacing w:after="0" w:line="102" w:lineRule="exact"/>
        <w:rPr>
          <w:sz w:val="20"/>
          <w:szCs w:val="20"/>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and retain adequate numbers of effective sales and marketing personnel;</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or our failure to educate an adequate number of physicians on the benefits of any future products;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44"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There can be no assurance that we will be able to develop in-house sales and distribution capabilities or establish or maintain relationships with third-party collaborators to commercialize any product in the United States or overseas. If we do not establish sales and marketing capabilities successfully, either on our own or in collaboration with third parties, we will not be successful in commercializing our product candidates.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91" w:lineRule="exact"/>
        <w:rPr>
          <w:sz w:val="20"/>
          <w:szCs w:val="20"/>
          <w:color w:val="auto"/>
        </w:rPr>
      </w:pPr>
    </w:p>
    <w:p>
      <w:pPr>
        <w:ind w:left="1360" w:right="6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expect to expand our organization, and as a result, we may encounter difficulties in managing our growth, which could disrupt our operations.</w:t>
      </w:r>
    </w:p>
    <w:p>
      <w:pPr>
        <w:spacing w:after="0" w:line="12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As of April 1, 2026, we had 58 full-time employees. We expect to experience significant growth in the number of our employees and the scope of our operations over time.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42" w:lineRule="exact"/>
        <w:rPr>
          <w:sz w:val="20"/>
          <w:szCs w:val="20"/>
          <w:color w:val="auto"/>
        </w:rPr>
      </w:pPr>
    </w:p>
    <w:p>
      <w:pPr>
        <w:ind w:left="1360" w:right="2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ability to develop product candidates, leverage our Glyph platform and our future growth depends on attracting, hiring, and retaining our key personnel and recruiting additional qualified personnel.</w:t>
      </w:r>
    </w:p>
    <w:p>
      <w:pPr>
        <w:spacing w:after="0" w:line="12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Co-Founder and Chief Executive Officer, Co-Founder, and Chair of the Board, Chief Financial Officer, Chief Medical Officer, Co-Founder and Chief Scientific Officer, General Counsel, and clinical development personnel, would delay our research and development activities. The competition for qualified personnel in the therapeutics,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4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In addition, our clinical operations and research and development programs depend on our ability to attract and retain highly skilled employees across multiple functions, particularly in Massachusetts. There is powerful competition for skilled personnel in this geographical market,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Furthermore,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appreciated in value relative to the original purchase prices of the shares, or if the exercise prices of the options they hold are significantly below the market price of our common stock, particularly after the expiration of the lock-up agreements described herein. If we fail to attract new personnel or fail to retain and motivate our current personnel, our business and future growth prospects would be harmed.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91" w:lineRule="exact"/>
        <w:rPr>
          <w:sz w:val="20"/>
          <w:szCs w:val="20"/>
          <w:color w:val="auto"/>
        </w:rPr>
      </w:pPr>
    </w:p>
    <w:p>
      <w:pPr>
        <w:ind w:left="1360" w:right="27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13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have relied upon and plan to continue to rely on third parties, such as CROs, clinical data management organizations, medical institutions and clinical investigators, to conduct our clinical trials and preclinical studies and expect to rely on these third parties to conduct clinical trials and preclinical studies of any other product candidate that we develop. Our ability to complete clinical trials in a timely fashion depends on a number of key factors. These factors include protocol design, regulatory, and IRB approval, patient enrollment rates, and compliance with GCPs.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150"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w:t>
      </w:r>
    </w:p>
    <w:p>
      <w:pPr>
        <w:spacing w:after="0" w:line="14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macroeconomic environment and the inexperience of new employees. Additionally,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foreign regulatory authorities of any NDA or foreign application we submit. Any such delay or rejection could prevent us from commercializing our product candidates.</w:t>
      </w:r>
    </w:p>
    <w:p>
      <w:pPr>
        <w:spacing w:after="0" w:line="146" w:lineRule="exact"/>
        <w:rPr>
          <w:sz w:val="20"/>
          <w:szCs w:val="20"/>
          <w:color w:val="auto"/>
        </w:rPr>
      </w:pPr>
    </w:p>
    <w:p>
      <w:pPr>
        <w:jc w:val="both"/>
        <w:ind w:left="1360" w:right="819" w:firstLine="343"/>
        <w:spacing w:after="0" w:line="267" w:lineRule="auto"/>
        <w:rPr>
          <w:sz w:val="20"/>
          <w:szCs w:val="20"/>
          <w:color w:val="auto"/>
        </w:rPr>
      </w:pPr>
      <w:r>
        <w:rPr>
          <w:rFonts w:ascii="Times New Roman" w:cs="Times New Roman" w:eastAsia="Times New Roman" w:hAnsi="Times New Roman"/>
          <w:sz w:val="14"/>
          <w:szCs w:val="14"/>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3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prospects.</w:t>
      </w:r>
    </w:p>
    <w:p>
      <w:pPr>
        <w:spacing w:after="0" w:line="143"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In addition, we currently and may in the future rely on foreign CROs and CMOs.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In September 2024, the U.S. House of Representatives passed a version of the BIOSECURE Act (H.R. 8333), however, the Senate did not approve that legislation. In October 2025, both the U.S. House of Representatives and Senate passed their respective versions of the National Defense Authorization Act of 2026 (NDAA), each including an amendment often referred to as “BIOSECURE 2.0.” While BIOSECURE 2.0 has not yet been enacted and must still be reconciled in conference, the current text would establish federal government contracting, grant, and loan restrictions similar in effect to prior BIOSECURE proposals. However, unlike earlier versions of BIOSECURE that named specific Chinese companies, BIOSECURE 2.0 would implement a process-based designation system through which biotechnology companies “of concern” would be identified based on whether companies fall within statutorily define categories, including entities identified on the Department of Defense’s Section 1260H list of “Chinese military companies” and other entities that are subject to the direction, control, or jurisdiction of a foreign adversary’s government which pose national security risks based on specified criteria. If BIOSECURE 2.0 becomes law or similar laws are passed, they would have the potential to severely restrict the ability of therapeutics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use of third parties to manufacture our product candidates, including those located outside of the United States, may increase the risk that we will not have sufficient quantities of our product candidates, raw materials, active pharmaceutical ingredients, or APIs, or drug products when needed or at an acceptable cost.</w:t>
      </w:r>
    </w:p>
    <w:p>
      <w:pPr>
        <w:spacing w:after="0" w:line="135"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w:t>
      </w:r>
    </w:p>
    <w:p>
      <w:pPr>
        <w:spacing w:after="0" w:line="136"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14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Some of the third-party manufacturers we rely on have only recently begun working with us and have limited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13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Even if we are able to establish and maintain arrangements with third-party manufacturers, reliance on third-party manufacturers entails additional risks, including:</w:t>
      </w:r>
    </w:p>
    <w:p>
      <w:pPr>
        <w:spacing w:after="0" w:line="51" w:lineRule="exact"/>
        <w:rPr>
          <w:sz w:val="20"/>
          <w:szCs w:val="20"/>
          <w:color w:val="auto"/>
        </w:rPr>
      </w:pPr>
    </w:p>
    <w:p>
      <w:pPr>
        <w:ind w:left="2120" w:right="103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third-party manufacturer to comply with applicable regulatory requirements and reliance on third parties for manufacturing process development, regulatory compliance, and quality assurance;</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supply availability resulting from capacity and scheduling constraints of third parties;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third-party manufacturer to produce materials with acceptable quality on a larger scale;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breach of manufacturing agreements by third parties because of factors beyond our control;</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termination or non-renewal of the manufacturing agreements by the third party, at a time that is costly or inconvenient to us;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misappropriation of our proprietary information, including our trade secrets and know-how.</w:t>
      </w:r>
    </w:p>
    <w:p>
      <w:pPr>
        <w:spacing w:after="0" w:line="17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comparable regulatory authorities.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147" w:lineRule="exact"/>
        <w:rPr>
          <w:sz w:val="20"/>
          <w:szCs w:val="20"/>
          <w:color w:val="auto"/>
        </w:rPr>
      </w:pPr>
    </w:p>
    <w:p>
      <w:pPr>
        <w:ind w:left="1360" w:right="259" w:firstLine="343"/>
        <w:spacing w:after="0" w:line="287" w:lineRule="auto"/>
        <w:rPr>
          <w:sz w:val="20"/>
          <w:szCs w:val="20"/>
          <w:color w:val="auto"/>
        </w:rPr>
      </w:pPr>
      <w:r>
        <w:rPr>
          <w:rFonts w:ascii="Times New Roman" w:cs="Times New Roman" w:eastAsia="Times New Roman" w:hAnsi="Times New Roman"/>
          <w:sz w:val="13"/>
          <w:szCs w:val="13"/>
          <w:color w:val="auto"/>
        </w:rPr>
        <w:t>If any of our product candidates is approved by any regulatory agency, we intend to utilize arrangements with third-party contract manufacturers for the commercial production of those products. This process is difficult and time-consuming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12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Some of our manufacturers are located outside of the United States. There is currently significant uncertainty about the future relationship between the United States and various other countries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w:t>
      </w:r>
    </w:p>
    <w:p>
      <w:pPr>
        <w:spacing w:after="0" w:line="14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and are required to register their facilities with the FDA, subjecting them to inspections to assess whether these facilities are in compliance with cGMPs.</w:t>
      </w:r>
    </w:p>
    <w:p>
      <w:pPr>
        <w:spacing w:after="0" w:line="144" w:lineRule="exact"/>
        <w:rPr>
          <w:sz w:val="20"/>
          <w:szCs w:val="20"/>
          <w:color w:val="auto"/>
        </w:rPr>
      </w:pPr>
    </w:p>
    <w:p>
      <w:pPr>
        <w:ind w:left="1360" w:right="619" w:firstLine="343"/>
        <w:spacing w:after="0" w:line="267" w:lineRule="auto"/>
        <w:rPr>
          <w:sz w:val="20"/>
          <w:szCs w:val="20"/>
          <w:color w:val="auto"/>
        </w:rPr>
      </w:pPr>
      <w:r>
        <w:rPr>
          <w:rFonts w:ascii="Times New Roman" w:cs="Times New Roman" w:eastAsia="Times New Roman" w:hAnsi="Times New Roman"/>
          <w:sz w:val="14"/>
          <w:szCs w:val="14"/>
          <w:color w:val="auto"/>
        </w:rPr>
        <w:t>We do not control the manufacturing process of, and are completely dependent on, our contract manufacturing partners for compliance with cGMPs and comparable foreign requirements. If our contract manufacturers cannot successfully manufacture material that conforms to our specifications and the strict regulatory requirements of the FDA or other comparable regulatory authorities, we may not be able to secure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4" w:lineRule="auto"/>
        <w:rPr>
          <w:sz w:val="20"/>
          <w:szCs w:val="20"/>
          <w:color w:val="auto"/>
        </w:rPr>
      </w:pPr>
      <w:r>
        <w:rPr>
          <w:rFonts w:ascii="Times New Roman" w:cs="Times New Roman" w:eastAsia="Times New Roman" w:hAnsi="Times New Roman"/>
          <w:sz w:val="14"/>
          <w:szCs w:val="14"/>
          <w:color w:val="auto"/>
        </w:rPr>
        <w:t>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comparable foreign requirements. Any failure to comply with cGMP requirements or other FDA and comparable foreign regulatory requirements could adversely affect our clinical research activities and our ability to develop our product candidates and market our products, if approved.</w:t>
      </w:r>
    </w:p>
    <w:p>
      <w:pPr>
        <w:spacing w:after="0" w:line="149"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other comparable regulatory requirements could adversely affect our clinical research activities and our ability to develop our product candidates and market our products following approval, if obtained.</w:t>
      </w:r>
    </w:p>
    <w:p>
      <w:pPr>
        <w:spacing w:after="0" w:line="14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141"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23"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We may in the future opportunistically pursue strategic partnerships or collaborations, as the advancement of our product candidates and development programs and the potential commercialization of our current and future product candidates will require substantial additional cash to fund expenses. If we believe that partnerships or collaborations can accelerate the development or maximize the market potential of our product candidates, we will consider entering into product, target and/or geographic specific strategic partnerships or collaborations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w:t>
      </w:r>
    </w:p>
    <w:p>
      <w:pPr>
        <w:spacing w:after="0" w:line="144"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obtain additional capital, which may not be available to us on acceptable terms or at all. If we do not have sufficient funds, we may not be able to further develop our product candidates or bring them to market and generate product revenue.</w:t>
      </w:r>
    </w:p>
    <w:p>
      <w:pPr>
        <w:spacing w:after="0" w:line="125"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w:t>
      </w:r>
    </w:p>
    <w:p>
      <w:pPr>
        <w:spacing w:after="0" w:line="14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spacing w:after="0" w:line="13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spacing w:after="0" w:line="139" w:lineRule="exact"/>
        <w:rPr>
          <w:sz w:val="20"/>
          <w:szCs w:val="20"/>
          <w:color w:val="auto"/>
        </w:rPr>
      </w:pPr>
    </w:p>
    <w:p>
      <w:pPr>
        <w:ind w:left="1360" w:right="3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enter into collaborations with third parties for the development and/or commercialization of our product candidates, our prospects with respect to those product candidates will depend in significant part on the success of those collaborations.</w:t>
      </w:r>
    </w:p>
    <w:p>
      <w:pPr>
        <w:spacing w:after="0" w:line="123"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may enter into collaborations with third parties for the development and/or commercialization of certain of our product candidates. If we enter into such collaborations, we will have limited control over the amount and timing of resources that our collaborators will dedicate to the development or commercialization of our product candidates.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Collaborations involving our product candidates pose a number of risks, including the following:</w:t>
      </w:r>
    </w:p>
    <w:p>
      <w:pPr>
        <w:spacing w:after="0" w:line="102" w:lineRule="exact"/>
        <w:rPr>
          <w:sz w:val="20"/>
          <w:szCs w:val="20"/>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these collaborations;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101" w:lineRule="exact"/>
        <w:rPr>
          <w:rFonts w:ascii="Times New Roman" w:cs="Times New Roman" w:eastAsia="Times New Roman" w:hAnsi="Times New Roman"/>
          <w:sz w:val="14"/>
          <w:szCs w:val="14"/>
          <w:color w:val="auto"/>
        </w:rPr>
      </w:pPr>
    </w:p>
    <w:p>
      <w:pPr>
        <w:jc w:val="both"/>
        <w:ind w:left="2120" w:right="599" w:hanging="345"/>
        <w:spacing w:after="0" w:line="267"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and/or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6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w:t>
      </w:r>
    </w:p>
    <w:p>
      <w:pPr>
        <w:spacing w:after="0" w:line="5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products may not commit sufficient resources to the marketing and distribution of such product or products;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79" w:hanging="345"/>
        <w:spacing w:after="0" w:line="261" w:lineRule="auto"/>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7"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which may expose us to litigation and potential liability; and</w:t>
      </w:r>
    </w:p>
    <w:p>
      <w:pPr>
        <w:spacing w:after="0" w:line="101" w:lineRule="exact"/>
        <w:rPr>
          <w:rFonts w:ascii="Times New Roman" w:cs="Times New Roman" w:eastAsia="Times New Roman" w:hAnsi="Times New Roman"/>
          <w:sz w:val="14"/>
          <w:szCs w:val="14"/>
          <w:color w:val="auto"/>
        </w:rPr>
      </w:pPr>
    </w:p>
    <w:p>
      <w:pPr>
        <w:ind w:left="2120" w:right="859" w:hanging="345"/>
        <w:spacing w:after="0" w:line="283" w:lineRule="auto"/>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product candidates.</w:t>
      </w:r>
    </w:p>
    <w:p>
      <w:pPr>
        <w:spacing w:after="0" w:line="125"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34" w:lineRule="exact"/>
        <w:rPr>
          <w:sz w:val="20"/>
          <w:szCs w:val="20"/>
          <w:color w:val="auto"/>
        </w:rPr>
      </w:pPr>
    </w:p>
    <w:p>
      <w:pPr>
        <w:ind w:left="1360" w:right="67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23" w:lineRule="exact"/>
        <w:rPr>
          <w:sz w:val="20"/>
          <w:szCs w:val="20"/>
          <w:color w:val="auto"/>
        </w:rPr>
      </w:pPr>
    </w:p>
    <w:p>
      <w:pPr>
        <w:ind w:left="1360" w:right="239" w:firstLine="343"/>
        <w:spacing w:after="0" w:line="280" w:lineRule="auto"/>
        <w:rPr>
          <w:sz w:val="20"/>
          <w:szCs w:val="20"/>
          <w:color w:val="auto"/>
        </w:rPr>
      </w:pPr>
      <w:r>
        <w:rPr>
          <w:rFonts w:ascii="Times New Roman" w:cs="Times New Roman" w:eastAsia="Times New Roman" w:hAnsi="Times New Roman"/>
          <w:sz w:val="13"/>
          <w:szCs w:val="13"/>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financial condition, and results of operations.</w:t>
      </w:r>
    </w:p>
    <w:p>
      <w:pPr>
        <w:spacing w:after="0" w:line="1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Changes in methods of product candidate manufacturing or formulation may result in additional costs or delay.</w:t>
      </w:r>
    </w:p>
    <w:p>
      <w:pPr>
        <w:spacing w:after="0" w:line="177"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and similar foreign notifications and approvals.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1" w:lineRule="exact"/>
        <w:rPr>
          <w:sz w:val="20"/>
          <w:szCs w:val="20"/>
          <w:color w:val="auto"/>
        </w:rPr>
      </w:pPr>
    </w:p>
    <w:p>
      <w:pPr>
        <w:ind w:left="1360" w:right="57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23"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We may also submit marketing authorization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41" w:lineRule="exact"/>
        <w:rPr>
          <w:sz w:val="20"/>
          <w:szCs w:val="20"/>
          <w:color w:val="auto"/>
        </w:rPr>
      </w:pPr>
    </w:p>
    <w:p>
      <w:pPr>
        <w:jc w:val="both"/>
        <w:ind w:left="1360" w:right="75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35"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If any of our product candidates are approved, they will be subject to ongoing regulatory requirements for manufacturing, labeling, packaging, storage, distribution, AE reporting, advertising, promotion, sampling, import, export,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comparable foreign requirements) and GCP requirements for any clinical trials that we conduct post-approval.</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other comparable regulatory authority approves our product candidates, we will have to comply with requirements including submissions of safety and other post-marketing information and reports and registration.</w:t>
      </w:r>
    </w:p>
    <w:p>
      <w:pPr>
        <w:spacing w:after="0" w:line="14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9" w:lineRule="exact"/>
        <w:rPr>
          <w:sz w:val="20"/>
          <w:szCs w:val="20"/>
          <w:color w:val="auto"/>
        </w:rPr>
      </w:pPr>
    </w:p>
    <w:p>
      <w:pPr>
        <w:ind w:left="5580" w:right="419" w:hanging="3805"/>
        <w:spacing w:after="0" w:line="455" w:lineRule="auto"/>
        <w:tabs>
          <w:tab w:leader="none" w:pos="211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product recalls; 52</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10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withdrawal of approvals;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5"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policies of the FDA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2" w:lineRule="exact"/>
        <w:rPr>
          <w:sz w:val="20"/>
          <w:szCs w:val="20"/>
          <w:color w:val="auto"/>
        </w:rPr>
      </w:pPr>
    </w:p>
    <w:p>
      <w:pPr>
        <w:ind w:left="1360" w:right="37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140"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FDA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4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43"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4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14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Where appropriate, we may secure approval from the FDA or other comparable regulatory authorities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other comparable regulatory authorities, if our confirmatory trials do not verify clinical benefit, or if we do not comply with rigorous post-marketing requirements, the FDA or such other comparable regulatory authorities may seek to withdraw any accelerated approval we have obtained.</w:t>
      </w:r>
    </w:p>
    <w:p>
      <w:pPr>
        <w:spacing w:after="0" w:line="145" w:lineRule="exact"/>
        <w:rPr>
          <w:sz w:val="20"/>
          <w:szCs w:val="20"/>
          <w:color w:val="auto"/>
        </w:rPr>
      </w:pPr>
    </w:p>
    <w:p>
      <w:pPr>
        <w:ind w:left="1360" w:right="319" w:firstLine="343"/>
        <w:spacing w:after="0" w:line="276" w:lineRule="auto"/>
        <w:rPr>
          <w:sz w:val="20"/>
          <w:szCs w:val="20"/>
          <w:color w:val="auto"/>
        </w:rPr>
      </w:pPr>
      <w:r>
        <w:rPr>
          <w:rFonts w:ascii="Times New Roman" w:cs="Times New Roman" w:eastAsia="Times New Roman" w:hAnsi="Times New Roman"/>
          <w:sz w:val="13"/>
          <w:szCs w:val="13"/>
          <w:color w:val="auto"/>
        </w:rPr>
        <w:t>We may seek an accelerated approval pathway for our one or more of our therapeutic candidates from the FDA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35"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Prior to seeking accelerated approval, we would seek feedback from the FDA or other comparable regulatory authorities and would otherwise evaluate our ability to seek and receive such accelerated approval.</w:t>
      </w:r>
    </w:p>
    <w:p>
      <w:pPr>
        <w:spacing w:after="0" w:line="12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spacing w:after="0" w:line="144" w:lineRule="exact"/>
        <w:rPr>
          <w:sz w:val="20"/>
          <w:szCs w:val="20"/>
          <w:color w:val="auto"/>
        </w:rPr>
      </w:pPr>
    </w:p>
    <w:p>
      <w:pPr>
        <w:ind w:left="1360" w:right="2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12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We do not yet fully understand the potential for GlyphAllo or Glyph2BLSD to be classified as controlled substances, but brexanolone is currently classified as a Schedule IV controlled substance under the Controlled Substances Act, or CSA and although non-hallucinogenic 2-bromo-LSD is not a controlled substance, it is an analogue of LSD, which is a Schedule I controlled substance under the CSA. Accordingly, we may need to conduct studies to assess the abuse potential of GlyphAllo and/or Glyph2BLSD, and pending the outcome of such evaluations, we may be required to provide a proposal for scheduling by the Drug Enforcement Administration, or the DEA, when submitting an NDA, which could cause delays in our development process or commercialization timing.</w:t>
      </w:r>
    </w:p>
    <w:p>
      <w:pPr>
        <w:spacing w:after="0" w:line="14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color w:val="auto"/>
        </w:rPr>
        <w:t>The DEA regulates controlled substances as Schedule I, II, III, IV, or V substances. Schedule I substances by definition have no established</w:t>
      </w:r>
    </w:p>
    <w:p>
      <w:pPr>
        <w:spacing w:after="0" w:line="2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color w:val="auto"/>
        </w:rPr>
        <w:t>medicinal use and may not be marketed or sold in the United States. A pharmaceutical product may be listed as Schedule II, III, IV, or V, with Schedule</w:t>
      </w:r>
    </w:p>
    <w:p>
      <w:pPr>
        <w:spacing w:after="0" w:line="7" w:lineRule="exact"/>
        <w:rPr>
          <w:sz w:val="20"/>
          <w:szCs w:val="20"/>
          <w:color w:val="auto"/>
        </w:rPr>
      </w:pPr>
    </w:p>
    <w:p>
      <w:pPr>
        <w:jc w:val="both"/>
        <w:ind w:left="1360" w:right="339" w:hanging="5"/>
        <w:spacing w:after="0" w:line="254" w:lineRule="auto"/>
        <w:tabs>
          <w:tab w:leader="none" w:pos="148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substances considered to present the highest risk of abuse and Schedule V substances the lowest relative risk of abuse among such substances. If any of our product candidates were to become subject to DEA oversight, such product candidates would be subject to additional restrictions regarding their manufacture, shipment, storage, sale, and use, depending on the scheduling of the active ingredients, and may limit the commercial potential of any of our product candidates, if approved.</w:t>
      </w:r>
    </w:p>
    <w:p>
      <w:pPr>
        <w:spacing w:after="0" w:line="145"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If any of our product candidates is classified as a controlled substance, we or our collaborators would also be required to obtain separate state registrations in order to be able to obtain, handle, and distribute controlled substances for clinical trials or for commercial sale, and failure to meet applicable regulatory requirements could lead to enforcement and sanctions from the states in addition to those from the DEA or otherwise arising under federal law.</w:t>
      </w:r>
    </w:p>
    <w:p>
      <w:pPr>
        <w:spacing w:after="0" w:line="144"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For any of our product candidates that may be classified as controlled substances, we and our suppliers, manufacturers, contractors, customers, and distributors are required to obtain and maintain applicable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storage,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142" w:lineRule="exact"/>
        <w:rPr>
          <w:sz w:val="20"/>
          <w:szCs w:val="20"/>
          <w:color w:val="auto"/>
        </w:rPr>
      </w:pPr>
    </w:p>
    <w:p>
      <w:pPr>
        <w:ind w:left="1360" w:right="53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healthcare providers and physicians and third-party payors subject us to anti-kickback, fraud and abuse and other healthcare laws and regulations, which could increase our compliance costs, and expose us to criminal sanctions, civil penalties, contractual damages, reputational harm and diminished profits, and future earnings.</w:t>
      </w:r>
    </w:p>
    <w:p>
      <w:pPr>
        <w:spacing w:after="0" w:line="135"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pharmacies, consultants, marketing personnel, third-party payors, patient organizations, and customers expose us to broadly applicable foreign, federal and state fraud and abuse, and other healthcare laws and regulations. These laws include foreign, federal, and state anti-kickback laws, false claims statutes, civil monetary penalties laws, healthcare data privacy, and security laws, and consumer protection and unfair competition laws, as well as transparency laws regarding payments or other items of value provided to healthcare providers, and laws related to price reporting. Healthcare providers, physicians, and third-party payors in the United States and elsewhere play a primary role in the recommendation and prescription of pharmaceutical products. These laws may constrain the business or financial arrangements and relationships through which we conduct our operations, including how we research, market, sell, and distribute any product for which we obtain regulatory approval. For more information on healthcare laws and regulations that may impact our company, see the section titled “Business—Government Regulation—Other Healthcare Laws” included elsewhere in this prospectus.</w:t>
      </w:r>
    </w:p>
    <w:p>
      <w:pPr>
        <w:spacing w:after="0" w:line="149"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Efforts to ensure that our current and future business arrangements both internally and with third parties will comply with applicable healthcare and privacy laws and regulations will involve ongoing substantial costs. It is possible that governmental and enforcement authorities will conclude that our business practices may not comply with current or future statutes, regulations, or case law interpreting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or arrangements might be challenged under one or more of these laws.</w:t>
      </w:r>
    </w:p>
    <w:p>
      <w:pPr>
        <w:spacing w:after="0" w:line="143" w:lineRule="exact"/>
        <w:rPr>
          <w:sz w:val="20"/>
          <w:szCs w:val="20"/>
          <w:color w:val="auto"/>
        </w:rPr>
      </w:pPr>
    </w:p>
    <w:p>
      <w:pPr>
        <w:ind w:left="1360" w:right="519" w:firstLine="343"/>
        <w:spacing w:after="0" w:line="258" w:lineRule="auto"/>
        <w:rPr>
          <w:sz w:val="20"/>
          <w:szCs w:val="20"/>
          <w:color w:val="auto"/>
        </w:rPr>
      </w:pPr>
      <w:r>
        <w:rPr>
          <w:rFonts w:ascii="Times New Roman" w:cs="Times New Roman" w:eastAsia="Times New Roman" w:hAnsi="Times New Roman"/>
          <w:sz w:val="14"/>
          <w:szCs w:val="14"/>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time-consuming, resource-intensive, and can divert a company’s attention from the business.</w:t>
      </w:r>
    </w:p>
    <w:p>
      <w:pPr>
        <w:spacing w:after="0" w:line="144"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If our business practices or operations are found to be in violation of any of fraud and abuse, or other healthcare laws or governmental laws, regulations, agency guidance, or case law that may apply to us, we may be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subject to significant penalties, including administrative, civil, and criminal penalties, damages, fines, disgorgement, the exclusion from participation in federal and state healthcare programs, such as Medicare and Medicaid, integrity oversight, and reporting obligations, contractual damages, individual imprisonment, reputational harm, diminished profits, and future earnings,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47" w:lineRule="exact"/>
        <w:rPr>
          <w:sz w:val="20"/>
          <w:szCs w:val="20"/>
          <w:color w:val="auto"/>
        </w:rPr>
      </w:pPr>
    </w:p>
    <w:p>
      <w:pPr>
        <w:ind w:left="1360" w:right="27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any of our product candidates, if approved, will depend in part on the extent to which governmental authorities and health insurers establish coverage, adequate reimbursement levels and favorable pricing policies. Coverage and reimbursement may be limited or unavailable in certain market segments for our product candidates, which could make it difficult for us to sell any approved product candidates profitably.</w:t>
      </w:r>
    </w:p>
    <w:p>
      <w:pPr>
        <w:spacing w:after="0" w:line="140" w:lineRule="exact"/>
        <w:rPr>
          <w:sz w:val="20"/>
          <w:szCs w:val="20"/>
          <w:color w:val="auto"/>
        </w:rPr>
      </w:pPr>
    </w:p>
    <w:p>
      <w:pPr>
        <w:ind w:left="1360" w:right="359" w:firstLine="343"/>
        <w:spacing w:after="0" w:line="255" w:lineRule="auto"/>
        <w:rPr>
          <w:sz w:val="20"/>
          <w:szCs w:val="20"/>
          <w:color w:val="auto"/>
        </w:rPr>
      </w:pPr>
      <w:r>
        <w:rPr>
          <w:rFonts w:ascii="Times New Roman" w:cs="Times New Roman" w:eastAsia="Times New Roman" w:hAnsi="Times New Roman"/>
          <w:sz w:val="14"/>
          <w:szCs w:val="14"/>
          <w:color w:val="auto"/>
        </w:rPr>
        <w:t>The success of our product candidates, if approved, depends on the availability of coverage and adequate reimbursement from third-party payors including governmental healthcare programs such as Medicare and Medicaid, private health insurers and other third-party payors. Patients who are provided medical treatment for their conditions generally rely on third-party payors to reimburse all or part of the costs associated with their treatment. Our ability to achieve coverage and acceptable levels of reimbursement for our product candidates by third-party payors will have an effect on our ability to successfully commercialize those products. We cannot be sure that coverage and reimbursement will be available for, or accurately estimate the potential revenue from, any product that we may develop. For more information on the laws and regulations that may impact coverage and reimbursement of our product candidates, see the section titled “Business—Government Regulation—Coverage and Reimbursement” included elsewhere in this prospectus.</w:t>
      </w:r>
    </w:p>
    <w:p>
      <w:pPr>
        <w:spacing w:after="0" w:line="145"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2" w:lineRule="exact"/>
        <w:rPr>
          <w:sz w:val="20"/>
          <w:szCs w:val="20"/>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75"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3"/>
          <w:szCs w:val="13"/>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if approved, on a payor-by-payor basis, with no assurance that coverage and adequate reimbursement will be obtained. Furthermore, rules and regulations regarding reimbursement change frequently, and, in some cases, at short notice, and we believe that additional changes in these rules and regulations are likely.</w:t>
      </w:r>
    </w:p>
    <w:p>
      <w:pPr>
        <w:spacing w:after="0" w:line="128"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Even if we obtain coverage for a given product, if approved, the resulting reimbursement payment rates might not be adequate for us to achieve or sustain profitability or may require cost-sharing (e.g., co-payments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color w:val="auto"/>
        </w:rPr>
        <w:t>coinsurance) that patients find unacceptably high. There is significant uncertainty related to insurance coverage and reimbursement of newly approved products. In the United States, the principal decisions about reimbursement for new medicines are typically made by U.S. Centers for Medicare &amp; Medicaid Services, or CMS. CMS decides whether and to what extent a new medicine will be covered and reimbursed under Medicare, and private payors tend to follow CMS coverage determinations to a substantial degree. Additionally, third-party payors may not cover or provide adequate reimbursement for a given product or, long-term follow-up evaluations, or other ancillary services required following the use of product candidates, once approved. Some third-party payors may require pre-approval of coverage or implement prior authorization or step therapy programs for new or innovative drug therapies before they will reimburse patients who use such therapies which may be time-consuming or costly for patients and lead to a reduction in revenue. Patients are unlikely to use our product candidates, once approved, unless coverage is provided and reimbursement is adequate to cover a significant portion of their cost.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spacing w:after="0" w:line="144" w:lineRule="exact"/>
        <w:rPr>
          <w:sz w:val="20"/>
          <w:szCs w:val="20"/>
          <w:color w:val="auto"/>
        </w:rPr>
      </w:pPr>
    </w:p>
    <w:p>
      <w:pPr>
        <w:jc w:val="both"/>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Third-party payors increasingly are challenging prices charged for therapeutics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offer to reimburse patients only for a less expensive competitor product.</w:t>
      </w:r>
    </w:p>
    <w:p>
      <w:pPr>
        <w:ind w:left="1360" w:right="299"/>
        <w:spacing w:after="0" w:line="253" w:lineRule="auto"/>
        <w:rPr>
          <w:sz w:val="20"/>
          <w:szCs w:val="20"/>
          <w:color w:val="auto"/>
        </w:rPr>
      </w:pPr>
      <w:r>
        <w:rPr>
          <w:rFonts w:ascii="Times New Roman" w:cs="Times New Roman" w:eastAsia="Times New Roman" w:hAnsi="Times New Roman"/>
          <w:sz w:val="14"/>
          <w:szCs w:val="14"/>
          <w:color w:val="auto"/>
        </w:rPr>
        <w:t>Even if we are successful in demonstrating improved efficacy or improved convenience of administration with our product candidates, pricing of existing drugs may limit the amount we will be able to charge for our products, if approved.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w:t>
      </w:r>
    </w:p>
    <w:p>
      <w:pPr>
        <w:spacing w:after="0" w:line="146"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45"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for example, we participate in the Medicaid Drug Rebate Program or other governmental pricing programs, in certain circumstances, our products, if approved,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if approved.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spacing w:after="0" w:line="14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In addition, in some foreign countries, the proposed pricing for a product must be approved before it may be lawfully marketed. The requirements governing product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147" w:lineRule="exact"/>
        <w:rPr>
          <w:sz w:val="20"/>
          <w:szCs w:val="20"/>
          <w:color w:val="auto"/>
        </w:rPr>
      </w:pPr>
    </w:p>
    <w:p>
      <w:pPr>
        <w:ind w:left="1360" w:right="35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Ongoing healthcare legislative and regulatory reform measures and cost containment initiatives may have a material adverse effect on our business and results of operations and increase the difficulty and cost for us to obtain coverage for and commercialize any of our current or future product candidates and may adversely affect the prices we may set.</w:t>
      </w:r>
    </w:p>
    <w:p>
      <w:pPr>
        <w:spacing w:after="0" w:line="1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Changes in regulations, statutes, or the interpretation of existing regulations could impact our business in the future by requiring, for example,</w:t>
      </w:r>
    </w:p>
    <w:p>
      <w:pPr>
        <w:spacing w:after="0" w:line="22" w:lineRule="exact"/>
        <w:rPr>
          <w:sz w:val="20"/>
          <w:szCs w:val="20"/>
          <w:color w:val="auto"/>
        </w:rPr>
      </w:pPr>
    </w:p>
    <w:p>
      <w:pPr>
        <w:ind w:left="1560" w:hanging="205"/>
        <w:spacing w:after="0"/>
        <w:tabs>
          <w:tab w:leader="none" w:pos="15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manufacturing arrangements, (2) additions or modifications to product labeling, (3) the recall or discontinuation of our products, or</w:t>
      </w:r>
    </w:p>
    <w:p>
      <w:pPr>
        <w:spacing w:after="0" w:line="7" w:lineRule="exact"/>
        <w:rPr>
          <w:rFonts w:ascii="Times New Roman" w:cs="Times New Roman" w:eastAsia="Times New Roman" w:hAnsi="Times New Roman"/>
          <w:sz w:val="14"/>
          <w:szCs w:val="14"/>
          <w:color w:val="auto"/>
        </w:rPr>
      </w:pPr>
    </w:p>
    <w:p>
      <w:pPr>
        <w:ind w:left="1360" w:right="379" w:hanging="5"/>
        <w:spacing w:after="0" w:line="253" w:lineRule="auto"/>
        <w:tabs>
          <w:tab w:leader="none" w:pos="155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record-keeping requirements. 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 See the section titled “Business—Current and Future U.S. Healthcare Reform” included elsewhere in this prospectus.</w:t>
      </w:r>
    </w:p>
    <w:p>
      <w:pPr>
        <w:spacing w:after="0" w:line="146"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Among policy makers and payors in the United States and elsewhere, there is significant interest in promoting changes in healthcare systems with the stated goals of containing healthcare costs, improving quality, and/or expanding access. For example, in March 2010, the ACA, was passed, which substantially changed the way healthcare is financed by both the government and private insurers, and continues to significantly impact the U.S. pharmaceutical industry. Since its enactment, certain provisions of the ACA have been subject to judicial, executive, and legislative challenges and may be subject to additional challenges in the future.</w:t>
      </w:r>
    </w:p>
    <w:p>
      <w:pPr>
        <w:spacing w:after="0" w:line="144" w:lineRule="exact"/>
        <w:rPr>
          <w:sz w:val="20"/>
          <w:szCs w:val="20"/>
          <w:color w:val="auto"/>
        </w:rPr>
      </w:pPr>
    </w:p>
    <w:p>
      <w:pPr>
        <w:jc w:val="both"/>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These changes included aggregate reductions to Medicare payments to providers, effective April 1, 2013, which, due to subsequent legislative amendments, will stay in effect through 2032 unless additional congressional action is taken. In January 2013, the American Taxpayer Relief Act of 2012 was signed into law, which, among other things, reduced Medicare payments to several providers, and increased the statute of</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limitations period for the government to recover overpayments to providers from three to five years. 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 which could adversely affect our sales of any of our product candidates that we commercialize. These laws and regulatory changes may result in additional reductions in Medicare and other healthcare funding, which could have a material adverse effect on prescribers of our product candidates, if approved, and accordingly, our financial operations.</w:t>
      </w:r>
    </w:p>
    <w:p>
      <w:pPr>
        <w:spacing w:after="0" w:line="14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example, the American Rescue Plan Act of 2021 eliminated the Medicaid statutory rebate cap of 100% of average manufacturer price as of January 1, 2024. Elimination of this cap may require pharmaceutical manufacturers to pay more in rebates than it receives on the sale of products, which could have a material impact on our business.</w:t>
      </w:r>
    </w:p>
    <w:p>
      <w:pPr>
        <w:spacing w:after="0" w:line="144"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Most significantly, in August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149"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the Trump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Additional drug pricing proposals could appear in future legislation and it is possible that Congress could enact additional laws that negatively affect the pharmaceutical industry. Adoption of price controls and cost-containment measures, and adoption of more restrictive policies in jurisdictions with existing controls and measures, could further limit our revenue generated from the sale of any approved products.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4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At the state level, state governments have become increasingly active in developing proposals, passing legislation, and implementing regulations designed to control pharmaceutical and biological product pricing, including price or reimbursement constraints, discounts, formulary flexibility, restrictions on certain product access and marketing cost disclosure, drug price increase reporting, and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These types of initiatives may result in additional reductions in Medicare, Medicaid, and other healthcare funding.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144"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color w:val="auto"/>
        </w:rPr>
        <w:t>We expect that these and other state and federal healthcare reform measures may be adopted in the future, any of which may result in additional reductions in Medicare and other healthcare funding, more rigorous coverage criteria, new payment methodologies, impose price controls, and additional downward pressure on the price that we receive for any approved product candidate for which we may obtain regulatory approval, and the frequency with which any such product candidate is prescribed or used. Any reduction in reimbursement from Medicare or other government programs may result in a similar reduction in payments from private payors. The implementation of cost containment measures, changes in healthcare spending and policy, or other healthcare reforms may prevent us from being able to generate revenue, attain profitability, or commercialize our product candidates, and materially affect our business. If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49"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w:t>
      </w:r>
    </w:p>
    <w:p>
      <w:pPr>
        <w:spacing w:after="0" w:line="143"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Similar political, economic, and regulatory developments are occurring in the EU and may affect the ability of pharmaceutical companies to profitably commercialize their products. In addition to continuing pressure 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49"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affected by litigation, government investigations and enforcement actions.</w:t>
      </w:r>
    </w:p>
    <w:p>
      <w:pPr>
        <w:spacing w:after="0" w:line="177" w:lineRule="exact"/>
        <w:rPr>
          <w:sz w:val="20"/>
          <w:szCs w:val="20"/>
          <w:color w:val="auto"/>
        </w:rPr>
      </w:pPr>
    </w:p>
    <w:p>
      <w:pPr>
        <w:ind w:left="1360" w:right="439" w:firstLine="343"/>
        <w:spacing w:after="0" w:line="256" w:lineRule="auto"/>
        <w:rPr>
          <w:sz w:val="20"/>
          <w:szCs w:val="20"/>
          <w:color w:val="auto"/>
        </w:rPr>
      </w:pPr>
      <w:r>
        <w:rPr>
          <w:rFonts w:ascii="Times New Roman" w:cs="Times New Roman" w:eastAsia="Times New Roman" w:hAnsi="Times New Roman"/>
          <w:sz w:val="14"/>
          <w:szCs w:val="14"/>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integrity oversight and reporting obligations,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8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123" w:lineRule="exact"/>
        <w:rPr>
          <w:sz w:val="20"/>
          <w:szCs w:val="20"/>
          <w:color w:val="auto"/>
        </w:rPr>
      </w:pPr>
    </w:p>
    <w:p>
      <w:pPr>
        <w:ind w:left="1360" w:right="279" w:firstLine="343"/>
        <w:spacing w:after="0" w:line="252" w:lineRule="auto"/>
        <w:rPr>
          <w:sz w:val="20"/>
          <w:szCs w:val="20"/>
          <w:color w:val="auto"/>
        </w:rPr>
      </w:pPr>
      <w:r>
        <w:rPr>
          <w:rFonts w:ascii="Times New Roman" w:cs="Times New Roman" w:eastAsia="Times New Roman" w:hAnsi="Times New Roman"/>
          <w:sz w:val="14"/>
          <w:szCs w:val="14"/>
          <w:color w:val="auto"/>
        </w:rPr>
        <w:t>We are exposed to the risk of employee fraud or other illegal activity by our current and any future employees, independent contractors, consultants, CMOs, and vendors. Misconduct by these parties could include intentional, reckless, and/or negligent conduct that fails to comply with the regulations set forth by the FDA or other comparable regulatory authorities,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The FDA and other comparable regulatory authorities actively enforce the laws and regulations prohibiting the promotion of off-label uses.</w:t>
      </w:r>
    </w:p>
    <w:p>
      <w:pPr>
        <w:spacing w:after="0" w:line="177"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we may only promote or market our products in a manner that is consistent with their FDA-approved labeling. Similar requirements may apply in foreign jurisdictions.</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 In addition,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51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or other comparable regulatory authorities or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0"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4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Disruptions at the FDA or other comparable regulatory authorities or government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4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34" w:lineRule="exact"/>
        <w:rPr>
          <w:sz w:val="20"/>
          <w:szCs w:val="20"/>
          <w:color w:val="auto"/>
        </w:rPr>
      </w:pPr>
    </w:p>
    <w:p>
      <w:pPr>
        <w:ind w:left="1360" w:right="43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EU drug marketing and reimbursement regulations may materially affect our ability to market and receive coverage for our products in the EU Member States.</w:t>
      </w:r>
    </w:p>
    <w:p>
      <w:pPr>
        <w:spacing w:after="0" w:line="123"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We intend to seek approval to market our product candidates in both the United States and potentially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44"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w:t>
      </w:r>
    </w:p>
    <w:p>
      <w:pPr>
        <w:spacing w:after="0" w:line="14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Payments made to physicians in certain EU Member States must be publicly disclosed. Moreover, agreements with physicians often must be the subject of prior notification and approval by the physician’s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36"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therapeutics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45" w:lineRule="exact"/>
        <w:rPr>
          <w:sz w:val="20"/>
          <w:szCs w:val="20"/>
          <w:color w:val="auto"/>
        </w:rPr>
      </w:pPr>
    </w:p>
    <w:p>
      <w:pPr>
        <w:ind w:left="1360" w:right="49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13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7" w:lineRule="exact"/>
        <w:rPr>
          <w:sz w:val="20"/>
          <w:szCs w:val="20"/>
          <w:color w:val="auto"/>
        </w:rPr>
      </w:pPr>
    </w:p>
    <w:p>
      <w:pPr>
        <w:ind w:left="1360" w:right="599" w:firstLine="343"/>
        <w:spacing w:after="0" w:line="326" w:lineRule="auto"/>
        <w:rPr>
          <w:sz w:val="20"/>
          <w:szCs w:val="20"/>
          <w:color w:val="auto"/>
        </w:rPr>
      </w:pPr>
      <w:r>
        <w:rPr>
          <w:rFonts w:ascii="Times New Roman" w:cs="Times New Roman" w:eastAsia="Times New Roman" w:hAnsi="Times New Roman"/>
          <w:sz w:val="13"/>
          <w:szCs w:val="13"/>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100"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3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1" w:lineRule="exact"/>
        <w:rPr>
          <w:sz w:val="20"/>
          <w:szCs w:val="20"/>
          <w:color w:val="auto"/>
        </w:rPr>
      </w:pPr>
    </w:p>
    <w:p>
      <w:pPr>
        <w:ind w:left="1360" w:right="39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140"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Our commercial success depends, in large part, on our ability to obtain and maintain intellectual property rights protection through patents, trademarks, and trade secrets in the United States and other countries with respect to our technology and product candidates.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and our licensors have filed patent applications and may file other patent applications in the United States or abroad related to our product candidates that are important to our business. In particular, we are heavily reliant on patent rights we have exclusively in-licensed from Monash University pursuant to the Monash License Agreement. The patent application process is expensive, time-consuming and complex. We may not be able to file, prosecute, maintain, enforce or license all necessary or desirable patent applications at a reasonable cost or in a timely manner.</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or our licensors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the inventions and consequently, we may not be able to prevent third parties from using such inventions.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include claims with a scope sufficient to protect our product candidates or otherwise provide any competitive advantage. Other parties have developed or may develop technologies that may be related to or competitive with our approach, and may have 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the first non-provisional patent application has been filed. Various extensions may be available; however,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 As a result, our patent portfolio may not provide us with adequate and continuing patent protection sufficient to exclude others from commercializing products similar or identical to ours.</w:t>
      </w:r>
    </w:p>
    <w:p>
      <w:pPr>
        <w:spacing w:after="0" w:line="147"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Even if they are unchallenged, our owned and in-licensed patents and pending patent applications, if issued, may not provide us with any meaningful protection or prevent competitors from designing around our patent claims to circumvent our patent portfolio by developing similar or alternative product candidates in a non-infringing manner. For example, a third party may develop a product candidate that provides benefits similar to one of our product candidates but falls outside the scope of our owned or in-licensed patent rights. If the patent protection provided by the patent and patent applications we hold or pursue with respect to such product candidate is not sufficiently broad to impede such competition, our ability to successfully commercialize our product candidate could be negatively affected, which would harm our business.</w:t>
      </w:r>
    </w:p>
    <w:p>
      <w:pPr>
        <w:spacing w:after="0" w:line="14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36"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now or in the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held to be invalid and/or unenforceable, and such applications may never result in valid, enforceable patents. Periodic maintenance fees, renewal fees, annuity fees, and various other government fees on patents and/or applications will be due to be paid to the U.S. Patent and Trademark Office, or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While an inadvertent lapse can, and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Non-compliant events that could result in abandonment or lapse of a patent or patent application include, but are not limited to, failure to respond to official actions within prescribed time limits, non-payment of fees and failure to properly legalize and submit formal documents. The USPTO and various non-U.S. government agencies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Any of these outcomes could impair our ability to prevent competition from third parties, which may have an adverse impact on our business.</w:t>
      </w:r>
    </w:p>
    <w:p>
      <w:pPr>
        <w:spacing w:after="0" w:line="144"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The patent position of pharmaceutical and biotechnology companies carries uncertainty. As a result, the issuance, scope, validity, enforceability and commercial value of our patent rights are characterized by uncertainty.</w:t>
      </w:r>
    </w:p>
    <w:p>
      <w:pPr>
        <w:spacing w:after="0" w:line="125"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spacing w:after="0" w:line="146"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Moreover, because the issuance of a patent is not conclusive as to its inventorship, scope, validity or enforceability, any patents we may own or license may be challenged in the courts or patent offices in the United States and abroad. There is no assurance that all the potentially relevant prior art relating to our patent portfolio has been published or found.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Alternatively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Our or our licensors’ pending and future patent applications may not result in patents being issued that protect our business, in whole or in part, or which effectively prevent others from commercializing competitive products. For example, our or our licensors’ provisional applications may never result in issued patents. A provisional patent application is not eligible to become an issued patent until, among other things, we or our licensors file a non-provisional patent application within 12 months of filing the provisional patent application. If we or our licensors do not timely file non-provisional patent applications, we or our licensors may lose the priority dates with respect to such provisional patent applications and any patent protection on the inventions disclosed in such provisional patent applications. While we intend to timely file non-provisional patent applications relating to our current and future provisional patent applications, we cannot predict whether any of our or our licensors’ non-provisional patent applications directed to our technology and product candidates will result in the issuance of patents that effectively protect our technology and product candidates. Further, competitors may be able to design around our patents. Changes in either the patent laws or interpretation of the patent laws in the United States and other countries also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jurisdictions that coincide with significant commercial markets, such as the European Patent Office, China, and Japan, restrict the patentability of methods of treatment of the human body more than United States law does, and India does not permit the patenting of methods of treatment at all. These differences in patent protection may have a material adverse effect on our ability to adequately protect our inventions against unauthorized use by third parties.</w:t>
      </w:r>
    </w:p>
    <w:p>
      <w:pPr>
        <w:spacing w:after="0" w:line="146"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62" w:lineRule="exact"/>
        <w:rPr>
          <w:sz w:val="20"/>
          <w:szCs w:val="20"/>
          <w:color w:val="auto"/>
        </w:rPr>
      </w:pPr>
    </w:p>
    <w:p>
      <w:pPr>
        <w:ind w:left="2120" w:right="279" w:hanging="345"/>
        <w:spacing w:after="0" w:line="261"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67"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applications may not result in any patents being issued, or even if issued may not provide adequate patent coverage to prevent a competitor from developing a competing product or otherwise provide us with any competitive advantage;</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company-owned or in-licensed patents that have been issued or may be issued in the future may be challenged, invalidated, modified, revoked, circumvented, found to be unenforceable or otherwise may not provide any competitive advantage;</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some of which may have substantially greater resources, may seek or may have already obtained patents that will limit, interfere with or eliminate our ability to make, use, and sell our product candidates, if approved;</w:t>
      </w:r>
    </w:p>
    <w:p>
      <w:pPr>
        <w:spacing w:after="0" w:line="51" w:lineRule="exact"/>
        <w:rPr>
          <w:rFonts w:ascii="Times New Roman" w:cs="Times New Roman" w:eastAsia="Times New Roman" w:hAnsi="Times New Roman"/>
          <w:sz w:val="14"/>
          <w:szCs w:val="14"/>
          <w:color w:val="auto"/>
        </w:rPr>
      </w:pPr>
    </w:p>
    <w:p>
      <w:pPr>
        <w:jc w:val="both"/>
        <w:ind w:left="2120" w:right="479" w:hanging="345"/>
        <w:spacing w:after="0" w:line="267"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United States may have patent laws less favorable to patentees than those upheld by U.S. courts, allowing foreign competitors a better opportunity to create, develop and market competing products;</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 and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99" w:hanging="345"/>
        <w:spacing w:after="0" w:line="283" w:lineRule="auto"/>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could also be delays at the USPTO caused by staffing cuts and other U.S. government actions as a result of the U.S. Department of Government Efficiency or other executive actions to reduce the size of the U.S. government.</w:t>
      </w:r>
    </w:p>
    <w:p>
      <w:pPr>
        <w:spacing w:after="0" w:line="12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44" w:lineRule="exact"/>
        <w:rPr>
          <w:sz w:val="20"/>
          <w:szCs w:val="20"/>
          <w:color w:val="auto"/>
        </w:rPr>
      </w:pPr>
    </w:p>
    <w:p>
      <w:pPr>
        <w:ind w:left="1360" w:right="259" w:firstLine="343"/>
        <w:spacing w:after="0" w:line="273" w:lineRule="auto"/>
        <w:rPr>
          <w:sz w:val="20"/>
          <w:szCs w:val="20"/>
          <w:color w:val="auto"/>
        </w:rPr>
      </w:pPr>
      <w:r>
        <w:rPr>
          <w:rFonts w:ascii="Times New Roman" w:cs="Times New Roman" w:eastAsia="Times New Roman" w:hAnsi="Times New Roman"/>
          <w:sz w:val="13"/>
          <w:szCs w:val="13"/>
          <w:color w:val="auto"/>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 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spacing w:after="0" w:line="307" w:lineRule="exact"/>
        <w:rPr>
          <w:sz w:val="20"/>
          <w:szCs w:val="20"/>
          <w:color w:val="auto"/>
        </w:rPr>
      </w:pPr>
    </w:p>
    <w:p>
      <w:pPr>
        <w:ind w:left="1360" w:right="37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heavily reliant on in-licensed intellectual property, and if we fail to comply with our obligations in the agreements under which we license intellectual property rights from third parties or otherwise experience disruptions to our business relationships with our current and future licensors, we could lose license rights that are important to our business.</w:t>
      </w:r>
    </w:p>
    <w:p>
      <w:pPr>
        <w:spacing w:after="0" w:line="13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We are heavily reliant upon the rights granted to us under the Asset Transfer Agreement and the Monash License Agreement pursuant to which, for the latter, we have been granted an exclusive, royalty-bearing license to certain patent rights that are important or necessary to the development of our proprietary technology and product candidates. Termination of the Asset Transfer Agreement or the Monash License Agreement or reduction or elimination of our licensed rights could lead to the loss of our ability to develop and commercialize our proprietary technology and product candidates.</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In the future, we may need to obtain licenses to intellectual property rights necessary to develop and commercialize our product candidates or may need to amend existing or future licenses. If we are unable to obtain or amend such licenses at a reasonable cost or on reasonable terms, we may be unable to develop or commercialize our product candidates, which could harm our business significantly.</w:t>
      </w:r>
    </w:p>
    <w:p>
      <w:pPr>
        <w:spacing w:after="0" w:line="136"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As noted above, the Monash License Agreement imposes, and we expect that future license agreements will impose, diligence obligations, milestone and royalty payments, indemnification and other obligations on us. If we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fail to comply with our obligations under one or more of these licenses, our licensors, including Monash University, may have the right to terminate the license agreement at issue. If one or more of these licenses is terminated, we may be unable to develop or commercialize our product candidates. Termination of any of our current or future license agreements or reduction or elimination of our licensed rights may require us to negotiate new or reinstated licenses with less favorable terms, even if available at all.</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the licensed rights, or increase what we believe to be our diligence, development, regulatory, commercialization, financial or other obligations under the relevant agreement. In addition, if disputes over the license agreements or the in-licensed intellectual property prevent or impair our ability to maintain our current license agreements on commercially acceptable terms, we may be unable to successfully develop and commercialize the affected product candidate. Any of the foregoing could have a material adverse effect on our business, financial condition, results of operations and prospects.</w:t>
      </w:r>
    </w:p>
    <w:p>
      <w:pPr>
        <w:spacing w:after="0" w:line="14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License agreements we may enter into in the future may be non-exclusive, or may not include all territories or fields of use of interest to us. Accordingly, third parties may also obtain licenses from such licensors to the same intellectual property rights they have licensed to us. As a result, the licenses granted to us may not provide us with exclusive rights to use such patent and other intellectual property rights in all relevant fields of use and in all territories in which we may wish to develop or commercialize our product candidates, which may permit competitors to develop and commercialize a competitive product.</w:t>
      </w:r>
    </w:p>
    <w:p>
      <w:pPr>
        <w:spacing w:after="0" w:line="144"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Furthermore, in some cases, we may not have the right to control the preparation, filing and prosecution of patent applications, or to maintain the patents, covering technology that we in-license from third parties. Therefore, we cannot be certain that any in-licensed patent rights will be prosecuted, maintained and enforced in a manner consistent with the best interests of our business. If our future licensors or collaboration partners fail to obtain, maintain or protect any patents or patent applications licensed to us, decide not to pursue litigation against third-party infringers, fail to prosecute infringement, or fail to defend against counterclaims of patent invalidity and unenforceability, our rights to such patents and patent applications may be reduced or eliminated and our right to develop and commercialize any of our product candidates that are the subject of such licensed rights could be adversely affected.</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Disputes may arise between us and our current or future licensors regarding intellectual property subject to a license agreement, including:</w:t>
      </w:r>
    </w:p>
    <w:p>
      <w:pPr>
        <w:spacing w:after="0" w:line="102" w:lineRule="exact"/>
        <w:rPr>
          <w:sz w:val="20"/>
          <w:szCs w:val="20"/>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or other obligations under the license agreement;</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misappropriate or otherwise violate intellectual property of the licensor that is not subject to the licensing agreement;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patents and other rights to third parties;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under the license agreement and what activities satisfy those diligence obligations;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transfer or assign the license;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17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these license agreements. As a result, we may be required to cease our development and commercialization of our product candidates and use of our proprietary technologies covered by the patent rights owned by the licensors. Furthermore, if the in-licensed patent rights fail to provide the intended exclusivity, competitors will have the freedom to seek regulatory approval of, and to market, products identical to ours. These events could have a material adverse effect on our competitive position, business, financial condition, results of operations, and prospects. For a more complete description of our license agreements, see the section titled “Business—License Agreement.”</w:t>
      </w:r>
    </w:p>
    <w:p>
      <w:pPr>
        <w:spacing w:after="0" w:line="142" w:lineRule="exact"/>
        <w:rPr>
          <w:sz w:val="20"/>
          <w:szCs w:val="20"/>
          <w:color w:val="auto"/>
        </w:rPr>
      </w:pPr>
    </w:p>
    <w:p>
      <w:pPr>
        <w:ind w:left="1360" w:right="4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need to acquire or license additional intellectual property from third parties, and such licenses may not be available or may not be available on commercially reasonable terms.</w:t>
      </w:r>
    </w:p>
    <w:p>
      <w:pPr>
        <w:spacing w:after="0" w:line="123"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A third party may hold intellectual property, including patent rights that are important or necessary to the development of our product candidates. It may be necessary for us to use the patented or proprietary technology of one or more third parties to commercialize our current and future product candidates.</w:t>
      </w:r>
    </w:p>
    <w:p>
      <w:pPr>
        <w:spacing w:after="0" w:line="136"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product candidates, if approved, would likely be delayed or we may have to abandon development of that product candidate and our business and financial condition could suffer.</w:t>
      </w:r>
    </w:p>
    <w:p>
      <w:pPr>
        <w:spacing w:after="0" w:line="14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If we in-license product candidates in the future, we might become dependent on proprietary rights from third parties with respect to those product candidates. Any termination of such licenses could result in the loss of significant rights and would cause material adverse harm to our ability to develop and commercialize any product candidates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We also may be unable to license or acquire third party intellectual property rights on terms that would allow us to make an appropriate return on our investment or at all. If we are unable to license such intellectual property, or if we are forced to license such intellectual property on unfavorable terms, our business could be materially harmed.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spacing w:after="0" w:line="146"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44"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may not have the right to control the prosecution, maintenance, enforcement or defense of patents and patent applications that we license from third parties, and may not have sufficient ability to provide input into the patent prosecution, maintenance and defense process with respect to such patents. In such cases, we would be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 may be less vigorous than had we conducted them ourselves. We cannot be certain that such activities by our licensors have been or will be conducted in compliance with applicable laws and regulations or will result in valid and enforceable patents or other intellectual property rights.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 Any of the foregoing could have a material adverse effect on our business, financial condition, results of operations and prospects.</w:t>
      </w:r>
    </w:p>
    <w:p>
      <w:pPr>
        <w:spacing w:after="0" w:line="149"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Our present or future licensors may have relied upon or may rely upon third-party consultants or collaborators or on funds from third parties such that our present or future licensors may not be the sole and exclusive owners of the patents we in-license. If other third parties have ownership rights to our present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Furthermore, government agencies may provide, funding or other assistance in connection with the development of the intellectual property rights owned by or licensed to us. 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47"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w:t>
      </w:r>
    </w:p>
    <w:p>
      <w:pPr>
        <w:spacing w:after="0" w:line="134"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i w:val="1"/>
          <w:iCs w:val="1"/>
          <w:color w:val="auto"/>
        </w:rPr>
        <w:t>It is difficult and costly to protect our intellectual property and our proprietary technologies, and we may not be able to ensure their protection.</w:t>
      </w:r>
    </w:p>
    <w:p>
      <w:pPr>
        <w:spacing w:after="0" w:line="177"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Our commercial success will depend in part on obtaining and maintaining patent protection and trade secret protection for our product candidates, as well as on successfully defending these patents against potential third-party challenges. Our ability to protect our product candidates from unauthorized making, using, selling, offering to sell or importing by third parties is dependent on the extent to which we have rights under valid and enforceable patents that cover these activities.</w:t>
      </w:r>
    </w:p>
    <w:p>
      <w:pPr>
        <w:spacing w:after="0" w:line="141"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The patent positions of pharmaceutical, biotechnology and other life sciences companies can be highly uncertain and involve complex legal and factual questions for which important legal principles remain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spacing w:after="0" w:line="14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cannot provide assurances that any of our or our licensors’ pending patent applications will be found to be patentable, including over our own prior art publications or patent literature, or will issue as patents. Neither can we make assurances as to the scope of any claims of the issued patents that we own or in-licensed or any claims that may issue from our or our licensors’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product candidates and/or materially harm our business.</w:t>
      </w:r>
    </w:p>
    <w:p>
      <w:pPr>
        <w:spacing w:after="0" w:line="14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2120" w:right="379" w:hanging="345"/>
        <w:spacing w:after="0" w:line="283" w:lineRule="auto"/>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generate sufficient data to support full patent applications that protect the entire breadth of developments in one or more of our programs;</w:t>
      </w:r>
    </w:p>
    <w:p>
      <w:pPr>
        <w:spacing w:after="0" w:line="5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one or more of our pending patent applications will not become an issued patent or, if issued, that the patent claims will not have sufficient scope to protect our technology, provide us with commercially viable patent protection or provide us with any competitive advantages;</w:t>
      </w:r>
    </w:p>
    <w:p>
      <w:pPr>
        <w:spacing w:after="0" w:line="6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pending applications issue as patents, they may be challenged by third parties as invalid or unenforceable under United States or foreign laws;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successfully commercialize our product candidates, if approved, before our relevant patents expire;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the first to file patent applications for the inventions covered by our patent portfolio;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separately patentable.</w:t>
      </w:r>
    </w:p>
    <w:p>
      <w:pPr>
        <w:spacing w:after="0" w:line="175"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In addition, to the extent that we are unable to obtain and maintain patent protection for our product candidates, or in the event that such patent protection expires, it may no longer be cost-effective to extend our portfolio by pursuing additional development of any of our product candidates for follow-on indications.</w:t>
      </w:r>
    </w:p>
    <w:p>
      <w:pPr>
        <w:spacing w:after="0" w:line="1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products for an adequate amount of time.</w:t>
      </w:r>
    </w:p>
    <w:p>
      <w:pPr>
        <w:spacing w:after="0" w:line="177" w:lineRule="exact"/>
        <w:rPr>
          <w:sz w:val="20"/>
          <w:szCs w:val="20"/>
          <w:color w:val="auto"/>
        </w:rPr>
      </w:pPr>
    </w:p>
    <w:p>
      <w:pPr>
        <w:ind w:left="1360" w:right="459" w:firstLine="343"/>
        <w:spacing w:after="0" w:line="257" w:lineRule="auto"/>
        <w:rPr>
          <w:sz w:val="20"/>
          <w:szCs w:val="20"/>
          <w:color w:val="auto"/>
        </w:rPr>
      </w:pPr>
      <w:r>
        <w:rPr>
          <w:rFonts w:ascii="Times New Roman" w:cs="Times New Roman" w:eastAsia="Times New Roman" w:hAnsi="Times New Roman"/>
          <w:sz w:val="14"/>
          <w:szCs w:val="14"/>
          <w:color w:val="auto"/>
        </w:rPr>
        <w:t>Patents have a limited term. In the United States, if all maintenance fees are timely paid, the natural expiration of a patent is generally twenty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another patent having an earlier expiration date.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36"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Various extensions may be available, but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w:t>
      </w:r>
    </w:p>
    <w:p>
      <w:pPr>
        <w:spacing w:after="0" w:line="136"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In the United States,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indication—in other words, only one patent (for example, covering the product itself, an approved use of said product, or a method of manufacturing said product) can be extended by PTE. Moreover, the scope of protection during the period of the PTE does not extend to the full scope of the claim, but instead only to the scope of the product as approved. We anticipate applying for PTE in the United States. Similar extensions may be available in other countries where we are prosecuting patents and we likewise anticipate applying for such extensions.</w:t>
      </w:r>
    </w:p>
    <w:p>
      <w:pPr>
        <w:spacing w:after="0" w:line="14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failure to exercise due diligence during the testing phase or regulatory review process or any other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4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Further, there are detailed rules and requirements regarding the patents that may be submitted to the FDA for listing in the Approved Drug Products with Therapeutic Equivalence Evaluations, or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drug candidate. Where patents are listed, an ANDA or 505(b)(2) applicant seeking approval before patent expiry must submit a Paragraph IV certification; if we sue within 45 days of notice, approval of the ANDA or 505(b)(2) application may be stayed for up to 30 months, though the patent can still be invalidated or found not infringed.</w:t>
      </w:r>
    </w:p>
    <w:p>
      <w:pPr>
        <w:spacing w:after="0" w:line="142" w:lineRule="exact"/>
        <w:rPr>
          <w:sz w:val="20"/>
          <w:szCs w:val="20"/>
          <w:color w:val="auto"/>
        </w:rPr>
      </w:pPr>
    </w:p>
    <w:p>
      <w:pPr>
        <w:ind w:left="1360" w:right="2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in the interpretation of patent law in the United States and other jurisdictions could diminish the value of patents in general, thereby impairing our ability to protect our products.</w:t>
      </w:r>
    </w:p>
    <w:p>
      <w:pPr>
        <w:spacing w:after="0" w:line="12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Changes in either the patent laws or interpretation of the patent laws in the United States could increase the uncertainties and</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costs, and may diminish our ability to protect our inventions, obtain, maintain and enforce our intellectual property rights and, more generally, could affect the value of our intellectual property or narrow the scope of our owned and licensed patents. 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as well as the scope of inventions that can be patented.</w:t>
      </w:r>
    </w:p>
    <w:p>
      <w:pPr>
        <w:spacing w:after="0" w:line="14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addition to increasing uncertainty with regard to our ability to obtain patents in the future, the legal landscape in the U.S. has created uncertainty with respect to the value of patents. Depending on any proposed or already implemented actions by U.S.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 as well as the cost associated with the filing, prosecution and maintenance of our or our licensors patent rights.</w:t>
      </w:r>
    </w:p>
    <w:p>
      <w:pPr>
        <w:spacing w:after="0" w:line="14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Patent reform legislation in the United States and other countries could increase those uncertainties and costs. For example, the Leahy-Smith America Invents Act of 2011, or the Leahy-Smith Act, included a number of significant changes to United States patent law, including provisions that affect the way patent applications are prosecuted, redefine prior art and provide more efficient and cost-effective avenues for competitors to challenge the validity of patents, for example, via post grant review and inter partes review proceedings at the USPTO.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or in-licensed patents or any patents we may license in the future that would not have been invalidated if first challenged by the third party as a defendant in a district court action. In addition, the Leahy-Smith Act transformed the United States patent system into a “first to file” system.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50"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The U.S. Supreme Court has ruled on several patent cases in recent years; these cases often narrow the scope of patent protection available to inventions in the pharmaceutical and biotechnology industries. We cannot predict how future decisions by the courts, the U.S. Congress or the USPTO may impact the value of our patents. For example, in 2023, the Federal Circuit issued a decision in </w:t>
      </w:r>
      <w:r>
        <w:rPr>
          <w:rFonts w:ascii="Times New Roman" w:cs="Times New Roman" w:eastAsia="Times New Roman" w:hAnsi="Times New Roman"/>
          <w:sz w:val="14"/>
          <w:szCs w:val="14"/>
          <w:i w:val="1"/>
          <w:iCs w:val="1"/>
          <w:color w:val="auto"/>
        </w:rPr>
        <w:t>In 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Cellect, LLC </w:t>
      </w:r>
      <w:r>
        <w:rPr>
          <w:rFonts w:ascii="Times New Roman" w:cs="Times New Roman" w:eastAsia="Times New Roman" w:hAnsi="Times New Roman"/>
          <w:sz w:val="14"/>
          <w:szCs w:val="14"/>
          <w:color w:val="auto"/>
        </w:rPr>
        <w:t>involving the interaction of patent term adjustment, or PTA, terminal disclaimers, and obviousness-type double patenting which may affect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patent term of any issued patents that rely on any PTA. In 2022, the U.S.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run.</w:t>
      </w:r>
    </w:p>
    <w:p>
      <w:pPr>
        <w:spacing w:after="0" w:line="144"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member states of the European Union. The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spacing w:after="0" w:line="258" w:lineRule="auto"/>
        <w:rPr>
          <w:sz w:val="20"/>
          <w:szCs w:val="20"/>
          <w:color w:val="auto"/>
        </w:rPr>
      </w:pPr>
      <w:r>
        <w:rPr>
          <w:rFonts w:ascii="Times New Roman" w:cs="Times New Roman" w:eastAsia="Times New Roman" w:hAnsi="Times New Roman"/>
          <w:sz w:val="14"/>
          <w:szCs w:val="14"/>
          <w:color w:val="auto"/>
        </w:rPr>
        <w:t>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w:t>
      </w: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not opted out our existing European patents and patent applications but we may in the future decide to opt out certain European patents and patent applications from the UPC. However, if certain formalities and requirements are not met, our European patents could be subject to the jurisdiction of the UPC. We cannot be certain that our European patents will avoid falling under the jurisdiction of the UPC, if we decide to opt out of the UPC.</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seek or obtain patent protection throughout the world or enforce such patent protection once obtained.</w:t>
      </w:r>
    </w:p>
    <w:p>
      <w:pPr>
        <w:spacing w:after="0" w:line="177"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Filing, prosecuting, enforcing, and defending patents protecting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Further, the standards applied by the USPTO and foreign patent offices in granting patents are not always applied uniformly or predictably. As such, we do not know the degree of future protection that we will have on our technologies, products and product candidates.</w:t>
      </w:r>
    </w:p>
    <w:p>
      <w:pPr>
        <w:spacing w:after="0" w:line="14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Many companies have encountered significant problems in protecting, enforcing and defending intellectual property rights in certain foreign jurisdictions, such as China and Russia. For example, further to the United States and foreign government actions related to Russia’s invasion of Ukraine, the Kremlin issued Decree 299 stating that Russian companies and individuals can use patented inventions without the owner’s permission or compensation, if the patent is held by owners from “unfriendly countries,” which include the United States. As a result, we would not be able to enforce our otherwise valid patent rights against an infringer in Russia. These and other restrictions could make it difficult for us to stop the infringement of our patents or the misappropriation of our other intellectual property rights in such countries.</w:t>
      </w:r>
    </w:p>
    <w:p>
      <w:pPr>
        <w:spacing w:after="0" w:line="144"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Furthermore, some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w:t>
      </w:r>
    </w:p>
    <w:p>
      <w:pPr>
        <w:spacing w:after="0" w:line="141" w:lineRule="exact"/>
        <w:rPr>
          <w:sz w:val="20"/>
          <w:szCs w:val="20"/>
          <w:color w:val="auto"/>
        </w:rPr>
      </w:pPr>
    </w:p>
    <w:p>
      <w:pPr>
        <w:ind w:left="1360" w:right="27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In order to protect our competitive position around our product candidates, we may become involved in lawsuits to protect or enforce our patents or other intellectual property, which could be expensive, time consuming and unsuccessful and which may result in our patents being found invalid or unenforceable.</w:t>
      </w:r>
    </w:p>
    <w:p>
      <w:pPr>
        <w:spacing w:after="0" w:line="13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We may find it impractical or undesirable to enforce our intellectual property against some third parties.</w:t>
      </w:r>
    </w:p>
    <w:p>
      <w:pPr>
        <w:spacing w:after="0" w:line="149"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43" w:lineRule="exact"/>
        <w:rPr>
          <w:sz w:val="20"/>
          <w:szCs w:val="20"/>
          <w:color w:val="auto"/>
        </w:rPr>
      </w:pPr>
    </w:p>
    <w:p>
      <w:pPr>
        <w:ind w:left="1360" w:right="359" w:firstLine="343"/>
        <w:spacing w:after="0" w:line="296" w:lineRule="auto"/>
        <w:rPr>
          <w:sz w:val="20"/>
          <w:szCs w:val="20"/>
          <w:color w:val="auto"/>
        </w:rPr>
      </w:pPr>
      <w:r>
        <w:rPr>
          <w:rFonts w:ascii="Times New Roman" w:cs="Times New Roman" w:eastAsia="Times New Roman" w:hAnsi="Times New Roman"/>
          <w:sz w:val="13"/>
          <w:szCs w:val="13"/>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w:t>
      </w:r>
    </w:p>
    <w:p>
      <w:pPr>
        <w:spacing w:after="0" w:line="139" w:lineRule="exact"/>
        <w:rPr>
          <w:sz w:val="20"/>
          <w:szCs w:val="20"/>
          <w:color w:val="auto"/>
        </w:rPr>
      </w:pPr>
    </w:p>
    <w:p>
      <w:pPr>
        <w:ind w:left="1360" w:right="2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sued for infringing intellectual property rights of third parties, such litigation could be costly and time consuming and could prevent or delay us from developing or commercializing current and future product candidates.</w:t>
      </w:r>
    </w:p>
    <w:p>
      <w:pPr>
        <w:spacing w:after="0" w:line="123"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Our commercial success depends, in part, on our ability to develop, manufacture, and market our current as well as any future product candidates, without infringing the intellectual property and other proprietary rights of third parties. The biotechnology and pharmaceutical industries are characterized by extensive and complex litigation regarding patents and other intellectual property rights. As the biotechnology and pharmaceutical industries expand and more patents are issued, the risk increases that our product candidates may give rise to claims of infringement of the patent rights of others. If any third-party patents or patent applications are found to cover our current or any future product candidates or their methods of use, or other aspects of our current or future product candidates, we may not be free to manufacture or market such product candidates as planned without obtaining a license, which may not be available on commercially reasonable terms, or at all, or we may incur significant legal fees or damages. We may in the future become party to, or be threatened with, adversarial proceedings or litigation regarding intellectual property rights with respect to our current and any future product candidates and technology, including interference proceedings, post grant review and inter partes review before the USPTO. Third parties may assert infringement claims against us based on existing patents or patents that may be granted in the future, regardless of their merit. 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If a patent infringement suit were threatened or brought against us, we could be forced to stop or delay research, development, manufacturing or sales of the product or product candidate that is the subject of the actual or threatened suit.</w:t>
      </w:r>
    </w:p>
    <w:p>
      <w:pPr>
        <w:spacing w:after="0" w:line="146"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In spite of our efforts to avoid obstacles and disruptions arising from third-party intellectual property, it is impossible to establish with certainty that our programs directed to our current and any future product candidates will be free of claims by third-party intellectual property holders.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 If the third-party patent owner disagrees with our conclusion and we continue with the business activity in question, patent litigation may be initiated against us. Alternatively, we might decide to initiate litigation in an attempt to have a court declare the third-party patent invalid or non-infringed by our activity. In either scenario, patent litigation typically is costly and time-consuming, and the outcome is uncertain. The outcome of patent litigation is subject to uncertainties that cannot be quantified in advance, for example, the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credibility of expert witnesses who may disagree on technical interpretation of scientific data. Ultimately, in the case of an adverse outcome in litigation, we could be prevented from commercializing a product or using certain aspects of our technology platform as a result of patent infringement claims asserted against us. This could have a material adverse effect on our business.</w:t>
      </w:r>
    </w:p>
    <w:p>
      <w:pPr>
        <w:spacing w:after="0" w:line="136"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There is a substantial amount of intellectual property litigation in the pharmaceutical and biotechnology industries, and we may become party to, or threatened with, litigation or other adversarial proceedings regarding intellectual property rights with respect to our current or future product candidates, including interference proceedings before the USPTO.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any current or future product candidates, products, methods, processes, modeling or similar work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w:t>
      </w:r>
    </w:p>
    <w:p>
      <w:pPr>
        <w:spacing w:after="0" w:line="146"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If we are found to infringe, misappropriate or otherwise violate a third party’s intellectual property rights, we could be forced, including by court order, to cease developing, manufacturing or commercializing the infringing product candidate or product or cease some of our business operations, which could harm our business.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We may be required to indemnify collaborators or contractors against such claims. A finding of infringement could prevent us from commercializing any future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Our involvement in litigation, and in, e.g., any interference, derivation, reexamination, inter partes review, opposition or post-grant proceedings or other intellectual property proceedings in the United States, or other jurisdictions, may divert management time from focusing on business operations, could cause us to spend significant amounts of money and may have no guarantee of success. Any current and potential intellectual property litigation also could force us to do one or more of the following:</w:t>
      </w:r>
    </w:p>
    <w:p>
      <w:pPr>
        <w:spacing w:after="0" w:line="67" w:lineRule="exact"/>
        <w:rPr>
          <w:sz w:val="20"/>
          <w:szCs w:val="20"/>
          <w:color w:val="auto"/>
        </w:rPr>
      </w:pPr>
    </w:p>
    <w:p>
      <w:pPr>
        <w:ind w:left="2120" w:hanging="345"/>
        <w:spacing w:after="0"/>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stop selling, manufacturing or using our products in the United States or other jurisdictions that use the intellectual property at issue;</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from a third party asserting its intellectual property rights, a license to sell or use the relevant technology, which license may not be available on reasonable terms, or at all, or may be non-exclusive thereby giving our competitors access to the same technologies licensed to us;</w:t>
      </w:r>
    </w:p>
    <w:p>
      <w:pPr>
        <w:spacing w:after="0" w:line="6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those products or processes that use any allegedly infringing or misappropriated technology, which may result in significant cost or delay to us, or which redesign could be technically infeasible; or</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damages, including the possibility of treble damages in a patent case if a court finds us to have willfully infringed certain intellectual property rights.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123"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and may result in joint ownership of our inventions. Litigation may be necessary to resolve these and other claims challenging inventorship and/or ownership. Any disagreement over inventorship could result in our being forced to defend our determination of inventorship in a legal action which could result in substantial costs and be a distraction to our senior management and scientific personnel.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0"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spacing w:after="0" w:line="148" w:lineRule="exact"/>
        <w:rPr>
          <w:sz w:val="20"/>
          <w:szCs w:val="20"/>
          <w:color w:val="auto"/>
        </w:rPr>
      </w:pPr>
    </w:p>
    <w:p>
      <w:pPr>
        <w:ind w:left="1360" w:right="6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Any intellectual property litigation could lead to unfavorable publicity that could harm our reputation and cause the market price of our common stock to decline.</w:t>
      </w:r>
    </w:p>
    <w:p>
      <w:pPr>
        <w:spacing w:after="0" w:line="12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In such event, the market price of our common stock may decline.</w:t>
      </w:r>
    </w:p>
    <w:p>
      <w:pPr>
        <w:spacing w:after="0" w:line="134" w:lineRule="exact"/>
        <w:rPr>
          <w:sz w:val="20"/>
          <w:szCs w:val="20"/>
          <w:color w:val="auto"/>
        </w:rPr>
      </w:pPr>
    </w:p>
    <w:p>
      <w:pPr>
        <w:ind w:left="1360" w:right="7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or we have misappropriated intellectual property from a competitor or third parties or claiming ownership of what we regard as our own intellectual property.</w:t>
      </w:r>
    </w:p>
    <w:p>
      <w:pPr>
        <w:spacing w:after="0" w:line="123"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Many of our current and former employees and our licensors’ current and former employees, including our senior management, were previously employed at other pharmaceutical or biotechnology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product candidates, we may be subject to claims that we or these employees have misappropriated the intellectual property of a third party.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product candidates. Such a license may not be available on commercially reasonable terms or at all. Any of the aforementioned could materially affect the commercialization of any of our product candidates. Even if we are successful in defending against such claims, litigation could result in substantial costs and be a distraction to management.</w:t>
      </w:r>
    </w:p>
    <w:p>
      <w:pPr>
        <w:spacing w:after="0" w:line="141" w:lineRule="exact"/>
        <w:rPr>
          <w:sz w:val="20"/>
          <w:szCs w:val="20"/>
          <w:color w:val="auto"/>
        </w:rPr>
      </w:pPr>
    </w:p>
    <w:p>
      <w:pPr>
        <w:ind w:left="1360" w:right="37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the value of our technology could be materially adversely affected and our business would be harmed.</w:t>
      </w:r>
    </w:p>
    <w:p>
      <w:pPr>
        <w:spacing w:after="0" w:line="123" w:lineRule="exact"/>
        <w:rPr>
          <w:sz w:val="20"/>
          <w:szCs w:val="20"/>
          <w:color w:val="auto"/>
        </w:rPr>
      </w:pPr>
    </w:p>
    <w:p>
      <w:pPr>
        <w:ind w:left="1360" w:right="439" w:firstLine="343"/>
        <w:spacing w:after="0" w:line="258" w:lineRule="auto"/>
        <w:rPr>
          <w:sz w:val="20"/>
          <w:szCs w:val="20"/>
          <w:color w:val="auto"/>
        </w:rPr>
      </w:pPr>
      <w:r>
        <w:rPr>
          <w:rFonts w:ascii="Times New Roman" w:cs="Times New Roman" w:eastAsia="Times New Roman" w:hAnsi="Times New Roman"/>
          <w:sz w:val="14"/>
          <w:szCs w:val="14"/>
          <w:color w:val="auto"/>
        </w:rPr>
        <w:t>Along with patent protection, we also rely on trade secret protection for our proprietary information that is not amenable to, or that we do not consider appropriate for, patent protection, including, for example, certain aspects of our manufacturing processes. We seek to protect these trade secrets, in part, by entering into non-disclosure and confidentiality agreements with parties who have access to them, such as our employees, consultants, independent contractors, CROs, advisors, contract manufacturers, suppliers and other third parties. We also enter into confidentiality and invention or patent assignment agreements with employees and certain consultants.</w:t>
      </w:r>
    </w:p>
    <w:p>
      <w:pPr>
        <w:spacing w:after="0" w:line="144"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Trade secrets and confidential know-how are difficult to maintain as confidential. Although we use reasonable efforts to protect our trade secrets, any party with whom we have executed a confidentiality agreement may breach that agreement and disclose our proprietary information, including our trade secrets.</w:t>
      </w:r>
    </w:p>
    <w:p>
      <w:pPr>
        <w:spacing w:after="0" w:line="136"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Enforcing a claim that a party illegally disclosed or misappropriated a trade secret is difficult, expensive and time-consuming, and the outcome is unpredictable. Accordingly, we may not be able to obtain adequate remedies for such breaches, despite any legal action that we might take against persons making such unauthorized disclosures. In addition, courts outside the United States sometimes are less willing than United States courts to protect trade secrets. As a result, we may encounter significant problems in protecting and defending our intellectual property both in the U.S. and abroad.</w:t>
      </w:r>
    </w:p>
    <w:p>
      <w:pPr>
        <w:spacing w:after="0" w:line="14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For example, we may choose not to file a patent application for certain inventions, instead choosing to rely on trade secret protection, and a third party may subsequently file a patent application covering such intellectual property. Although certain defenses maybe available to us, those defenses may not be available to a commercial partner or acquiror.</w:t>
      </w:r>
    </w:p>
    <w:p>
      <w:pPr>
        <w:spacing w:after="0" w:line="14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Those with whom we collaborate on research and development related to current and future product candidates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We may also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5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123"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Our current or future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our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If we are unable to establish name recognition based on our trademarks and trade names, we may not be able to compete effectively and our business may be adversely affected.</w:t>
      </w:r>
    </w:p>
    <w:p>
      <w:pPr>
        <w:spacing w:after="0" w:line="149" w:lineRule="exact"/>
        <w:rPr>
          <w:sz w:val="20"/>
          <w:szCs w:val="20"/>
          <w:color w:val="auto"/>
        </w:rPr>
      </w:pPr>
    </w:p>
    <w:p>
      <w:pPr>
        <w:ind w:left="1360" w:right="2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Any collaboration arrangements that we may enter into in the future may not be successful, which could adversely affect our ability to develop and commercialize our products.</w:t>
      </w:r>
    </w:p>
    <w:p>
      <w:pPr>
        <w:spacing w:after="0" w:line="123"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51" w:lineRule="exact"/>
        <w:rPr>
          <w:sz w:val="20"/>
          <w:szCs w:val="20"/>
          <w:color w:val="auto"/>
        </w:rPr>
      </w:pPr>
    </w:p>
    <w:p>
      <w:pPr>
        <w:ind w:left="2120" w:right="539" w:hanging="345"/>
        <w:spacing w:after="0" w:line="283"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w:t>
      </w:r>
    </w:p>
    <w:p>
      <w:pPr>
        <w:spacing w:after="0" w:line="51" w:lineRule="exact"/>
        <w:rPr>
          <w:rFonts w:ascii="Times New Roman" w:cs="Times New Roman" w:eastAsia="Times New Roman" w:hAnsi="Times New Roman"/>
          <w:sz w:val="14"/>
          <w:szCs w:val="14"/>
          <w:color w:val="auto"/>
        </w:rPr>
      </w:pPr>
    </w:p>
    <w:p>
      <w:pPr>
        <w:ind w:left="2120" w:right="519" w:hanging="345"/>
        <w:spacing w:after="0" w:line="261"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7"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collaborations;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79" w:hanging="345"/>
        <w:spacing w:after="0" w:line="283"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manufacturing and distribution rights to one or more products may not commit sufficient resources to or otherwise not perform satisfactorily in carrying out these activities;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101" w:lineRule="exact"/>
        <w:rPr>
          <w:rFonts w:ascii="Times New Roman" w:cs="Times New Roman" w:eastAsia="Times New Roman" w:hAnsi="Times New Roman"/>
          <w:sz w:val="14"/>
          <w:szCs w:val="14"/>
          <w:color w:val="auto"/>
        </w:rPr>
      </w:pPr>
    </w:p>
    <w:p>
      <w:pPr>
        <w:ind w:left="2120" w:right="539" w:hanging="345"/>
        <w:spacing w:after="0" w:line="323" w:lineRule="auto"/>
        <w:tabs>
          <w:tab w:leader="none" w:pos="21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spacing w:after="0" w:line="28" w:lineRule="exact"/>
        <w:rPr>
          <w:rFonts w:ascii="Times New Roman" w:cs="Times New Roman" w:eastAsia="Times New Roman" w:hAnsi="Times New Roman"/>
          <w:sz w:val="13"/>
          <w:szCs w:val="13"/>
          <w:color w:val="auto"/>
        </w:rPr>
      </w:pPr>
    </w:p>
    <w:p>
      <w:pPr>
        <w:ind w:left="2120" w:right="839" w:hanging="345"/>
        <w:spacing w:after="0" w:line="283"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current or future product or products;</w:t>
      </w:r>
    </w:p>
    <w:p>
      <w:pPr>
        <w:spacing w:after="0" w:line="51" w:lineRule="exact"/>
        <w:rPr>
          <w:rFonts w:ascii="Times New Roman" w:cs="Times New Roman" w:eastAsia="Times New Roman" w:hAnsi="Times New Roman"/>
          <w:sz w:val="14"/>
          <w:szCs w:val="14"/>
          <w:color w:val="auto"/>
        </w:rPr>
      </w:pPr>
    </w:p>
    <w:p>
      <w:pPr>
        <w:jc w:val="both"/>
        <w:ind w:left="2120" w:right="299" w:hanging="345"/>
        <w:spacing w:after="0" w:line="267"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 candidates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Ownership of Our Common Stock</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There has been no prior public market for our common stock, and an active trading market may not develop or be sustained.</w:t>
      </w:r>
    </w:p>
    <w:p>
      <w:pPr>
        <w:spacing w:after="0" w:line="177" w:lineRule="exact"/>
        <w:rPr>
          <w:sz w:val="20"/>
          <w:szCs w:val="20"/>
          <w:color w:val="auto"/>
        </w:rPr>
      </w:pPr>
    </w:p>
    <w:p>
      <w:pPr>
        <w:ind w:left="1360" w:right="279" w:firstLine="343"/>
        <w:spacing w:after="0" w:line="278" w:lineRule="auto"/>
        <w:rPr>
          <w:sz w:val="20"/>
          <w:szCs w:val="20"/>
          <w:color w:val="auto"/>
        </w:rPr>
      </w:pPr>
      <w:r>
        <w:rPr>
          <w:rFonts w:ascii="Times New Roman" w:cs="Times New Roman" w:eastAsia="Times New Roman" w:hAnsi="Times New Roman"/>
          <w:sz w:val="13"/>
          <w:szCs w:val="13"/>
          <w:color w:val="auto"/>
        </w:rPr>
        <w:t>There has been no public market for our common stock prior to this offering. Although we have applied to list our common stock on The Nasdaq Global Select Market, an active or liquid market in our common stock may not develop upon closing of this offering or, if it does develop, it may not be sustainable. The initial public offering price for our common stock was determined through negotiations among the underwriters and us and may vary from the market price of our common stock following this offering. This price will not necessarily reflect the price at which investors in the market will be willing to buy and sell our shares following this offering.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may be volatile, and you could lose all or part of your investment.</w:t>
      </w:r>
    </w:p>
    <w:p>
      <w:pPr>
        <w:spacing w:after="0" w:line="177"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section and elsewhere in this prospectus, these factors include:</w:t>
      </w:r>
    </w:p>
    <w:p>
      <w:pPr>
        <w:spacing w:after="0" w:line="62" w:lineRule="exact"/>
        <w:rPr>
          <w:sz w:val="20"/>
          <w:szCs w:val="20"/>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enrollment, completion, or results of our current or future preclinical and clinical trials for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identifying and advancing a clinical candidate for our other programs;</w:t>
      </w:r>
    </w:p>
    <w:p>
      <w:pPr>
        <w:spacing w:after="0" w:line="101" w:lineRule="exact"/>
        <w:rPr>
          <w:rFonts w:ascii="Times New Roman" w:cs="Times New Roman" w:eastAsia="Times New Roman" w:hAnsi="Times New Roman"/>
          <w:sz w:val="14"/>
          <w:szCs w:val="14"/>
          <w:color w:val="auto"/>
        </w:rPr>
      </w:pPr>
    </w:p>
    <w:p>
      <w:pPr>
        <w:jc w:val="both"/>
        <w:ind w:left="2120" w:right="239" w:hanging="345"/>
        <w:spacing w:after="0" w:line="267"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or delays, suspensions, or terminations in future preclinical studies or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terminate an existing clinical trial;</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61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decisions, including failure to receive regulatory approval of our product candidates, or the failure of a regulatory authority to accept data from preclinical studies or clinical trials conducted in other countries;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product candidates, including but not limited to clinical trial requirements for approvals;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our manufacturers;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the healthcare payment systems;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adequate product supply for any approved product or inability to do so at acceptable prices;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establish strategic partnerships or collaborations, if needed;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commercialize our product candidates, if approved;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serious safety concerns related to any of our current or future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or services offered by us or our competitors;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us or our competitors;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operating results;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position;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 estimates and projections of the investment community or that we may otherwise provide to the public;</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product candidates in particular, or positive or negative recommendations or withdrawal of research coverage by securities analysts;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or our stockholders in the future;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practices;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our internal controls;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and economic conditions;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17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therapeutics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39"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3"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due to a variety of factors, many of which are outside of our control and may be difficult to predict, including:</w:t>
      </w:r>
    </w:p>
    <w:p>
      <w:pPr>
        <w:spacing w:after="0" w:line="51" w:lineRule="exact"/>
        <w:rPr>
          <w:sz w:val="20"/>
          <w:szCs w:val="20"/>
          <w:color w:val="auto"/>
        </w:rPr>
      </w:pPr>
    </w:p>
    <w:p>
      <w:pPr>
        <w:ind w:left="2120" w:right="53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development and, if approved, commercialization activities relating to our current and future product candidates, which may change from time to time;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status of enrollment for clinical trials;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as well as building out our supply chain, which may vary depending on the quantity of production and the terms of our agreements with manufacturers;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may incur to acquire, develop, or commercialize additional product candidates and technologies;</w:t>
      </w:r>
    </w:p>
    <w:p>
      <w:pPr>
        <w:spacing w:after="0" w:line="10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amount of any milestone, royalty, or other payments due under any collaboration or license agreement, including the Asset Transfer Agreement and/or the Monash License Agreement;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101" w:lineRule="exact"/>
        <w:rPr>
          <w:rFonts w:ascii="Times New Roman" w:cs="Times New Roman" w:eastAsia="Times New Roman" w:hAnsi="Times New Roman"/>
          <w:sz w:val="14"/>
          <w:szCs w:val="14"/>
          <w:color w:val="auto"/>
        </w:rPr>
      </w:pPr>
    </w:p>
    <w:p>
      <w:pPr>
        <w:ind w:left="2120" w:right="21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receipt of approvals for our product candidates from regulatory authorities in the United States and internationally;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rate fluctuations;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coverage and reimbursement policies with respect to our product candidates, if approved, and potential future drugs that compete with our products;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our product candidates, if approved, which may vary significantly over time.</w:t>
      </w:r>
    </w:p>
    <w:p>
      <w:pPr>
        <w:spacing w:after="0" w:line="175"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6"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4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12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common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41" w:lineRule="exact"/>
        <w:rPr>
          <w:sz w:val="20"/>
          <w:szCs w:val="20"/>
          <w:color w:val="auto"/>
        </w:rPr>
      </w:pPr>
    </w:p>
    <w:p>
      <w:pPr>
        <w:ind w:left="1360" w:right="43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principal stockholders, and their respective affiliates own a significant percentage of our stock and will be able to exert significant control over matters subject to stockholder approval.</w:t>
      </w:r>
    </w:p>
    <w:p>
      <w:pPr>
        <w:spacing w:after="0" w:line="123" w:lineRule="exact"/>
        <w:rPr>
          <w:sz w:val="20"/>
          <w:szCs w:val="20"/>
          <w:color w:val="auto"/>
        </w:rPr>
      </w:pPr>
    </w:p>
    <w:p>
      <w:pPr>
        <w:ind w:left="1360" w:right="279" w:firstLine="343"/>
        <w:spacing w:after="0" w:line="274" w:lineRule="auto"/>
        <w:rPr>
          <w:sz w:val="20"/>
          <w:szCs w:val="20"/>
          <w:color w:val="auto"/>
        </w:rPr>
      </w:pPr>
      <w:r>
        <w:rPr>
          <w:rFonts w:ascii="Times New Roman" w:cs="Times New Roman" w:eastAsia="Times New Roman" w:hAnsi="Times New Roman"/>
          <w:sz w:val="13"/>
          <w:szCs w:val="13"/>
          <w:color w:val="auto"/>
        </w:rPr>
        <w:t>Based on the beneficial ownership of our common stock as of April 1, 2026, prior to this offering, our executive officers, directors, holders of 5% or more of our capital stock and their respective affiliates beneficially owned approximately 92.8% of our voting stock and, upon the completion of this offering, that same group will hold approximately   %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In particular, PureTech will own approximately</w:t>
      </w:r>
    </w:p>
    <w:p>
      <w:pPr>
        <w:spacing w:after="0" w:line="2" w:lineRule="exact"/>
        <w:rPr>
          <w:sz w:val="20"/>
          <w:szCs w:val="20"/>
          <w:color w:val="auto"/>
        </w:rPr>
      </w:pPr>
    </w:p>
    <w:p>
      <w:pPr>
        <w:ind w:left="1360" w:right="319" w:hanging="5"/>
        <w:spacing w:after="0" w:line="252" w:lineRule="auto"/>
        <w:tabs>
          <w:tab w:leader="none" w:pos="1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of our common stock following this offering and will be our largest stockholder following this offering. As a result, PureTech along with stockholders who own more than 5% or more of our capital stock,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 the public market could cause our stock price to fall.</w:t>
      </w:r>
    </w:p>
    <w:p>
      <w:pPr>
        <w:spacing w:after="0" w:line="177"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Our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ectPr>
          <w:pgSz w:w="11900" w:h="16838" w:orient="portrait"/>
          <w:cols w:equalWidth="0" w:num="1">
            <w:col w:w="10159"/>
          </w:cols>
          <w:pgMar w:left="300" w:top="386" w:right="1440" w:bottom="1440" w:gutter="0" w:footer="0" w:header="0"/>
        </w:sectPr>
      </w:pPr>
    </w:p>
    <w:p>
      <w:pPr>
        <w:spacing w:after="0" w:line="136" w:lineRule="exact"/>
        <w:rPr>
          <w:sz w:val="20"/>
          <w:szCs w:val="20"/>
          <w:color w:val="auto"/>
        </w:rPr>
      </w:pPr>
    </w:p>
    <w:p>
      <w:pPr>
        <w:ind w:left="1360" w:firstLine="343"/>
        <w:spacing w:after="0" w:line="323" w:lineRule="auto"/>
        <w:rPr>
          <w:sz w:val="20"/>
          <w:szCs w:val="20"/>
          <w:color w:val="auto"/>
        </w:rPr>
      </w:pPr>
      <w:r>
        <w:rPr>
          <w:rFonts w:ascii="Times New Roman" w:cs="Times New Roman" w:eastAsia="Times New Roman" w:hAnsi="Times New Roman"/>
          <w:sz w:val="13"/>
          <w:szCs w:val="13"/>
          <w:color w:val="auto"/>
        </w:rPr>
        <w:t>Upon the completion of this offering,         shares of common stock will be outstanding (or   option to purchase additional shares from us in full), based on the number of shares outstanding as of  </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239" w:firstLine="64"/>
        <w:spacing w:after="0" w:line="283" w:lineRule="auto"/>
        <w:rPr>
          <w:sz w:val="20"/>
          <w:szCs w:val="20"/>
          <w:color w:val="auto"/>
        </w:rPr>
      </w:pPr>
      <w:r>
        <w:rPr>
          <w:rFonts w:ascii="Times New Roman" w:cs="Times New Roman" w:eastAsia="Times New Roman" w:hAnsi="Times New Roman"/>
          <w:sz w:val="14"/>
          <w:szCs w:val="14"/>
          <w:color w:val="auto"/>
        </w:rPr>
        <w:t>      shares if the underwriters exercise their       , 2026.</w:t>
      </w:r>
    </w:p>
    <w:p>
      <w:pPr>
        <w:spacing w:after="0" w:line="124" w:lineRule="exact"/>
        <w:rPr>
          <w:sz w:val="20"/>
          <w:szCs w:val="20"/>
          <w:color w:val="auto"/>
        </w:rPr>
      </w:pPr>
    </w:p>
    <w:p>
      <w:pPr>
        <w:sectPr>
          <w:pgSz w:w="11900" w:h="16838" w:orient="portrait"/>
          <w:cols w:equalWidth="0" w:num="2">
            <w:col w:w="7160" w:space="40"/>
            <w:col w:w="2959"/>
          </w:cols>
          <w:pgMar w:left="300" w:top="386" w:right="1440" w:bottom="1440" w:gutter="0" w:footer="0" w:header="0"/>
          <w:type w:val="continuous"/>
        </w:sect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All shares of common stock expected to be sold in this offering will be freely tradable without restriction or further registration under the Securities Act of 1933, as amended, or the Securities Act, unless held by our “affiliates” as defined in Rule 144 under the Securities Act. The resale of the remaining         shares, or         %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6" w:right="1440"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31" w:lineRule="auto"/>
        <w:rPr>
          <w:sz w:val="20"/>
          <w:szCs w:val="20"/>
          <w:color w:val="auto"/>
        </w:rPr>
      </w:pPr>
      <w:r>
        <w:rPr>
          <w:rFonts w:ascii="Times New Roman" w:cs="Times New Roman" w:eastAsia="Times New Roman" w:hAnsi="Times New Roman"/>
          <w:sz w:val="14"/>
          <w:szCs w:val="14"/>
          <w:color w:val="auto"/>
        </w:rPr>
        <w:t>stockholders with the underwriters in connection with this offering. However, subject to applicable securities law restrictions, these shares will be able to be sold in the public market beginning on the 181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 included elsewhere in this prospectus.</w:t>
      </w:r>
    </w:p>
    <w:p>
      <w:pPr>
        <w:spacing w:after="0" w:line="157"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Upon the completion of this offering, the holders of approximately       shares, or   %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the section titled “Underwriting” included elsewhere in this prospectus.</w:t>
      </w:r>
    </w:p>
    <w:p>
      <w:pPr>
        <w:spacing w:after="0" w:line="143"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34"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how we use the proceeds of this offering and may not use these proceeds effectively, which could affect our results of operations and cause our stock price to decline.</w:t>
      </w:r>
    </w:p>
    <w:p>
      <w:pPr>
        <w:spacing w:after="0" w:line="12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We will have considerable discretion in the application of the net proceeds of this offering and, including for any of the purposes described in the section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shares of our common stock in our initial public offering, you will experience substantial and immediate dilution.</w:t>
      </w:r>
    </w:p>
    <w:p>
      <w:pPr>
        <w:spacing w:after="0" w:line="177"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assumed initial public offering price of $        per share, which is the midpoint of the price range set forth on the cover page of this prospectus, is substantially higher than the pro forma as adjusted net tangible book value per share of our outstanding common stock immediately following the completion of this offering. If you purchase shares of common stock in this offering, you will experience substantial and immediate dilution in the pro forma as adjusted net tangible book value per share of $        per share as of December 31, 2025. That is because the price that you pay will be substantially greater than the pro forma as adjusted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if the underwriters exercise their option to purchase additional shares in this offering, when those holding stock options exercise their right to purchase common stock under our equity incentive plans, upon the vesting of outstanding restricted stock awards or when we otherwise issue additional shares of common stock. For more information, see the section titled “Dilution” included elsewhere in this prospectus.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Participation in this offering by our existing stockholders and/or their affiliated entities will reduce the public float for our common stock.</w:t>
      </w:r>
    </w:p>
    <w:p>
      <w:pPr>
        <w:spacing w:after="0" w:line="177"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To the extent our existing stockholders who are our affiliates or their affiliated entities participate in this offering, such purchases would reduce the non-affiliate public float of our common stock after this offering, which is the number of shares of common stock that are not held by our officers, directors, and affiliated stockholders. As a result, the number of freely tradeable shares of our common stock following this offering will be reduced relative to what it would have been had these shares been sold to investors that were not existing stockholders, affiliates, or purchasers. This could adversely impact the liquidity of our common stock and depress the price at which you may be able to sell shares of common stock purchased in this offering.</w:t>
      </w:r>
    </w:p>
    <w:p>
      <w:pPr>
        <w:spacing w:after="0" w:line="141" w:lineRule="exact"/>
        <w:rPr>
          <w:sz w:val="20"/>
          <w:szCs w:val="20"/>
          <w:color w:val="auto"/>
        </w:rPr>
      </w:pPr>
    </w:p>
    <w:p>
      <w:pPr>
        <w:ind w:left="1360" w:right="3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stock incentive plans or otherwise will dilute all other stockholders.</w:t>
      </w:r>
    </w:p>
    <w:p>
      <w:pPr>
        <w:spacing w:after="0" w:line="12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expect to issue additional capital stock in the future and to grant equity awards to employees, directors, and consultants under our stock incentive plans. We may also raise capital through equity financings in the future. Additionally,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42" w:lineRule="exact"/>
        <w:rPr>
          <w:sz w:val="20"/>
          <w:szCs w:val="20"/>
          <w:color w:val="auto"/>
        </w:rPr>
      </w:pPr>
    </w:p>
    <w:p>
      <w:pPr>
        <w:ind w:left="1360" w:right="5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123"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In addition, any future debt agreements may preclude us from paying dividends. As a result, any investment return on our common stock will depend upon increases in the value for our common stock, which is not certain. For more information on our dividend policy, see the section titled “Dividend Policy” included elsewhere in this prospectus.</w:t>
      </w:r>
    </w:p>
    <w:p>
      <w:pPr>
        <w:spacing w:after="0" w:line="142" w:lineRule="exact"/>
        <w:rPr>
          <w:sz w:val="20"/>
          <w:szCs w:val="20"/>
          <w:color w:val="auto"/>
        </w:rPr>
      </w:pPr>
    </w:p>
    <w:p>
      <w:pPr>
        <w:ind w:left="1360" w:right="33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35"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such that only one of three classes of directors is elected each year;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our directors to be changed only by resolution of our board of directors;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stockholders can remove directors from our board of directors;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59" w:hanging="345"/>
        <w:spacing w:after="0" w:line="283" w:lineRule="auto"/>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stockholder proposals that can be acted on at stockholder meetings and nominations to our board of directors;</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stockholder actions must be effected at a duly called stockholder meeting and prohibit actions by our stockholders by written consent;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stockholder meetings;</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not less than two-thirds of the votes that all our stockholders would be entitled to cast to amend or repeal specified provisions of our amended and restated certificate of incorporation or amended and restated bylaws.</w:t>
      </w:r>
    </w:p>
    <w:p>
      <w:pPr>
        <w:spacing w:after="0" w:line="12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39" w:lineRule="exact"/>
        <w:rPr>
          <w:sz w:val="20"/>
          <w:szCs w:val="20"/>
          <w:color w:val="auto"/>
        </w:rPr>
      </w:pPr>
    </w:p>
    <w:p>
      <w:pPr>
        <w:ind w:left="1360" w:right="23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that will become effective upon the effectiveness of this registration statement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35"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Our amended and restated bylaws that will become effective upon effectiveness of the registration statement of which this prospectus forms a part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49"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federal forum selection provisions purporting to require claims under the Securities Act be brought in federal</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42" w:lineRule="exact"/>
        <w:rPr>
          <w:sz w:val="20"/>
          <w:szCs w:val="20"/>
          <w:color w:val="auto"/>
        </w:rPr>
      </w:pPr>
    </w:p>
    <w:p>
      <w:pPr>
        <w:ind w:left="1360" w:right="5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satisfy listing requirements of The Nasdaq Stock Market, or Nasdaq, or obtain or maintain a listing of our common stock on Nasdaq.</w:t>
      </w:r>
    </w:p>
    <w:p>
      <w:pPr>
        <w:spacing w:after="0" w:line="12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41"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structure of our common stock may limit your ability to influence corporate matters and may limit your visibility with respect to certain transactions.</w:t>
      </w:r>
    </w:p>
    <w:p>
      <w:pPr>
        <w:spacing w:after="0" w:line="12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structure of our common stock may also limit your ability to influence corporate matters. Holders of our common stock are entitled to one vote per share, while holders of our non-voting common stock are not entitled to any votes. We do not currently have any shares of non-voting common stock outstanding. Nonetheless, we may issue non-voting common stock in the future and each outstanding share of our non-voting common stock may be converted at any time into one share of our common stock at the option of its holder by providing written notice to us, subject to the limitations provided for in our amended and restated certificate of incorporation to become effective upon the completion of this offering. See “Description of Capital Stock—Voting Common Stock and Non-Voting Common Stock.”</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General Risks</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our business, financial condition, stock price, and results of operations.</w:t>
      </w:r>
    </w:p>
    <w:p>
      <w:pPr>
        <w:spacing w:after="0" w:line="177"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recent military action in Iran and effects thereof, the ongoing conflicts in the Middle East and between Russia and Ukraine, terrorism, political unrest,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have the effect of restricting the ability of U.S. biopharmaceutical companies to purchase services or products from, or</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otherwise collaborate with, certain Chinese biotechnology companies that the government name as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political unrest, tariff, and other trade-related cost pressures or public health crises, could negatively impact the timely execution of our ongoing and future clinical trials. In addition, inflationary trends in the global economy may impact salaries and wages, costs of goods and transportation expenses, among other things, and recent events of political unrest and/or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43" w:lineRule="exact"/>
        <w:rPr>
          <w:sz w:val="20"/>
          <w:szCs w:val="20"/>
          <w:color w:val="auto"/>
        </w:rPr>
      </w:pPr>
    </w:p>
    <w:p>
      <w:pPr>
        <w:ind w:left="1360" w:right="8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12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Natural disasters or public health crises could severely disrupt our operations and the operations of our suppliers, CROs, and clinical sites, which would have a material adverse impact on our business, financial condition, results of operations,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w:t>
      </w:r>
    </w:p>
    <w:p>
      <w:pPr>
        <w:spacing w:after="0" w:line="142" w:lineRule="exact"/>
        <w:rPr>
          <w:sz w:val="20"/>
          <w:szCs w:val="20"/>
          <w:color w:val="auto"/>
        </w:rPr>
      </w:pPr>
    </w:p>
    <w:p>
      <w:pPr>
        <w:ind w:left="1360" w:right="399" w:firstLine="343"/>
        <w:spacing w:after="0" w:line="326" w:lineRule="auto"/>
        <w:rPr>
          <w:sz w:val="20"/>
          <w:szCs w:val="20"/>
          <w:color w:val="auto"/>
        </w:rPr>
      </w:pPr>
      <w:r>
        <w:rPr>
          <w:rFonts w:ascii="Times New Roman" w:cs="Times New Roman" w:eastAsia="Times New Roman" w:hAnsi="Times New Roman"/>
          <w:sz w:val="13"/>
          <w:szCs w:val="13"/>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100"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w:t>
      </w:r>
    </w:p>
    <w:p>
      <w:pPr>
        <w:spacing w:after="0" w:line="62" w:lineRule="exact"/>
        <w:rPr>
          <w:sz w:val="20"/>
          <w:szCs w:val="20"/>
          <w:color w:val="auto"/>
        </w:rPr>
      </w:pPr>
    </w:p>
    <w:p>
      <w:pPr>
        <w:ind w:left="2120" w:right="239" w:hanging="345"/>
        <w:spacing w:after="0" w:line="267" w:lineRule="auto"/>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provide only two years of audited financial statements in addition to any required unaudited interim financial statements and a correspondingly reduced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disclosure in this prospectus;</w:t>
      </w:r>
    </w:p>
    <w:p>
      <w:pPr>
        <w:spacing w:after="0" w:line="6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 pursuant to of Section 404 of the Sarbanes-Oxley 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w:t>
      </w:r>
    </w:p>
    <w:p>
      <w:pPr>
        <w:spacing w:after="0" w:line="10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shareholder approval of any golden parachute payments not previously approved; and</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compliance with the requirements of the Public Company Accounting Oversight Board regarding the communication of critical audit matters in the auditor’s report on the financial statements.</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this prospectus, we have not included all of the executive compensation-related information that would be required if we were not an emerging growth company.</w:t>
      </w:r>
    </w:p>
    <w:p>
      <w:pPr>
        <w:spacing w:after="0" w:line="125"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last business day of our most recently completed second fiscal quarter, or if we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have total annual gross revenue of $1.235 billion or more during any fiscal year before that time, in which cases we would no longer be an emerging growth company as of the last day of our fiscal year,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w:t>
      </w:r>
    </w:p>
    <w:p>
      <w:pPr>
        <w:spacing w:after="0" w:line="14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may not be subject to the same requirements to adopt new or revised accounting standards as other public companies that are not emerging growth companies.</w:t>
      </w:r>
    </w:p>
    <w:p>
      <w:pPr>
        <w:spacing w:after="0" w:line="141"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2" w:lineRule="exact"/>
        <w:rPr>
          <w:sz w:val="20"/>
          <w:szCs w:val="20"/>
          <w:color w:val="auto"/>
        </w:rPr>
      </w:pPr>
    </w:p>
    <w:p>
      <w:pPr>
        <w:ind w:left="1360" w:right="77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incur significant increased costs as a result of operating as a public company, and our management will be required to devote substantial time to new compliance initiatives and corporate governance practices.</w:t>
      </w:r>
    </w:p>
    <w:p>
      <w:pPr>
        <w:spacing w:after="0" w:line="12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8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83" w:lineRule="auto"/>
        <w:rPr>
          <w:sz w:val="20"/>
          <w:szCs w:val="20"/>
          <w:color w:val="auto"/>
        </w:rPr>
      </w:pPr>
      <w:r>
        <w:rPr>
          <w:rFonts w:ascii="Times New Roman" w:cs="Times New Roman" w:eastAsia="Times New Roman" w:hAnsi="Times New Roman"/>
          <w:sz w:val="14"/>
          <w:szCs w:val="14"/>
          <w:color w:val="auto"/>
        </w:rPr>
        <w:t>these requirements. The impact of these requirements could also make it more difficult for us to attract and retain qualified persons to serve on our board of directors, our board committees or as executive officers.</w:t>
      </w:r>
    </w:p>
    <w:p>
      <w:pPr>
        <w:spacing w:after="0" w:line="123" w:lineRule="exact"/>
        <w:rPr>
          <w:sz w:val="20"/>
          <w:szCs w:val="20"/>
          <w:color w:val="auto"/>
        </w:rPr>
      </w:pPr>
    </w:p>
    <w:p>
      <w:pPr>
        <w:jc w:val="both"/>
        <w:ind w:left="1360" w:right="23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began the process of documenting, reviewing, and improving our internal controls and procedures for compliance with Section 404 of the Sarbanes-Oxley Act, which will require annual management assessment of the effectiveness of our internal control over financial reporting. Under current rules, we will be subject to these requirements beginning with our annual report on Form 10-K for the year ending 2026.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Internal control deficiencies could also cause investors to lose confidence in our reported financial information, which could have a negative effect on the trading price of our stock.</w:t>
      </w:r>
    </w:p>
    <w:p>
      <w:pPr>
        <w:spacing w:after="0" w:line="150"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this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177"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23"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We maintain the majority of our cash, cash equivalents, and investments in accounts with major U.S. and multi-national financial institutions, and our cash equivalents are invested in U.S. government money market funds and our investments are invested in U.S. Treasury obligations. Our deposits at certain of these institutions exceed insured limits, unless subject to a “sweep.” Market conditions and changes in financial regulations and policies can impact the viability of these institutions. 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us, the financial institutions with which we may have future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other tax attributes may be limited.</w:t>
      </w:r>
    </w:p>
    <w:p>
      <w:pPr>
        <w:spacing w:after="0" w:line="177"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As of December 31, 2025, we had approximately $53.4 million of federal net operating losses, or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$53.7 million of state NOLs. As of December 31, 2025, we had approximately $2.9 million of federal research and development tax credit carryforwards. Federal tax credit carryforwards expire at various dates beginning in 2044. As of December 31, 2025, we had approximately $1.0 million of state research and development tax credit carryforwards. The state tax credits carryforwards expire at various dates beginning in 2039.</w:t>
      </w:r>
    </w:p>
    <w:p>
      <w:pPr>
        <w:spacing w:after="0" w:line="14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Under Sections 382 and 383 of the Internal Revenue Code of 1986, as amended, or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this offering and/or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our business and financial condition.</w:t>
      </w:r>
    </w:p>
    <w:p>
      <w:pPr>
        <w:spacing w:after="0" w:line="177"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such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spacing w:after="0" w:line="144" w:lineRule="exact"/>
        <w:rPr>
          <w:sz w:val="20"/>
          <w:szCs w:val="20"/>
          <w:color w:val="auto"/>
        </w:rPr>
      </w:pPr>
    </w:p>
    <w:p>
      <w:pPr>
        <w:ind w:left="1360" w:right="219" w:firstLine="343"/>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and infrastructure, or those of our collaborators and service providers, or our data, may be subject to cyberattacks, security breaches, compromises or other incidents, which could impact the confidentiality, integrity, and availability of our operational system and result in additional costs, loss of revenue, significant liabilities, harm to our brand, material disruption of our development programs and operations, or other adverse consequences.</w:t>
      </w:r>
    </w:p>
    <w:p>
      <w:pPr>
        <w:spacing w:after="0" w:line="140"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process sensitive data, and, as a result, we and the third parties upon which we rely face a variety of evolving threats that could cause cyber-attacks, security breaches, compromises, or other incidents that impact the confidentiality, integrity, and availability of our operational systems. Although we, and the third parties upon which we rely,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security breach, compromise, or other incident such as an industrial espionage attack, ransomware, or insider threat attack, which may compromise the confidentiality, integrity, and availability of our system infrastructure, or those of third parties upon which we rely,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46"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The risk of a cyber-attack, security breach, compromise, or other adverse impact to our and our third-party service provider’s information technology systems and sensitive data has generally increased as the number, intensity, and sophistication of attempted attacks and intrusions from around the world have increased. Such risks come from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errors (including vulnerabilities in commercial software that is integrated into our information technology systems and those of third parties upon which we rely), failures, loss of data or other information technology assets, adware, attacks enhanced or facilitated by AI, telecommunications failures, earthquakes, fires, floods, and other similar threats.</w:t>
      </w:r>
    </w:p>
    <w:p>
      <w:pPr>
        <w:spacing w:after="0" w:line="149"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products and services.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We also face increased risks of a cyber-attack, security breach, compromise, or adverse impact to our and our third-party service provider’s information technology systems and sensitive data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spacing w:after="0" w:line="14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security breach, compromise or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4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may be unable to detect vulnerabilities in our information technology systems and infrastructure on a timely basis or until after a cyber-attack, security breach, compromise, or other incident has occurred. Further, we may experience delays in developing and deploying remedial measures designed to adequately address any such identified vulnerabilities. In addition, we may be unable to comprehensively apply patches or confirm that 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and our customers’ systems and data. Any integration of artificial intelligence in our or any third party’s operations, products, or services is expected to pose new or unknown cybersecurity risks and challenges.</w:t>
      </w:r>
    </w:p>
    <w:p>
      <w:pPr>
        <w:spacing w:after="0" w:line="144"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There can also be no assurance that our cybersecurity risk management program and processes, including our policies, controls, or procedures, will be fully implemented, complied with, or effective in protecting our information technology systems (and those of third parties upon which we rely) and sensitive data. We and certain of our third-party service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We may in the future experience additional threats, compromises, breaches, or incidents. If we, or a third party upon whom we rely, experience a cyber-attack, security breach, compromise, or other adverse impact to the confidentiality, integrity and availability of our system infrastructure, or those of third parties upon which we rely, or sensitive data, or are perceived to have experienced a cyber-attack, security breach, compromise, or other adverse impact to our and our third-party service provider’s information technology systems and sensitive data, we may experience adverse consequences, such as government enforcement actions (e.g., investigations, fines, penalties, audits, and inspections); additional reporting requirements and/or oversight; restrictions on processing sensitive data (including personal data); litigation (including individual and class action claims); indemnification obligations; negative publicity; reputational harm; monetary fund diversions; interruptions in our operations (including availability of data); significant incident response, system restoration, or remediation and future compliance costs;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55"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color w:val="auto"/>
        </w:rPr>
        <w:t>Further, applicable privacy and data security obligations may require us to notify relevant stakeholders of a cyber-attack, security breach, compromise, or other adverse impact to our and our third-party service provider’s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information technology systems and sensitive data. Such disclosures are costly, and the disclosure or the failure to comply with such requirements could lead to adverse consequences. In addition, cyber-attacks, security breaches, compromises, or other incidents may cause stakeholders (including investors and potential customers) to stop supporting our business, deter new customers from using our products, and negatively impact our ability to grow and operate our business.</w:t>
      </w:r>
    </w:p>
    <w:p>
      <w:pPr>
        <w:spacing w:after="0" w:line="141"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If we were to experience a cyber-attack, security breach, compromise, or other adverse impact to our and our third-party service provider’s information technology systems and sensitive data that causes interruptions in our operations, it could result in a material disruption of our product development programs, business, financial condition, and results of operations.</w:t>
      </w:r>
    </w:p>
    <w:p>
      <w:pPr>
        <w:spacing w:after="0" w:line="134" w:lineRule="exact"/>
        <w:rPr>
          <w:sz w:val="20"/>
          <w:szCs w:val="20"/>
          <w:color w:val="auto"/>
        </w:rPr>
      </w:pPr>
    </w:p>
    <w:p>
      <w:pPr>
        <w:ind w:left="1360" w:right="41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may use artificial intelligence in our business, and challenges with properly managing its use, as well as uncertainty regarding the legal landscape surrounding the use of AI could result in reputational harm, competitive harm, legal liability, and adversely affect our results of operations.</w:t>
      </w:r>
    </w:p>
    <w:p>
      <w:pPr>
        <w:spacing w:after="0" w:line="13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We may use artificial intelligence, or AI, machine learning, and automated decision-making technologies, or,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43" w:lineRule="exact"/>
        <w:rPr>
          <w:sz w:val="20"/>
          <w:szCs w:val="20"/>
          <w:color w:val="auto"/>
        </w:rPr>
      </w:pPr>
    </w:p>
    <w:p>
      <w:pPr>
        <w:jc w:val="both"/>
        <w:ind w:left="1360" w:right="239" w:firstLine="343"/>
        <w:spacing w:after="0" w:line="296" w:lineRule="auto"/>
        <w:rPr>
          <w:sz w:val="20"/>
          <w:szCs w:val="20"/>
          <w:color w:val="auto"/>
        </w:rPr>
      </w:pPr>
      <w:r>
        <w:rPr>
          <w:rFonts w:ascii="Times New Roman" w:cs="Times New Roman" w:eastAsia="Times New Roman" w:hAnsi="Times New Roman"/>
          <w:sz w:val="13"/>
          <w:szCs w:val="13"/>
          <w:color w:val="auto"/>
        </w:rPr>
        <w:t>We may not be successful in our development and maintenance of these technologies in the face of novel and evolving technical, reputational and market factors. Our efforts to develop proprietary AI models in the future could increase our operating costs. Our future ability to develop proprietary AI models may be limited by our access to processing infrastructure or training data, and we may be dependent on third party providers for such resources.</w:t>
      </w:r>
    </w:p>
    <w:p>
      <w:pPr>
        <w:spacing w:after="0" w:line="120" w:lineRule="exact"/>
        <w:rPr>
          <w:sz w:val="20"/>
          <w:szCs w:val="20"/>
          <w:color w:val="auto"/>
        </w:rPr>
      </w:pPr>
    </w:p>
    <w:p>
      <w:pPr>
        <w:ind w:left="1360" w:right="219" w:firstLine="343"/>
        <w:spacing w:after="0" w:line="280" w:lineRule="auto"/>
        <w:rPr>
          <w:sz w:val="20"/>
          <w:szCs w:val="20"/>
          <w:color w:val="auto"/>
        </w:rPr>
      </w:pPr>
      <w:r>
        <w:rPr>
          <w:rFonts w:ascii="Times New Roman" w:cs="Times New Roman" w:eastAsia="Times New Roman" w:hAnsi="Times New Roman"/>
          <w:sz w:val="13"/>
          <w:szCs w:val="13"/>
          <w:color w:val="auto"/>
        </w:rPr>
        <w:t>If we fail to keep pace with rapidly evolving AI Technologies, especially in the medical device industry, our competitive position and business results may suffer.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the well as other factors that could adversely affect our reputation, as the well as our business, operating results, and financial condition. For example, AI Technologies can lead to unintended consequences, including generating content that appears correct but is factually inaccurate, misleading, or otherwise flawed, which could negatively impact our customers, harm our reputation and business, and expose us to liability.</w:t>
      </w:r>
    </w:p>
    <w:p>
      <w:pPr>
        <w:spacing w:after="0" w:line="131"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use AI Technologies from third parties. If we are unable to obtain or maintain rights to use these AI Technologies on commercially reasonable terms, or if any such third-party AI tools become incompatible with our products, we may be forced to acquire or develop alternate AI Technologies, which may limit or delay our</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ability to provide competitive offerings and may increase our costs. These AI Technologies also may incorporate data from third 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144"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The regulatory framework for AI Technologies is rapidly evolving as many federal, state, and foreign government bodies and agencies have introduced or are currently considering additional laws and regulations and we expect to see increasing government and supranational regulation related to AI use and ethics, which may also significantly increase the burden and cost of research, development and compliance in this area. In the U.S., a number of states have proposed and passed laws regulating various uses of AI, and federal regulators have issued guidance affecting the use of AI in regulated sectors. The FDA, for example, also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laws and regulations, with the potential for significant enforcement or litigation in the event of any perceived non-compliance. 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46"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Even in the absence of dedicated AI laws and regulations, we may be subject to novel legal and business risks relating to our adoption of these new technologies.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Our use of AI Technologies may also, in the future, result in cybersecurity incidents that implicate the personal information of customers or patients. Any such cybersecurity incidents related to our use of AI applications could adversely affect our reputation and results of operations.</w:t>
      </w:r>
    </w:p>
    <w:p>
      <w:pPr>
        <w:spacing w:after="0" w:line="142" w:lineRule="exact"/>
        <w:rPr>
          <w:sz w:val="20"/>
          <w:szCs w:val="20"/>
          <w:color w:val="auto"/>
        </w:rPr>
      </w:pPr>
    </w:p>
    <w:p>
      <w:pPr>
        <w:ind w:left="1360" w:right="29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2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69" w:lineRule="exact"/>
        <w:rPr>
          <w:sz w:val="20"/>
          <w:szCs w:val="20"/>
          <w:color w:val="auto"/>
        </w:rPr>
      </w:pPr>
    </w:p>
    <w:p>
      <w:pPr>
        <w:ind w:left="5580" w:right="3579" w:hanging="3805"/>
        <w:spacing w:after="0" w:line="455" w:lineRule="auto"/>
        <w:tabs>
          <w:tab w:leader="none" w:pos="21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or products that we may develop; 99</w:t>
      </w:r>
    </w:p>
    <w:p>
      <w:pPr>
        <w:sectPr>
          <w:pgSz w:w="11900" w:h="16838" w:orient="portrait"/>
          <w:cols w:equalWidth="0" w:num="1">
            <w:col w:w="10159"/>
          </w:cols>
          <w:pgMar w:left="300" w:top="38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any related litigation;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42" w:lineRule="exact"/>
        <w:rPr>
          <w:sz w:val="20"/>
          <w:szCs w:val="20"/>
          <w:color w:val="auto"/>
        </w:rPr>
      </w:pPr>
    </w:p>
    <w:p>
      <w:pPr>
        <w:ind w:left="1360" w:right="43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litigation that could divert management’s attention and harm our business, and insurance coverage may not be sufficient to cover all costs and damages.</w:t>
      </w:r>
    </w:p>
    <w:p>
      <w:pPr>
        <w:spacing w:after="0" w:line="123"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7"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4"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62" w:lineRule="exact"/>
        <w:rPr>
          <w:sz w:val="20"/>
          <w:szCs w:val="20"/>
          <w:color w:val="auto"/>
        </w:rPr>
      </w:pPr>
    </w:p>
    <w:p>
      <w:pPr>
        <w:ind w:left="2120" w:right="679" w:hanging="345"/>
        <w:spacing w:after="0" w:line="283" w:lineRule="auto"/>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current and future clinical trials, preclinical studies, and research and development programs;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announcement of results from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complete our clinical trials;</w:t>
      </w:r>
    </w:p>
    <w:p>
      <w:pPr>
        <w:spacing w:after="0" w:line="101" w:lineRule="exact"/>
        <w:rPr>
          <w:rFonts w:ascii="Times New Roman" w:cs="Times New Roman" w:eastAsia="Times New Roman" w:hAnsi="Times New Roman"/>
          <w:sz w:val="14"/>
          <w:szCs w:val="14"/>
          <w:color w:val="auto"/>
        </w:rPr>
      </w:pPr>
    </w:p>
    <w:p>
      <w:pPr>
        <w:ind w:left="2120" w:right="799" w:hanging="345"/>
        <w:spacing w:after="0" w:line="283" w:lineRule="auto"/>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other product candidates that we may identify and successfully complete any clinical studies, including the manufacture of any such product candidates;</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quickly leverage programs within our initial target indications and to progress additional programs to further develop our pipeline;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of certain disorders we intend to treat and the size of the market opportunity for our product candidates;</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the number of patients with certain disorders we intend to treat and the number of patients that we will enroll in our clinical trials;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our clinical trials demonstrating safety and efficacy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investigational new drug applications, or INDs, submissions;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platform, and our programs;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related to our competitors and our industry;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leverage the clinical, regulatory, and manufacturing advancements to accelerate our clinical trials and approval of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future regulatory standards with respect to our product candidates, if approved;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existing license agreements and identify and enter into future license agreements and collaborations;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clinical trials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for the manufacture of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related to our platform;</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w:t>
      </w:r>
    </w:p>
    <w:p>
      <w:pPr>
        <w:spacing w:after="0" w:line="10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JOBS Act or a smaller reporting company;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and management personnel; and</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cash runway, use of proceeds from this offering, our financial performance, estimates of our expenses, capital requirements, and needs for additional financing.</w:t>
      </w:r>
    </w:p>
    <w:p>
      <w:pPr>
        <w:spacing w:after="0" w:line="125"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Our forward-looking statements do not reflect the potential impact of any future acquisitions, mergers, dispositions, collaborations, joint ventures, or investments that we may make or enter into.</w:t>
      </w:r>
    </w:p>
    <w:p>
      <w:pPr>
        <w:spacing w:after="0" w:line="146"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4"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We estimate that the net proceeds from the sale of our common stock in this offering will be approximately $        million (or approximately $        million if the underwriters exercise their option to purchase additional shares of our common stock in full) based on an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4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Each $1.00 increase or decrease in the assumed initial public offering price of $        per share, which is the midpoint of the price range set forth on the cover of this prospectus, would increase or decrease, as applicable, the net proceeds to us from this offering by $        million, assuming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 common stock offered by us, as set forth on the cover page of this prospectus, would increase or decrease, as applicable, the net proceeds to us from this offering by $        million, assuming the assumed initial public offering price of $        per share remains the same, and after deducting the estimated underwriting discounts and commissions and estimated offering expenses payable by us.</w:t>
      </w:r>
    </w:p>
    <w:p>
      <w:pPr>
        <w:spacing w:after="0" w:line="14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principal purposes of this offering are to create a public market for our common stock and thereby facilitate future access to the public equity markets, increase our visibility in the marketplace, and obtain additional capital to support our operations. We intend to use the net proceeds from this offering, together with our existing cash, cash equivalents, and investments, as follows:</w:t>
      </w:r>
    </w:p>
    <w:p>
      <w:pPr>
        <w:spacing w:after="0" w:line="62" w:lineRule="exact"/>
        <w:rPr>
          <w:sz w:val="20"/>
          <w:szCs w:val="20"/>
          <w:color w:val="auto"/>
        </w:rPr>
      </w:pPr>
    </w:p>
    <w:p>
      <w:pPr>
        <w:ind w:left="2120" w:right="559" w:hanging="345"/>
        <w:spacing w:after="0" w:line="209" w:lineRule="auto"/>
        <w:tabs>
          <w:tab w:leader="none" w:pos="21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million to advance development of GlyphAllo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(SPT-300) through Phase 2b topline data and into Phase 3 clinical development;</w:t>
      </w:r>
    </w:p>
    <w:p>
      <w:pPr>
        <w:spacing w:after="0" w:line="81" w:lineRule="exact"/>
        <w:rPr>
          <w:sz w:val="20"/>
          <w:szCs w:val="20"/>
          <w:color w:val="auto"/>
        </w:rPr>
      </w:pPr>
    </w:p>
    <w:p>
      <w:pPr>
        <w:ind w:left="1780"/>
        <w:spacing w:after="0"/>
        <w:tabs>
          <w:tab w:leader="none" w:pos="21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approximately $            million to advance development of GlyphAgo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(SPT-320) through Phase 2a and Phase 2b topline data; and</w:t>
      </w:r>
    </w:p>
    <w:p>
      <w:pPr>
        <w:spacing w:after="0" w:line="37" w:lineRule="exact"/>
        <w:rPr>
          <w:sz w:val="20"/>
          <w:szCs w:val="20"/>
          <w:color w:val="auto"/>
        </w:rPr>
      </w:pPr>
    </w:p>
    <w:p>
      <w:pPr>
        <w:ind w:left="2120" w:right="299" w:hanging="345"/>
        <w:spacing w:after="0" w:line="200" w:lineRule="auto"/>
        <w:tabs>
          <w:tab w:leader="none" w:pos="21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remainder to fund development of Glyph2BLSD</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(SPT-348), as well as research and development activities for additional programs, and working capital and general corporate purposes.</w:t>
      </w:r>
    </w:p>
    <w:p>
      <w:pPr>
        <w:spacing w:after="0" w:line="15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may use a portion of the remaining net proceeds and our existing cash, cash equivalents, and investments to in-license, acquire, or invest in complementary businesses, technologies, products, or assets. However, we have no current commitments, agreements, understandings, or obligations to do so.</w:t>
      </w:r>
    </w:p>
    <w:p>
      <w:pPr>
        <w:spacing w:after="0" w:line="136"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We believe, based on our current operating plan, that the net proceeds from this offering, together with our existing cash, cash equivalents and investments, will be sufficient to fund our operations through        . We have based this estimate on assumptions that may prove to be wrong, and we could use our available capital resources sooner than we currently expect. We do not have any committed external source of funds.</w:t>
      </w:r>
    </w:p>
    <w:p>
      <w:pPr>
        <w:spacing w:after="0" w:line="136"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Our expected use of proceeds from this offering along with our existing cash, cash equivalents, and investments described above represents our current intentions based on our present plans and business condition. As of the date of this prospectus, we cannot predict with certainty all of the particular uses for the net proceeds to be received upon the completion of this offering or the actual amounts that we will spend on the uses set forth above. We expect that we will require additional funds in order to fully accomplish the specified uses of the proceeds of this offering. The amounts and timing of our actual expenditures will depend on numerous factors, including progress of our research and development, the status of and results from preclinical studies and clinical trials that we are conducting or may conduct in the future, and other factors described in the section titled “Risk Factors,” as well as the amount of cash used in our operations and any unforeseen cash needs. Therefore, our actual expenditures may differ materially from the estimates described above. Moreover, our estimates of the costs to fund our trials are based on the current designs of the trials. If we were to modify the design of any of these trials, for instance, to increase the number of patients in the trials, our costs to fund the trials could increase. We may find it necessary or advisable to use the net proceeds for other purposes.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will have broad discretion over how to use the net proceeds to us from this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Investors should not purchase our common stock with the expectation of receiving cash dividends. In addition, our ability to pay cash dividends on our capital stock in the future may be limited by the terms of any future debt or preferred securities we issue or any credit facilities we enter into.</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our existing cash, cash equivalents, and investments and our capitalization as of December 31, 2025:</w:t>
      </w:r>
    </w:p>
    <w:p>
      <w:pPr>
        <w:spacing w:after="0" w:line="102" w:lineRule="exact"/>
        <w:rPr>
          <w:sz w:val="20"/>
          <w:szCs w:val="20"/>
          <w:color w:val="auto"/>
        </w:rPr>
      </w:pPr>
    </w:p>
    <w:p>
      <w:pPr>
        <w:ind w:left="2120" w:hanging="345"/>
        <w:spacing w:after="0"/>
        <w:tabs>
          <w:tab w:leader="none" w:pos="21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giving effect to (i) the Preferred Stock Conversion and (ii) the filing and effectiveness of our amended and restated certificate of incorporation, which will occur immediately prior to the completion of this offering; and</w:t>
      </w:r>
    </w:p>
    <w:p>
      <w:pPr>
        <w:sectPr>
          <w:pgSz w:w="11900" w:h="16838" w:orient="portrait"/>
          <w:cols w:equalWidth="0" w:num="1">
            <w:col w:w="10159"/>
          </w:cols>
          <w:pgMar w:left="300" w:top="386" w:right="1440" w:bottom="1440" w:gutter="0" w:footer="0" w:header="0"/>
        </w:sectPr>
      </w:pPr>
    </w:p>
    <w:p>
      <w:pPr>
        <w:spacing w:after="0" w:line="5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439"/>
        <w:spacing w:after="0" w:line="261" w:lineRule="auto"/>
        <w:rPr>
          <w:sz w:val="20"/>
          <w:szCs w:val="20"/>
          <w:color w:val="auto"/>
        </w:rPr>
      </w:pPr>
      <w:r>
        <w:rPr>
          <w:rFonts w:ascii="Times New Roman" w:cs="Times New Roman" w:eastAsia="Times New Roman" w:hAnsi="Times New Roman"/>
          <w:sz w:val="14"/>
          <w:szCs w:val="14"/>
          <w:color w:val="auto"/>
        </w:rPr>
        <w:t>on a pro forma as adjusted basis, giving effect to (i) the pro forma adjustments set forth above and (ii) the issuance and sale of        shares of common stock in this offering at the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41" w:lineRule="exact"/>
        <w:rPr>
          <w:sz w:val="20"/>
          <w:szCs w:val="20"/>
          <w:color w:val="auto"/>
        </w:rPr>
      </w:pPr>
    </w:p>
    <w:p>
      <w:pPr>
        <w:sectPr>
          <w:pgSz w:w="11900" w:h="16838" w:orient="portrait"/>
          <w:cols w:equalWidth="0" w:num="2">
            <w:col w:w="1820" w:space="300"/>
            <w:col w:w="8039"/>
          </w:cols>
          <w:pgMar w:left="300" w:top="386" w:right="1440" w:bottom="1440" w:gutter="0" w:footer="0" w:header="0"/>
          <w:type w:val="continuous"/>
        </w:sect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pro forma as adjusted information below is illustrative only, and our capitalization following the completion of this offering will be adjusted based on the actual initial public offering price and other terms of this offering determined at pricing. Cash, cash equivalents, and investments are not components of our capitalization.</w:t>
      </w:r>
    </w:p>
    <w:p>
      <w:pPr>
        <w:spacing w:after="0" w:line="136"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You should read this information together with our consolidated financial statements and the related notes included elsewhere in this prospectus, and the section titled “Management’s Discussion and Analysis of Financial Condition and Results of Operations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80" w:type="dxa"/>
            <w:vAlign w:val="bottom"/>
            <w:gridSpan w:val="8"/>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Pro</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Forma</w:t>
            </w:r>
          </w:p>
        </w:tc>
        <w:tc>
          <w:tcPr>
            <w:tcW w:w="0" w:type="dxa"/>
            <w:vAlign w:val="bottom"/>
          </w:tcPr>
          <w:p>
            <w:pPr>
              <w:spacing w:after="0"/>
              <w:rPr>
                <w:sz w:val="1"/>
                <w:szCs w:val="1"/>
                <w:color w:val="auto"/>
              </w:rPr>
            </w:pPr>
          </w:p>
        </w:tc>
      </w:tr>
      <w:tr>
        <w:trPr>
          <w:trHeight w:val="116"/>
        </w:trPr>
        <w:tc>
          <w:tcPr>
            <w:tcW w:w="9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00" w:type="dxa"/>
            <w:vAlign w:val="bottom"/>
          </w:tcPr>
          <w:p>
            <w:pPr>
              <w:spacing w:after="0"/>
              <w:rPr>
                <w:sz w:val="10"/>
                <w:szCs w:val="10"/>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100" w:type="dxa"/>
            <w:vAlign w:val="bottom"/>
          </w:tcPr>
          <w:p>
            <w:pPr>
              <w:spacing w:after="0"/>
              <w:rPr>
                <w:sz w:val="10"/>
                <w:szCs w:val="10"/>
                <w:color w:val="auto"/>
              </w:rPr>
            </w:pPr>
          </w:p>
        </w:tc>
        <w:tc>
          <w:tcPr>
            <w:tcW w:w="8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As</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 xml:space="preserve">Adjusted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tcBorders>
              <w:top w:val="single" w:sz="8" w:color="auto"/>
            </w:tcBorders>
            <w:gridSpan w:val="8"/>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(in thousands, except share and per share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data)</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investments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$ 233,653</w:t>
            </w:r>
          </w:p>
        </w:tc>
        <w:tc>
          <w:tcPr>
            <w:tcW w:w="1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233,653</w:t>
            </w: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Convertible preferred stock (Series A and B), $0.0001 par value; 113,921,040 shares authorized and</w:t>
            </w: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113,921,036 shares issued and outstanding, actual; no shares authorized, issued, or outstanding, pro</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forma and pro forma as adjusted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$ 325,328</w:t>
            </w:r>
          </w:p>
        </w:tc>
        <w:tc>
          <w:tcPr>
            <w:tcW w:w="1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120" w:type="dxa"/>
            <w:vAlign w:val="bottom"/>
            <w:gridSpan w:val="2"/>
          </w:tcPr>
          <w:p>
            <w:pPr>
              <w:ind w:left="280"/>
              <w:spacing w:after="0" w:line="153" w:lineRule="exact"/>
              <w:rPr>
                <w:sz w:val="20"/>
                <w:szCs w:val="20"/>
                <w:color w:val="auto"/>
              </w:rPr>
            </w:pPr>
            <w:r>
              <w:rPr>
                <w:rFonts w:ascii="Times New Roman" w:cs="Times New Roman" w:eastAsia="Times New Roman" w:hAnsi="Times New Roman"/>
                <w:sz w:val="14"/>
                <w:szCs w:val="14"/>
                <w:color w:val="auto"/>
              </w:rPr>
              <w:t>Preferred stock, $0.0001 par value; no shares authorized, issued, or outstanding, actual; 10,000,000</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shares authorized, and no shares issued, or outstanding, pro forma and pro forma as adjusted</w:t>
            </w:r>
          </w:p>
        </w:tc>
        <w:tc>
          <w:tcPr>
            <w:tcW w:w="20" w:type="dxa"/>
            <w:vAlign w:val="bottom"/>
          </w:tcPr>
          <w:p>
            <w:pPr>
              <w:spacing w:after="0"/>
              <w:rPr>
                <w:sz w:val="15"/>
                <w:szCs w:val="15"/>
                <w:color w:val="auto"/>
              </w:rPr>
            </w:pPr>
          </w:p>
        </w:tc>
        <w:tc>
          <w:tcPr>
            <w:tcW w:w="72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120" w:type="dxa"/>
            <w:vAlign w:val="bottom"/>
            <w:gridSpan w:val="2"/>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Common stock, $0.0001 par value; 159,070,000 shares authorized and 8,151,200 shares issued and</w:t>
            </w: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outstanding, actual; 700,000,000 shares authorized, 122,072,236 issued and outstanding, pro</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forma;          shares authorized,          shares issued and outstanding, pro forma as adjusted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21,262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4"/>
                <w:szCs w:val="14"/>
                <w:color w:val="auto"/>
              </w:rPr>
            </w:pPr>
          </w:p>
        </w:tc>
        <w:tc>
          <w:tcPr>
            <w:tcW w:w="72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(114,109)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8"/>
              </w:rPr>
              <w:t>(114,109)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(92,545)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232,783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20" w:type="dxa"/>
            <w:vAlign w:val="bottom"/>
            <w:tcBorders>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$ 232,783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00" w:right="499" w:hanging="339"/>
        <w:spacing w:after="0" w:line="283" w:lineRule="auto"/>
        <w:tabs>
          <w:tab w:leader="none" w:pos="1680" w:val="left"/>
        </w:tabs>
        <w:rPr>
          <w:sz w:val="20"/>
          <w:szCs w:val="20"/>
          <w:color w:val="auto"/>
        </w:rPr>
      </w:pPr>
      <w:r>
        <w:rPr>
          <w:rFonts w:ascii="Times New Roman" w:cs="Times New Roman" w:eastAsia="Times New Roman" w:hAnsi="Times New Roman"/>
          <w:sz w:val="14"/>
          <w:szCs w:val="14"/>
          <w:color w:val="auto"/>
        </w:rPr>
        <w:t>(1)</w:t>
        <w:tab/>
        <w:t>Each $1.00 increase (decrease) in the assumed initial public offering price of $        per share, which is the midpoint of the price range set forth on the cover page of this prospectus, would increase (decrease)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6" w:right="1440"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59"/>
        <w:spacing w:after="0" w:line="256" w:lineRule="auto"/>
        <w:rPr>
          <w:sz w:val="20"/>
          <w:szCs w:val="20"/>
          <w:color w:val="auto"/>
        </w:rPr>
      </w:pPr>
      <w:r>
        <w:rPr>
          <w:rFonts w:ascii="Times New Roman" w:cs="Times New Roman" w:eastAsia="Times New Roman" w:hAnsi="Times New Roman"/>
          <w:sz w:val="14"/>
          <w:szCs w:val="14"/>
          <w:color w:val="auto"/>
        </w:rPr>
        <w:t>pro forma as adjusted amount of each of cash, cash equivalents, and investments, additional paid-in capital, total stockholders’ equity and total capitalization by $        million, assuming that the number of shares of common stock offered by us, as set forth on the cover page of this prospectus, remains the same and after deducting the estimated underwriting discounts and commissions and estimated offering expenses payable by us. Similarly, each increase (decrease) of 1.0 million shares in the number of shares of common stock offered by us would increase (decrease) the pro forma as adjusted amount of each of cash, cash equivalents, and investments, additional paid-in capital, total stockholders’ equity and total capitalization by $        million, assuming no change in the assumed initial public offering price per share, and after deducting the estimated underwriting discounts and commissions and estimated offering expenses payable by us.</w:t>
      </w:r>
    </w:p>
    <w:p>
      <w:pPr>
        <w:spacing w:after="0" w:line="144"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after this offering on a pro forma and pro forma as adjusted basis is based on 122,072,236 shares of common stock (which includes 486,114 shares of unvested restricted common stock) outstanding as of December 31, 2025, after giving effect to the Preferred Stock Conversion, and excludes:</w:t>
      </w:r>
    </w:p>
    <w:p>
      <w:pPr>
        <w:spacing w:after="0" w:line="62" w:lineRule="exact"/>
        <w:rPr>
          <w:sz w:val="20"/>
          <w:szCs w:val="20"/>
          <w:color w:val="auto"/>
        </w:rPr>
      </w:pPr>
    </w:p>
    <w:p>
      <w:pPr>
        <w:jc w:val="both"/>
        <w:ind w:left="2120" w:right="259" w:hanging="345"/>
        <w:spacing w:after="0" w:line="267" w:lineRule="auto"/>
        <w:tabs>
          <w:tab w:leader="none" w:pos="21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27,633,144 shares of common stock issuable upon exercise of outstanding stock options as of December 31, 2025, which includes 718,500 performance-based awards that have not yet been deemed granted for accounting purposes, under our 2024 Plan, with a weighted-average exercise price of $1.52 per share;</w:t>
      </w:r>
    </w:p>
    <w:p>
      <w:pPr>
        <w:spacing w:after="0" w:line="6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3,023,510 shares of common stock issuable upon exercise of outstanding stock options granted after December 31, 2025 pursuant to our 2024 Plan, with a weighted-average exercise price of $3.28 per share;</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4,722,667 shares of common stock reserved for future issuance as of December 31, 2025 under the 2024 Plan, which will cease to be available for issuance at the time that our 2026 Plan becomes effective;</w:t>
      </w:r>
    </w:p>
    <w:p>
      <w:pPr>
        <w:spacing w:after="0" w:line="51" w:lineRule="exact"/>
        <w:rPr>
          <w:sz w:val="20"/>
          <w:szCs w:val="20"/>
          <w:color w:val="auto"/>
        </w:rPr>
      </w:pPr>
    </w:p>
    <w:tbl>
      <w:tblPr>
        <w:tblLayout w:type="fixed"/>
        <w:tblInd w:w="1780" w:type="dxa"/>
        <w:tblCellMar>
          <w:top w:w="0" w:type="dxa"/>
          <w:left w:w="0" w:type="dxa"/>
          <w:bottom w:w="0" w:type="dxa"/>
          <w:right w:w="0" w:type="dxa"/>
        </w:tblCellMar>
      </w:tblPr>
      <w:tr>
        <w:trPr>
          <w:trHeight w:val="16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7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of our common stock issuable upon the exercise or grant of the IPO Grants, to maintain an aggregate of approximately</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12.5% of the number of shares of our common stock to be outstanding upon the closing of this offering calculated on a fully diluted basis</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(after giving effect to the number of shares of our common stock to be sold in this offering, not including the exercise in full of the</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underwriters’ option to purchase additional shares), to be granted to an executive officer and a director under the 2026 Plan; see the</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sections titled “Executive Compensation—Narrative Disclosure to the 2025 Summary Compensation Table—Equity Incentive</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Compensation” and “Director Compensation” for more information on such grants, including a description of how the number of shares</w:t>
            </w:r>
          </w:p>
        </w:tc>
      </w:tr>
      <w:tr>
        <w:trPr>
          <w:trHeight w:val="183"/>
        </w:trPr>
        <w:tc>
          <w:tcPr>
            <w:tcW w:w="180" w:type="dxa"/>
            <w:vAlign w:val="bottom"/>
          </w:tcPr>
          <w:p>
            <w:pPr>
              <w:spacing w:after="0"/>
              <w:rPr>
                <w:sz w:val="15"/>
                <w:szCs w:val="15"/>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 xml:space="preserve">issuable pursuant to such grants will be determined;          </w:t>
            </w:r>
          </w:p>
        </w:tc>
      </w:tr>
      <w:tr>
        <w:trPr>
          <w:trHeight w:val="24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73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shares of our common stock that will become available for future issuance under our 2026 Plan, including shares reserved for the</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IPO Grants, which will become effective on the date immediately prior to the effectiveness of the registration statement of which this</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w w:val="99"/>
              </w:rPr>
              <w:t>prospectus forms a part, as well as any automatic increases in the number of shares of common stock reserved for future issuance under the</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2026 Plan and any shares underlying outstanding stock awards granted under the 2024 Plan that expire or are repurchased, forfeited,</w:t>
            </w:r>
          </w:p>
        </w:tc>
      </w:tr>
      <w:tr>
        <w:trPr>
          <w:trHeight w:val="183"/>
        </w:trPr>
        <w:tc>
          <w:tcPr>
            <w:tcW w:w="180" w:type="dxa"/>
            <w:vAlign w:val="bottom"/>
          </w:tcPr>
          <w:p>
            <w:pPr>
              <w:spacing w:after="0"/>
              <w:rPr>
                <w:sz w:val="15"/>
                <w:szCs w:val="15"/>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cancelled, or withheld; and</w:t>
            </w:r>
          </w:p>
        </w:tc>
      </w:tr>
      <w:tr>
        <w:trPr>
          <w:trHeight w:val="24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7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of common stock reserved for future issuance under the ESPP, which will become effective on the date immediately prior</w:t>
            </w:r>
          </w:p>
        </w:tc>
      </w:tr>
      <w:tr>
        <w:trPr>
          <w:trHeight w:val="168"/>
        </w:trPr>
        <w:tc>
          <w:tcPr>
            <w:tcW w:w="180" w:type="dxa"/>
            <w:vAlign w:val="bottom"/>
          </w:tcPr>
          <w:p>
            <w:pPr>
              <w:spacing w:after="0"/>
              <w:rPr>
                <w:sz w:val="14"/>
                <w:szCs w:val="14"/>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 the effectiveness of the registration statement of which this prospectus forms a part, as well as any automatic increases in the number of</w:t>
            </w:r>
          </w:p>
        </w:tc>
      </w:tr>
      <w:tr>
        <w:trPr>
          <w:trHeight w:val="183"/>
        </w:trPr>
        <w:tc>
          <w:tcPr>
            <w:tcW w:w="180" w:type="dxa"/>
            <w:vAlign w:val="bottom"/>
          </w:tcPr>
          <w:p>
            <w:pPr>
              <w:spacing w:after="0"/>
              <w:rPr>
                <w:sz w:val="15"/>
                <w:szCs w:val="15"/>
                <w:color w:val="auto"/>
              </w:rPr>
            </w:pPr>
          </w:p>
        </w:tc>
        <w:tc>
          <w:tcPr>
            <w:tcW w:w="79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shares of common stock reserved for future issuance under the ESPP.</w:t>
            </w:r>
          </w:p>
        </w:tc>
      </w:tr>
      <w:tr>
        <w:trPr>
          <w:trHeight w:val="284"/>
        </w:trPr>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00" w:type="dxa"/>
            <w:vAlign w:val="bottom"/>
          </w:tcPr>
          <w:p>
            <w:pPr>
              <w:jc w:val="right"/>
              <w:ind w:right="4110"/>
              <w:spacing w:after="0"/>
              <w:rPr>
                <w:sz w:val="20"/>
                <w:szCs w:val="20"/>
                <w:color w:val="auto"/>
              </w:rPr>
            </w:pPr>
            <w:r>
              <w:rPr>
                <w:rFonts w:ascii="Times New Roman" w:cs="Times New Roman" w:eastAsia="Times New Roman" w:hAnsi="Times New Roman"/>
                <w:sz w:val="14"/>
                <w:szCs w:val="14"/>
                <w:color w:val="auto"/>
              </w:rPr>
              <w:t>107</w:t>
            </w:r>
          </w:p>
        </w:tc>
      </w:tr>
    </w:tbl>
    <w:p>
      <w:pPr>
        <w:sectPr>
          <w:pgSz w:w="11900" w:h="16838" w:orient="portrait"/>
          <w:cols w:equalWidth="0" w:num="1">
            <w:col w:w="10159"/>
          </w:cols>
          <w:pgMar w:left="300" w:top="38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7"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36"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Our historical net tangible book value (deficit) as of December 31, 2025 was $(93,784) million, or $(12.24) per share of our common stock. Our historical net tangible book value (deficit) represents the amount of our total tangible assets less our total liabilities and the carrying value of our convertible preferred stock, which is not included within stockholders’ deficit. Historical net tangible book value (deficit) per share represents historical net tangible book value (deficit) divided by 7,665,086 shares of our common stock outstanding (which excludes 486,114 shares of unvested restricted common stock) as of December 31, 2025.</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Our pro forma net tangible book value as of December 31, 2025 was $231.5 million, or $1.90 per share. Pro forma net tangible book value per share represents the amount of our total tangible assets less our total liabilities, divided by the number of shares of our common stock outstanding as of December 31, 2025, after giving effect to (i) the Preferred Stock Conversion and (ii) the filing and effectiveness of our amended and restated certificate of incorporation, which will occur immediately prior to the completion of this offering. Pro forma net tangible book value per share represents pro forma net tangible book value divided by the total number of shares outstanding (which excludes 486,114 shares of unvested restricted common stock) as of December 31, 2025, after giving effect to the pro forma adjustments described above.</w:t>
      </w:r>
    </w:p>
    <w:p>
      <w:pPr>
        <w:spacing w:after="0" w:line="143" w:lineRule="exact"/>
        <w:rPr>
          <w:sz w:val="20"/>
          <w:szCs w:val="20"/>
          <w:color w:val="auto"/>
        </w:rPr>
      </w:pPr>
    </w:p>
    <w:p>
      <w:pPr>
        <w:ind w:left="1360" w:right="239" w:firstLine="343"/>
        <w:spacing w:after="0" w:line="277" w:lineRule="auto"/>
        <w:rPr>
          <w:sz w:val="20"/>
          <w:szCs w:val="20"/>
          <w:color w:val="auto"/>
        </w:rPr>
      </w:pPr>
      <w:r>
        <w:rPr>
          <w:rFonts w:ascii="Times New Roman" w:cs="Times New Roman" w:eastAsia="Times New Roman" w:hAnsi="Times New Roman"/>
          <w:sz w:val="13"/>
          <w:szCs w:val="13"/>
          <w:color w:val="auto"/>
        </w:rPr>
        <w:t>After giving further effect to the issuance and sale of        shares of common stock that we are offering at the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(deficit) as of</w:t>
      </w:r>
    </w:p>
    <w:p>
      <w:pPr>
        <w:spacing w:after="0" w:line="2" w:lineRule="exact"/>
        <w:rPr>
          <w:sz w:val="20"/>
          <w:szCs w:val="20"/>
          <w:color w:val="auto"/>
        </w:rPr>
      </w:pPr>
    </w:p>
    <w:p>
      <w:pPr>
        <w:ind w:left="1360" w:right="679"/>
        <w:spacing w:after="0" w:line="256" w:lineRule="auto"/>
        <w:rPr>
          <w:sz w:val="20"/>
          <w:szCs w:val="20"/>
          <w:color w:val="auto"/>
        </w:rPr>
      </w:pPr>
      <w:r>
        <w:rPr>
          <w:rFonts w:ascii="Times New Roman" w:cs="Times New Roman" w:eastAsia="Times New Roman" w:hAnsi="Times New Roman"/>
          <w:sz w:val="14"/>
          <w:szCs w:val="14"/>
          <w:color w:val="auto"/>
        </w:rPr>
        <w:t>December 31, 2025 would have been $        million, or $        per share. This amount represents an immediate increase in pro forma net tangible book value (deficit) of $        per share to our existing stockholders and an immediate dilution in pro forma net tangible book value (deficit) of $        per share to new investors purchasing shares of common stock in this offering.</w:t>
      </w:r>
    </w:p>
    <w:p>
      <w:pPr>
        <w:spacing w:after="0" w:line="14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Dilution per share to new investors is determined by subtracting pro forma as adjusted net tangible book value (deficit)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171"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initial public offering price per share</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6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Historical net tangible book value (deficit) per share as of December 31, 2025</w:t>
            </w:r>
          </w:p>
        </w:tc>
        <w:tc>
          <w:tcPr>
            <w:tcW w:w="8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color w:val="auto"/>
              </w:rPr>
              <w:t>$ (12.24)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per share as of December 31, 2025 attributable to the pro forma adjustment described above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 forma net tangible book value (deficit) per share as of December 31, 2025</w:t>
            </w:r>
          </w:p>
        </w:tc>
        <w:tc>
          <w:tcPr>
            <w:tcW w:w="12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96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Increase in pro forma as adjusted net tangible book value (deficit) per share attributable to new investors participating</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6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 this offering</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0"/>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 forma as adjusted net tangible book value (deficit) per share after this offering</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participating in this offering</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dilution information discussed above is illustrative only and may change based on the actual initial public offering price and other terms of this offering. Each $1.00 increase or decrease, as applicable, in the assumed initial public offering price of $        per share, which is the midpoint of the price range set forth on the cover page of this prospectus, would increase or decrease, as applicable, the pro forma as adjusted net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6"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tangible book value per share after this offering by $            , and dilution per share to new investors purchasing common stock in this offering by</w:t>
      </w:r>
    </w:p>
    <w:p>
      <w:pPr>
        <w:spacing w:after="0" w:line="22" w:lineRule="exact"/>
        <w:rPr>
          <w:sz w:val="20"/>
          <w:szCs w:val="20"/>
          <w:color w:val="auto"/>
        </w:rPr>
      </w:pPr>
    </w:p>
    <w:p>
      <w:pPr>
        <w:ind w:left="1360" w:right="319"/>
        <w:spacing w:after="0" w:line="252" w:lineRule="auto"/>
        <w:rPr>
          <w:sz w:val="20"/>
          <w:szCs w:val="20"/>
          <w:color w:val="auto"/>
        </w:rPr>
      </w:pPr>
      <w:r>
        <w:rPr>
          <w:rFonts w:ascii="Times New Roman" w:cs="Times New Roman" w:eastAsia="Times New Roman" w:hAnsi="Times New Roman"/>
          <w:sz w:val="14"/>
          <w:szCs w:val="14"/>
          <w:color w:val="auto"/>
        </w:rPr>
        <w:t>$        , assuming that the number of shares of common stock offered by us, as set forth on the cover page of this prospectus, remains the same and after deducting the estimated underwriting discounts and commissions and estimated offering expenses payable by us. Similarly, each increase or decrease, as applicable, of 1.0 million shares in the number of shares of common stock offered by us would increase or decrease, as applicable, our pro forma as adjusted net tangible book value (deficit) per share after this offering by $        per share, in each case, and increase or decrease, as applicable, the dilution to investors participating in this offering by $        per share, assuming no change in the assumed initial public offering price, and after deducting the estimated underwriting discounts and commissions and estimated offering expenses payable by us.</w:t>
      </w:r>
    </w:p>
    <w:p>
      <w:pPr>
        <w:spacing w:after="0" w:line="149"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If the underwriters exercise their option to purchase additional shares of our common stock in full, our pro forma as adjusted net tangible book value (deficit) after the offering would be $        per share, representing an immediate increase in pro forma as adjusted net tangible book value (deficit) of $        per share to existing stockholders and immediate dilution in pro forma as adjusted net tangible book value (deficit) dilution of $        per share to new investors, in each case assuming an initial public offering price of $        per share, which is the midpoint of the price range set forth on the cover page of this prospectus, and after deducting the estimated underwriting discounts and commissions and estimated offering expenses payable by us.</w:t>
      </w:r>
    </w:p>
    <w:p>
      <w:pPr>
        <w:spacing w:after="0" w:line="14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following table summarizes on the pro forma as adjusted basis described above, as of December 31, 2025, the total number of shares of common stock purchased from us on an as-converted basis, the total consideration paid or to be paid to us, and the average price per share paid by existing stockholders or to be paid by new investors in this offering, based on the assumed initial public offering price of $        per share, which is the midpoint of the price range set forth on the cover page of this prospectus, before deducting the estimated underwriting discounts and commissions and estimated offering expenses payable by us. New investors purchasing shares of our common stock in this offering will pay an average price per share substantially higher than our existing stockholders paid.</w:t>
      </w:r>
    </w:p>
    <w:p>
      <w:pPr>
        <w:spacing w:after="0" w:line="17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520" w:type="dxa"/>
            <w:vAlign w:val="bottom"/>
            <w:gridSpan w:val="4"/>
            <w:vMerge w:val="restart"/>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140" w:type="dxa"/>
            <w:vAlign w:val="bottom"/>
          </w:tcPr>
          <w:p>
            <w:pPr>
              <w:spacing w:after="0"/>
              <w:rPr>
                <w:sz w:val="10"/>
                <w:szCs w:val="10"/>
                <w:color w:val="auto"/>
              </w:rPr>
            </w:pPr>
          </w:p>
        </w:tc>
        <w:tc>
          <w:tcPr>
            <w:tcW w:w="72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1"/>
                <w:szCs w:val="11"/>
                <w:b w:val="1"/>
                <w:bCs w:val="1"/>
                <w:color w:val="auto"/>
              </w:rPr>
              <w:t>Price Per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60" w:type="dxa"/>
            <w:vAlign w:val="bottom"/>
            <w:tcBorders>
              <w:top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Number</w:t>
            </w:r>
          </w:p>
        </w:tc>
        <w:tc>
          <w:tcPr>
            <w:tcW w:w="82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3"/>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820" w:type="dxa"/>
            <w:vAlign w:val="bottom"/>
            <w:tcBorders>
              <w:top w:val="single" w:sz="8" w:color="auto"/>
            </w:tcBorders>
            <w:gridSpan w:val="2"/>
          </w:tcPr>
          <w:p>
            <w:pPr>
              <w:ind w:left="280"/>
              <w:spacing w:after="0" w:line="106"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Existing stockholders</w:t>
            </w:r>
          </w:p>
        </w:tc>
        <w:tc>
          <w:tcPr>
            <w:tcW w:w="16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2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73"/>
              </w:rPr>
              <w:t>%</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380"/>
              <w:spacing w:after="0" w:line="159" w:lineRule="exact"/>
              <w:rPr>
                <w:sz w:val="20"/>
                <w:szCs w:val="20"/>
                <w:color w:val="auto"/>
              </w:rPr>
            </w:pPr>
            <w:r>
              <w:rPr>
                <w:rFonts w:ascii="Times New Roman" w:cs="Times New Roman" w:eastAsia="Times New Roman" w:hAnsi="Times New Roman"/>
                <w:sz w:val="14"/>
                <w:szCs w:val="14"/>
                <w:color w:val="auto"/>
                <w:w w:val="99"/>
              </w:rPr>
              <w:t> </w:t>
            </w:r>
          </w:p>
        </w:tc>
        <w:tc>
          <w:tcPr>
            <w:tcW w:w="240" w:type="dxa"/>
            <w:vAlign w:val="bottom"/>
            <w:tcBorders>
              <w:top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w w:val="73"/>
              </w:rPr>
              <w:t>%</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w w:val="99"/>
              </w:rPr>
              <w:t>New investors purchasing shares in this offering</w:t>
            </w:r>
          </w:p>
        </w:tc>
        <w:tc>
          <w:tcPr>
            <w:tcW w:w="1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 </w:t>
            </w:r>
          </w:p>
        </w:tc>
        <w:tc>
          <w:tcPr>
            <w:tcW w:w="106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100.0%</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8560" w:type="dxa"/>
            <w:vAlign w:val="bottom"/>
            <w:gridSpan w:val="17"/>
          </w:tcPr>
          <w:p>
            <w:pPr>
              <w:ind w:left="320"/>
              <w:spacing w:after="0"/>
              <w:rPr>
                <w:sz w:val="20"/>
                <w:szCs w:val="20"/>
                <w:color w:val="auto"/>
              </w:rPr>
            </w:pPr>
            <w:r>
              <w:rPr>
                <w:rFonts w:ascii="Times New Roman" w:cs="Times New Roman" w:eastAsia="Times New Roman" w:hAnsi="Times New Roman"/>
                <w:sz w:val="14"/>
                <w:szCs w:val="14"/>
                <w:color w:val="auto"/>
              </w:rPr>
              <w:t>The table above assumes no exercise of the underwriters’ option to purchase additional shares in this offering. If the underwriters exercise their</w:t>
            </w:r>
          </w:p>
        </w:tc>
        <w:tc>
          <w:tcPr>
            <w:tcW w:w="0" w:type="dxa"/>
            <w:vAlign w:val="bottom"/>
          </w:tcPr>
          <w:p>
            <w:pPr>
              <w:spacing w:after="0"/>
              <w:rPr>
                <w:sz w:val="1"/>
                <w:szCs w:val="1"/>
                <w:color w:val="auto"/>
              </w:rPr>
            </w:pPr>
          </w:p>
        </w:tc>
      </w:tr>
      <w:tr>
        <w:trPr>
          <w:trHeight w:val="168"/>
        </w:trPr>
        <w:tc>
          <w:tcPr>
            <w:tcW w:w="6100" w:type="dxa"/>
            <w:vAlign w:val="bottom"/>
            <w:gridSpan w:val="9"/>
          </w:tcPr>
          <w:p>
            <w:pPr>
              <w:spacing w:after="0"/>
              <w:rPr>
                <w:sz w:val="20"/>
                <w:szCs w:val="20"/>
                <w:color w:val="auto"/>
              </w:rPr>
            </w:pPr>
            <w:r>
              <w:rPr>
                <w:rFonts w:ascii="Times New Roman" w:cs="Times New Roman" w:eastAsia="Times New Roman" w:hAnsi="Times New Roman"/>
                <w:sz w:val="14"/>
                <w:szCs w:val="14"/>
                <w:color w:val="auto"/>
                <w:w w:val="98"/>
              </w:rPr>
              <w:t>option to purchase additional shares of common stock from us in full, our existing stockholders would own  </w:t>
            </w:r>
          </w:p>
        </w:tc>
        <w:tc>
          <w:tcPr>
            <w:tcW w:w="2480" w:type="dxa"/>
            <w:vAlign w:val="bottom"/>
            <w:gridSpan w:val="9"/>
          </w:tcPr>
          <w:p>
            <w:pPr>
              <w:ind w:left="80"/>
              <w:spacing w:after="0"/>
              <w:rPr>
                <w:sz w:val="20"/>
                <w:szCs w:val="20"/>
                <w:color w:val="auto"/>
              </w:rPr>
            </w:pPr>
            <w:r>
              <w:rPr>
                <w:rFonts w:ascii="Times New Roman" w:cs="Times New Roman" w:eastAsia="Times New Roman" w:hAnsi="Times New Roman"/>
                <w:sz w:val="14"/>
                <w:szCs w:val="14"/>
                <w:color w:val="auto"/>
                <w:w w:val="99"/>
              </w:rPr>
              <w:t>%, and new investors purchasing shares of</w:t>
            </w:r>
          </w:p>
        </w:tc>
        <w:tc>
          <w:tcPr>
            <w:tcW w:w="0" w:type="dxa"/>
            <w:vAlign w:val="bottom"/>
          </w:tcPr>
          <w:p>
            <w:pPr>
              <w:spacing w:after="0"/>
              <w:rPr>
                <w:sz w:val="1"/>
                <w:szCs w:val="1"/>
                <w:color w:val="auto"/>
              </w:rPr>
            </w:pPr>
          </w:p>
        </w:tc>
      </w:tr>
      <w:tr>
        <w:trPr>
          <w:trHeight w:val="16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our common stock in this offering would own  </w:t>
            </w:r>
          </w:p>
        </w:tc>
        <w:tc>
          <w:tcPr>
            <w:tcW w:w="5860" w:type="dxa"/>
            <w:vAlign w:val="bottom"/>
            <w:gridSpan w:val="16"/>
          </w:tcPr>
          <w:p>
            <w:pPr>
              <w:ind w:left="20"/>
              <w:spacing w:after="0"/>
              <w:rPr>
                <w:sz w:val="20"/>
                <w:szCs w:val="20"/>
                <w:color w:val="auto"/>
              </w:rPr>
            </w:pPr>
            <w:r>
              <w:rPr>
                <w:rFonts w:ascii="Times New Roman" w:cs="Times New Roman" w:eastAsia="Times New Roman" w:hAnsi="Times New Roman"/>
                <w:sz w:val="14"/>
                <w:szCs w:val="14"/>
                <w:color w:val="auto"/>
              </w:rPr>
              <w:t>%, of the total number of shares of our common stock outstanding immediately after the completion of</w:t>
            </w:r>
          </w:p>
        </w:tc>
        <w:tc>
          <w:tcPr>
            <w:tcW w:w="0" w:type="dxa"/>
            <w:vAlign w:val="bottom"/>
          </w:tcPr>
          <w:p>
            <w:pPr>
              <w:spacing w:after="0"/>
              <w:rPr>
                <w:sz w:val="1"/>
                <w:szCs w:val="1"/>
                <w:color w:val="auto"/>
              </w:rPr>
            </w:pPr>
          </w:p>
        </w:tc>
      </w:tr>
      <w:tr>
        <w:trPr>
          <w:trHeight w:val="18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this offering.</w:t>
            </w:r>
          </w:p>
        </w:tc>
        <w:tc>
          <w:tcPr>
            <w:tcW w:w="1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after this offering is based on 121,586,122 shares of common stock (which excludes 486,114 shares of unvested restricted common stock) outstanding as of December 31, 2025, after giving effect to the Preferred Stock Conversion, and excludes:</w:t>
      </w:r>
    </w:p>
    <w:p>
      <w:pPr>
        <w:spacing w:after="0" w:line="62" w:lineRule="exact"/>
        <w:rPr>
          <w:sz w:val="20"/>
          <w:szCs w:val="20"/>
          <w:color w:val="auto"/>
        </w:rPr>
      </w:pPr>
    </w:p>
    <w:p>
      <w:pPr>
        <w:jc w:val="both"/>
        <w:ind w:left="2120" w:right="259" w:hanging="345"/>
        <w:spacing w:after="0" w:line="267" w:lineRule="auto"/>
        <w:tabs>
          <w:tab w:leader="none" w:pos="21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27,633,144 shares of common stock issuable upon exercise of outstanding stock options as of December 31, 2025, which includes 718,500 performance-based awards that have not yet been deemed granted for accounting purposes, under our 2024 Plan, with a weighted-average exercise price of $1.52 per share;</w:t>
      </w:r>
    </w:p>
    <w:p>
      <w:pPr>
        <w:spacing w:after="0" w:line="6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3,023,510 shares of common stock issuable upon exercise of outstanding stock options granted after December 31, 2025 pursuant to our 2024 Plan, with a weighted-average exercise price of $3.28 per share;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6"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599" w:hanging="345"/>
        <w:spacing w:after="0" w:line="283" w:lineRule="auto"/>
        <w:tabs>
          <w:tab w:leader="none" w:pos="21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4,722,667 shares of common stock reserved for future issuance as of December 31, 2025 under the 2024 Plan, which will cease to be available for issuance at the time that our 2026 Plan, becomes effective;</w:t>
      </w:r>
    </w:p>
    <w:p>
      <w:pPr>
        <w:spacing w:after="0" w:line="51" w:lineRule="exact"/>
        <w:rPr>
          <w:sz w:val="20"/>
          <w:szCs w:val="20"/>
          <w:color w:val="auto"/>
        </w:rPr>
      </w:pPr>
    </w:p>
    <w:tbl>
      <w:tblPr>
        <w:tblLayout w:type="fixed"/>
        <w:tblInd w:w="1780" w:type="dxa"/>
        <w:tblCellMar>
          <w:top w:w="0" w:type="dxa"/>
          <w:left w:w="0" w:type="dxa"/>
          <w:bottom w:w="0" w:type="dxa"/>
          <w:right w:w="0" w:type="dxa"/>
        </w:tblCellMar>
      </w:tblPr>
      <w:tr>
        <w:trPr>
          <w:trHeight w:val="16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of our common stock issuable upon the exercise or grant of the IPO Grants, to maintain an aggregate of approximately</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12.5% of the number of shares of our common stock to be outstanding upon the closing of this offering calculated on a fully diluted basis</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(after giving effect to the number of shares of our common stock to be sold in this offering, not including the exercise in full of the</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underwriters’ option to purchase additional shares), to be granted to an executive officer and a director under the 2026 Plan; see the</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sections titled “Executive Compensation—Narrative Disclosure to the 2025 Summary Compensation Table—Equity Incentive</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Compensation” and “Director Compensation” for more information on such grants, including a description of how the number of shares</w:t>
            </w:r>
          </w:p>
        </w:tc>
      </w:tr>
      <w:tr>
        <w:trPr>
          <w:trHeight w:val="183"/>
        </w:trPr>
        <w:tc>
          <w:tcPr>
            <w:tcW w:w="180" w:type="dxa"/>
            <w:vAlign w:val="bottom"/>
          </w:tcPr>
          <w:p>
            <w:pPr>
              <w:spacing w:after="0"/>
              <w:rPr>
                <w:sz w:val="15"/>
                <w:szCs w:val="15"/>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issuable pursuant to such grants will be determined;</w:t>
            </w:r>
          </w:p>
        </w:tc>
      </w:tr>
      <w:tr>
        <w:trPr>
          <w:trHeight w:val="24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of our common stock that will become available for future issuance under our 2026 Plan, including shares reserved for</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the IPO Grants, which will become effective on the date immediately prior to the effectiveness of the registration statement of which this</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w w:val="99"/>
              </w:rPr>
              <w:t>prospectus forms a part, as well as any automatic increases in the number of shares of common stock reserved for future issuance under the</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2026 Plan and any shares underlying outstanding stock awards granted under the 2024 Plan that expire or are repurchased, forfeited,</w:t>
            </w:r>
          </w:p>
        </w:tc>
      </w:tr>
      <w:tr>
        <w:trPr>
          <w:trHeight w:val="183"/>
        </w:trPr>
        <w:tc>
          <w:tcPr>
            <w:tcW w:w="180" w:type="dxa"/>
            <w:vAlign w:val="bottom"/>
          </w:tcPr>
          <w:p>
            <w:pPr>
              <w:spacing w:after="0"/>
              <w:rPr>
                <w:sz w:val="15"/>
                <w:szCs w:val="15"/>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cancelled, or withheld; and</w:t>
            </w:r>
          </w:p>
        </w:tc>
      </w:tr>
      <w:tr>
        <w:trPr>
          <w:trHeight w:val="24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73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shares of common stock reserved for future issuance under our ESPP, which will become effective on the date immediately prior</w:t>
            </w:r>
          </w:p>
        </w:tc>
      </w:tr>
      <w:tr>
        <w:trPr>
          <w:trHeight w:val="168"/>
        </w:trPr>
        <w:tc>
          <w:tcPr>
            <w:tcW w:w="180" w:type="dxa"/>
            <w:vAlign w:val="bottom"/>
          </w:tcPr>
          <w:p>
            <w:pPr>
              <w:spacing w:after="0"/>
              <w:rPr>
                <w:sz w:val="14"/>
                <w:szCs w:val="14"/>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to the effectiveness of the registration statement of which this prospectus forms a part, as well as any automatic increases in the number of</w:t>
            </w:r>
          </w:p>
        </w:tc>
      </w:tr>
      <w:tr>
        <w:trPr>
          <w:trHeight w:val="183"/>
        </w:trPr>
        <w:tc>
          <w:tcPr>
            <w:tcW w:w="180" w:type="dxa"/>
            <w:vAlign w:val="bottom"/>
          </w:tcPr>
          <w:p>
            <w:pPr>
              <w:spacing w:after="0"/>
              <w:rPr>
                <w:sz w:val="15"/>
                <w:szCs w:val="15"/>
                <w:color w:val="auto"/>
              </w:rPr>
            </w:pPr>
          </w:p>
        </w:tc>
        <w:tc>
          <w:tcPr>
            <w:tcW w:w="7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shares of common stock reserved for future issuance under the ESPP.</w:t>
            </w:r>
          </w:p>
        </w:tc>
      </w:tr>
    </w:tbl>
    <w:p>
      <w:pPr>
        <w:spacing w:after="0" w:line="154"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To the extent any outstanding options are exercised, new options or other equity awards are issued under our equity incentive plans,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6"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5"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our audited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Financial results through April 8, 2024, which are included in the consolidated financial statements for the year ended December 31, 2024, have been prepared on a “carve-out” basis and our full year results for the year ended December 31, 2024 are not necessarily indicative of results that may be expected in the future, nor are our other historical results necessarily indicative of the results that may be expected for any period in the future.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 Unless otherwise indicated, all references in this section to “Seaport,” the “company,” “we,” “our,” “us,” or similar terms refer to Seaport Therapeutics, Inc. and its wholly owned subsidiaries, or either or all of them, before the Asset Transfer (as defined below) and after the Asset Transfer, as applicable and as the context may require.</w:t>
      </w:r>
    </w:p>
    <w:p>
      <w:pPr>
        <w:spacing w:after="0" w:line="2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 platform to overcome those limitations and invent innovative oral therapies. Our lead product candidate, GlyphAllo (SPT-300 or Glyph Allopregnanolone), is a novel,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 We have initiated the Phase 2b BUOY-1 trial in patients with MDD with or without anxious distress and anticipate topline data in the first half of 2027. Our second product candidate, GlyphAgo (SPT-320 or Glyph Agomelatine), is a novel, Glyphed oral prodrug of agomelatine, a clinically validated anxiolytic and antidepressant that is approved for the treatment of generalized anxiety disorder, or GAD, in Australia and MDD in Australia and the European Union, or EU. In April 2026, we reported topline data from the single-ascending dose, or SAD, and crossover portions of our Phase 1 proof-of concept clinical trial for GlyphAgo. In the head-to-head crossover portion of the trial, GlyphAgo demonstrated a 6.8-fold increase in bioavailability of agomelatine compared to unmodified orally administered agomelatine, and showed significantly lower (10- fold) pharmacokinetic variability compared to unmodified agomelatine. In the SAD portion of the trial, GlyphAgo demonstrated a 9.6 to 14.5-fold increase in dose-normalized exposure compared to agomelatine. GlyphAgo was well-tolerated and no liver-related adverse events were observed. We plan to initiate a Phase 2a proof-of-pharmacology trial designed to evaluate the potential sleep benefit of GlyphAgo in patients with GAD and sleep disturbance, with topline data expected in early 2028 and, in parallel, a Phase 2b trial designed to evaluate the efficacy and safety of GlyphAgo in patients with GAD, with topline data expected by the end of 2028. We are also advancing Glyph2BLSD (SPT-348 or Glyph</w:t>
      </w: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40"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We were incorporated in April 2024 by PureTech LYT Inc., or PureTech LYT, as our sole stockholder, and upon formation we entered into an asset transfer agreement, as amended in December 2025, or the Asset Transfer Agreement, with PureTech LYT and PureTech Health LLC, or PureTech Health, pursuant to which PureTech</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6"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Health and PureTech LYT agreed to contribute, convey, assign, transfer, and deliver to us all of its right, title, and interest in, to, and under the assets related to its Glyph technology or products, including the Monash License Agreement (as defined below), subject to the terms set forth in the Asset Transfer Agreement or the Asset Transfer. See subsection titled “Asset Transfer Agreement and Financings” below. Our historical consolidated financial statements up to April 8, 2024, or the Asset Transfer Date, have been prepared on a “carve-out” basis and are derived from the financial statements of PureTech Health plc and its consolidated subsidiaries, or PureTech, to represent our financial position and performance as if we had existed on a standalone basis. Prior to the Asset Transfer, our combined financial statements included the assets, liabilities, and expenses of PureTech that management determined were specifically identifiable to us and our related programs, as well as indirect costs that were not specifically identifiable to us or our related programs but were considered necessary to operate as a standalone company. Management believes the assumptions underlying our carve-out financial statements are reasonable. Nevertheless, the carve-out financial statements may not include all of the actual expenses that would have been incurred, and may not reflect our results of operations, financial position, and cash flows, had we operated as a standalone company for the period prior to the Asset Transfer. Effective April 8, 2024, our financial statements are presented on a consolidated basis, as PureTech Health LLC and PureTech LYT completed the transfer of the Glyph platform business, or the Seaport Business, on such date. The audited financial statements presented, including our historical results prior to April 8, 2024, are referred to as the consolidated financial statements. Our consolidated financial statements are presented in conformity with accounting principles generally accepted in the U.S., or GAAP. For additional information on the preparation and basis of presentation of the consolidated financial statements, see Note 1—Nature of Business and Basis of Presentation, in the notes to the consolidated financial statements appearing elsewhere in this prospectus.</w:t>
      </w:r>
    </w:p>
    <w:p>
      <w:pPr>
        <w:spacing w:after="0" w:line="155" w:lineRule="exact"/>
        <w:rPr>
          <w:sz w:val="20"/>
          <w:szCs w:val="20"/>
          <w:color w:val="auto"/>
        </w:rPr>
      </w:pPr>
    </w:p>
    <w:p>
      <w:pPr>
        <w:jc w:val="both"/>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We have devoted substantially all of our efforts to organizing and staffing our company, business planning, research and development activities, building and strengthening our intellectual property portfolio, and providing general and administrative support for these operations. Subsequent to the Asset Transfer Date and to date, we have funded our operations with proceeds from the issuance and sale of convertible preferred stock, including the $100.1 million gross proceeds we received in April 2024 from our Series A-2 Financing (as defined below) and the $226.0 million gross proceeds we received in October 2024 from our Series B Financing (as defined below).</w:t>
      </w:r>
    </w:p>
    <w:p>
      <w:pPr>
        <w:spacing w:after="0" w:line="144"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We have incurred significant operating losses since the inception of our business and expect to continue to generate operating losses for the foreseeable future. Our ability to generate product revenue sufficient to achieve profitability will depend on the successful development and eventual commercialization of any product candidates we may develop. During the years ended December 31, 2025 and 2024, we had a net loss of $74.9 million and $46.9 million, respectively. As of December 31, 2025, we had an accumulated deficit of $114.1 million. We expect our expenses and operating losses will increase substantially as we:</w:t>
      </w:r>
    </w:p>
    <w:p>
      <w:pPr>
        <w:spacing w:after="0" w:line="70" w:lineRule="exact"/>
        <w:rPr>
          <w:sz w:val="20"/>
          <w:szCs w:val="20"/>
          <w:color w:val="auto"/>
        </w:rPr>
      </w:pPr>
    </w:p>
    <w:p>
      <w:pPr>
        <w:ind w:left="2120" w:right="239" w:hanging="345"/>
        <w:spacing w:after="0" w:line="283" w:lineRule="auto"/>
        <w:tabs>
          <w:tab w:leader="none" w:pos="21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product candidates through preclinical and clinical development, including advancing GlyphAllo and GlyphAgo through later-stage clinical trials, and other candidates through discovery and clinical and preclinical stages;</w:t>
      </w:r>
    </w:p>
    <w:p>
      <w:pPr>
        <w:spacing w:after="0" w:line="51" w:lineRule="exact"/>
        <w:rPr>
          <w:rFonts w:ascii="Times New Roman" w:cs="Times New Roman" w:eastAsia="Times New Roman" w:hAnsi="Times New Roman"/>
          <w:sz w:val="14"/>
          <w:szCs w:val="14"/>
          <w:color w:val="auto"/>
        </w:rPr>
      </w:pPr>
    </w:p>
    <w:p>
      <w:pPr>
        <w:ind w:left="2120" w:right="1139" w:hanging="345"/>
        <w:spacing w:after="0" w:line="283" w:lineRule="auto"/>
        <w:tabs>
          <w:tab w:leader="none" w:pos="21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our product candidates that successfully complete clinical trials from the U.S. Food and Drug Administration, or the FDA, and/or other foreign comparable regulatory authorities;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quality control, medical, scientific, and other technical personnel to support the clinical development of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internal capabilities to support clinical-stage development;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headcount as we expand our research and development organization, and pre-commercial planning activities;</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any activities to establish sales, marketing, and distribution capabilities in preparation for commercialization, as applicable, including hiring additional personnel to support such operations;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6"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59" w:hanging="345"/>
        <w:spacing w:after="0" w:line="283" w:lineRule="auto"/>
        <w:tabs>
          <w:tab w:leader="none" w:pos="21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heightened regulatory scrutiny;</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milestone, royalty, or other payments due under the Asset Transfer Agreement and/or the Monash License Agreement (as defined below), and any future in-license or collaboration agreements with third parties;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legal, accounting, and other expenses associated with operating as a public company.</w:t>
      </w:r>
    </w:p>
    <w:p>
      <w:pPr>
        <w:spacing w:after="0" w:line="175"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Our net losses may fluctuate significantly from quarter-to-quarter and year-to-year, depending on the timing of our preclinical studies and planned clinical trials and our expenditures on other research and development activities.</w:t>
      </w:r>
    </w:p>
    <w:p>
      <w:pPr>
        <w:spacing w:after="0" w:line="125" w:lineRule="exact"/>
        <w:rPr>
          <w:sz w:val="20"/>
          <w:szCs w:val="20"/>
          <w:color w:val="auto"/>
        </w:rPr>
      </w:pPr>
    </w:p>
    <w:p>
      <w:pPr>
        <w:ind w:left="1360" w:right="319" w:firstLine="343"/>
        <w:spacing w:after="0" w:line="254" w:lineRule="auto"/>
        <w:rPr>
          <w:sz w:val="20"/>
          <w:szCs w:val="20"/>
          <w:color w:val="auto"/>
        </w:rPr>
      </w:pPr>
      <w:r>
        <w:rPr>
          <w:rFonts w:ascii="Times New Roman" w:cs="Times New Roman" w:eastAsia="Times New Roman" w:hAnsi="Times New Roman"/>
          <w:sz w:val="14"/>
          <w:szCs w:val="14"/>
          <w:color w:val="auto"/>
        </w:rPr>
        <w:t>We do not expect to generate any revenue from product sales unless and until we successfully complete development and obtain regulatory approval for one or more of our potential future product candidates, which may not be for at least the next several years, if ever. If we obtain regulatory approval for any of our existing or future product candidates, we expect to incur significant commercialization expenses related to product sales, marketing, manufacturing, and distribution. Accordingly, until such time as we can generate significant revenue from our existing or future product candidates, if ever, we expect to finance our cash needs through equity offerings, debt financings, or other capital sources, including potential collaborations, licenses, and other similar arrangements. See the section titled “Liquidity and Capital Resources.” However, we may be unable to raise additional funds or enter into such other arrangements when needed on favorable terms or at all. Our inability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w:t>
      </w:r>
    </w:p>
    <w:p>
      <w:pPr>
        <w:spacing w:after="0" w:line="146"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believe, based on our current operating plan, that the net proceeds from this offering, together with our existing cash and cash equivalents, will enable us to fund our operating expenses and capital expenditure requirements through           . See sections titled “Use of Proceeds”, “Liquidity and Capital Resources”, and “Risk Factors—Risks Related to Our Limited Operating History, Financial Condition and Need for Additional Capital.”</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Asset Transfer Agreement and Financings</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We were incorporated in April 2024 by PureTech LYT, as our sole stockholder, and upon formation issued 1,000 shares of our common stock to PureTech LYT. In April 2024, we entered into an Asset Transfer Agreement,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949,000 shares of our common stock to PureTech LYT.</w:t>
      </w:r>
    </w:p>
    <w:p>
      <w:pPr>
        <w:spacing w:after="0" w:line="143"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the Asset Transfer Agreement, we have agreed to make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6"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and a percentage of net income generated by us from third parties on any products licensed under the Glyph intellectual property which was transferred to us as part of the Asset Transfer Agreement.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For additional information, see “Business—Agreements—Asset Transfer Agreement with PureTech.”</w:t>
      </w:r>
    </w:p>
    <w:p>
      <w:pPr>
        <w:spacing w:after="0" w:line="145"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Concurrently, upon entry into the Asset Transfer Agreement, we entered into a stock purchase agreement with PureTech LYT and other third-party investors, pursuant to which we issued 26,342,102 shares of our Series A-2 convertible preferred stock, or the Series A Financing, of which 8,421,052 shares were issued and sold to PureTech LYT, at a purchase price of $3.80 per share for gross aggregate proceeds of $100.1 million. PureTech LYT remained a majority investor of Seaport, until the completion of our Series B convertible preferred stock financing, or the Series B Financing, in October 2024, upon which we issued and sold an aggregate amount of 47,578,934 shares of its Series B convertible preferred stock, of which 3,031,578 shares were issued to PureTech LYT, and an aggregate of 494,734 shares issued to certain of our management and Board of Directors, or the Board, at a purchase price of $4.75 per share, for gross aggregate proceeds of $226.0 million.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License and Collaboration Agreements</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Monash License Agreement</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In April 2024, PureTech Health exclusively assigned to us, and we assumed, all rights and obligations under a license agreement entered into in August 2017 between PureTech Health and Monash University, or the Original License Agreement. In March 2025, we entered into the Monash License Agreement and amended and restated license agreement with Monash University, which amended and restated the Original License Agreement, or the Monash License Agreement. Pursuant to the Monash License Agreement, Monash University has granted us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we and Monash University agreed to collaborate in conducting research and development activities.</w:t>
      </w:r>
    </w:p>
    <w:p>
      <w:pPr>
        <w:spacing w:after="0" w:line="146"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Under the Monash License Agreement, we have agreed to use reasonable commercial endeavors to (i) develop at least one Licensed Product (as defined therein), (ii) seek regulatory approval for at least one Licensed Product, and (iii) after receipt of such regulatory approval in the United States or Europe, promote and develop the sale of at least one Licensed Product in such territory. Monash University has agreed to provide reasonable technical assistance and advice based on Monash University’s know-how relating to the technology licensed under the Monash License Agreement. We have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6"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For additional discussion around the obligations under the Monash License Agreement, see the subsection titled “—Contractual Obligations and Commitments” and “Business—Agreements—Monash University Exclusive License Agreement” included elsewhere in this prospectus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3" w:lineRule="exact"/>
        <w:rPr>
          <w:sz w:val="20"/>
          <w:szCs w:val="20"/>
          <w:color w:val="auto"/>
        </w:rPr>
      </w:pPr>
    </w:p>
    <w:p>
      <w:pPr>
        <w:ind w:left="1360" w:right="479" w:firstLine="343"/>
        <w:spacing w:after="0" w:line="257" w:lineRule="auto"/>
        <w:rPr>
          <w:sz w:val="20"/>
          <w:szCs w:val="20"/>
          <w:color w:val="auto"/>
        </w:rPr>
      </w:pPr>
      <w:r>
        <w:rPr>
          <w:rFonts w:ascii="Times New Roman" w:cs="Times New Roman" w:eastAsia="Times New Roman" w:hAnsi="Times New Roman"/>
          <w:sz w:val="14"/>
          <w:szCs w:val="14"/>
          <w:color w:val="auto"/>
        </w:rPr>
        <w:t>Historically, our operations were managed as part of PureTech prior to the Asset Transfer Date. Accordingly, certain shared costs have been allocated to us and reflected as expenses in our standalone consolidated financial statements, as described in greater detail in the notes to our consolidated financial statements appearing elsewhere in this prospectus. We considered the allocation methodologies used to be a reasonable and appropriate reflection of the historical PureTech expenses attributable to us for purposes of our standalone consolidated financial statements. The expenses reflected in our consolidated financial statements may not be indicative of expenses that will be incurred by us in the future. The following discussion summarizes the key factors we believe are necessary for an understanding of our consolidated financial statements.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3" w:lineRule="exact"/>
        <w:rPr>
          <w:sz w:val="20"/>
          <w:szCs w:val="20"/>
          <w:color w:val="auto"/>
        </w:rPr>
      </w:pPr>
    </w:p>
    <w:p>
      <w:pPr>
        <w:ind w:left="1360" w:right="339" w:firstLine="343"/>
        <w:spacing w:after="0" w:line="287" w:lineRule="auto"/>
        <w:rPr>
          <w:sz w:val="20"/>
          <w:szCs w:val="20"/>
          <w:color w:val="auto"/>
        </w:rPr>
      </w:pPr>
      <w:r>
        <w:rPr>
          <w:rFonts w:ascii="Times New Roman" w:cs="Times New Roman" w:eastAsia="Times New Roman" w:hAnsi="Times New Roman"/>
          <w:sz w:val="13"/>
          <w:szCs w:val="13"/>
          <w:color w:val="auto"/>
        </w:rPr>
        <w:t>To date, we have not recognized any revenue and do not expect to generate any revenue from the sale of products in the near term, if at all. If our development efforts for our current or potential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However, there can be no assurance as to when we will generate such revenue, if at all.</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Research and development, or R&amp;D, expenses consist primarily of costs incurred in connection with the discovery, non-clinical development, and clinical development of our lead product candidates and potential future product candidates. R&amp;D expenses include direct costs specifically attributable to our programs including external fees to conduct certain clinical and non-clinical research and development activities, preclinical and early discovery assets, such as costs paid to contract research and manufacturing organizations, consulting fees, laboratory services and supplies, and costs incurred in connection with the Monash License Agreement, as well as indirect costs that are not directly attributable to a specific program such as personnel related expenses, including stock-based compensation, facility expenses, depreciation, and information technology costs. Prior to the Asset Transfer Date, R&amp;D expenses also included allocated indirect R&amp;D costs from PureTech, including personnel related expenses, stock-based compensation, facility expenses, depreciation, and information technology costs.</w:t>
      </w:r>
    </w:p>
    <w:p>
      <w:pPr>
        <w:spacing w:after="0" w:line="145" w:lineRule="exact"/>
        <w:rPr>
          <w:sz w:val="20"/>
          <w:szCs w:val="20"/>
          <w:color w:val="auto"/>
        </w:rPr>
      </w:pPr>
    </w:p>
    <w:p>
      <w:pPr>
        <w:ind w:left="1360" w:right="459" w:firstLine="343"/>
        <w:spacing w:after="0" w:line="261" w:lineRule="auto"/>
        <w:rPr>
          <w:sz w:val="20"/>
          <w:szCs w:val="20"/>
          <w:color w:val="auto"/>
        </w:rPr>
      </w:pPr>
      <w:r>
        <w:rPr>
          <w:rFonts w:ascii="Times New Roman" w:cs="Times New Roman" w:eastAsia="Times New Roman" w:hAnsi="Times New Roman"/>
          <w:sz w:val="14"/>
          <w:szCs w:val="14"/>
          <w:color w:val="auto"/>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41"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Due to the inherently unpredictable nature of preclinical and clinical development, we do not allocate all of our internal research and development expenses on a program-by-program basis as these expenses primarily relate to personnel and other overhead costs that are deployed across multiple programs under development. Our research and development expenses also include external costs, which we do track on a program-by-program basis following the program’s nomination as a product candidate. We began tracking such external costs upon the nomination for GlyphAllo in 2020, GlyphAgo at the end of our fiscal year ended December 31, 2023 and Glyph2BLSD at the end of our fiscal year ended December 31, 2024.</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Research and development activities are central to our business model. We expect that our research and development expenses will continue to increase for the foreseeable future as we advance our current and any future product candidates into and through clinical development and as we continue to develop additional product candidates.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3" w:lineRule="exact"/>
        <w:rPr>
          <w:sz w:val="20"/>
          <w:szCs w:val="20"/>
          <w:color w:val="auto"/>
        </w:rPr>
      </w:pPr>
    </w:p>
    <w:p>
      <w:pPr>
        <w:ind w:left="1360" w:right="399" w:firstLine="343"/>
        <w:spacing w:after="0" w:line="254" w:lineRule="auto"/>
        <w:rPr>
          <w:sz w:val="20"/>
          <w:szCs w:val="20"/>
          <w:color w:val="auto"/>
        </w:rPr>
      </w:pPr>
      <w:r>
        <w:rPr>
          <w:rFonts w:ascii="Times New Roman" w:cs="Times New Roman" w:eastAsia="Times New Roman" w:hAnsi="Times New Roman"/>
          <w:sz w:val="14"/>
          <w:szCs w:val="14"/>
          <w:color w:val="auto"/>
        </w:rPr>
        <w:t>General and administrative expenses consist of salaries and personnel-related costs, including stock-based compensation expense, for our personnel in executive, business development, legal, finance and accounting, human resources and other administrative functions, consulting fees, facility costs not otherwise included in R&amp;D expenses, fees paid for accounting and tax services, insurance expenses, legal costs consisting of general corporate legal fees and patent legal fees, and allocated expenses from PureTech prior to our formation in April 2024. Allocated PureTech expenses included employee-related costs, including salaries, bonuses, benefits, and stock-based compensation expenses for PureTech personnel and our personnel in executive, finance, accounting, human resources, and other administrative functions. Allocated expenses from PureTech also included corporate overhead expenses and shared costs, such as general management and executive oversight, facilities, compliance, human resources, legal, including intellectual property costs, finance, risk management, and information technology all of which supported the operations of PureTech as a whole.</w:t>
      </w:r>
    </w:p>
    <w:p>
      <w:pPr>
        <w:spacing w:after="0" w:line="149"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We will also incur significant costs associated with being a public company, including increased accounting, audit, legal, regulatory, compliance, and director and officer insurance costs, as well as expenses related to services associated with maintaining compliance with the requirements of the Nasdaq Stock Market, the Securities and Exchange Commission, and investor relations costs.</w:t>
      </w:r>
    </w:p>
    <w:p>
      <w:pPr>
        <w:spacing w:after="0" w:line="144" w:lineRule="exact"/>
        <w:rPr>
          <w:sz w:val="20"/>
          <w:szCs w:val="20"/>
          <w:color w:val="auto"/>
        </w:rPr>
      </w:pPr>
    </w:p>
    <w:p>
      <w:pPr>
        <w:jc w:val="both"/>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Through the completion of this offering, we continued to grant additional equity awards to certain individuals to maintain in total an aggregate of 12.5% ownership on a fully diluted basis as specified by underlying agreements. Upon the completion of the offering, we will grant          equity awards to certain individuals to maintain an aggregate of 12.5% ownership and we will recognize total stock-based compensation expense of</w:t>
      </w: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          over the remaining vesting period. In addition, certain individuals have accelerated vesting associated with the completion of an IPO which will result in           equity awards vesting and recognition of stock-based compensation expense of           .</w:t>
      </w:r>
    </w:p>
    <w:p>
      <w:pPr>
        <w:spacing w:after="0" w:line="2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93" w:lineRule="exact"/>
        <w:rPr>
          <w:sz w:val="20"/>
          <w:szCs w:val="20"/>
          <w:color w:val="auto"/>
        </w:rPr>
      </w:pPr>
    </w:p>
    <w:p>
      <w:pPr>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earned on our investments and cash and cash equivalents, research and development tax credits from the Australian government’s tax incentive program, and realized and unrealized foreign currency gains and losses.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Provision for Income Taxes</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Provision for income taxes consists of United States federal and state income taxes in jurisdictions in which we conduct business and foreign income taxes related to our Australian subsidiary. The provision for income taxes is based on our taxable income. Our loss before income taxes is adjusted for permanent and temporary tax differences, primarily related to capitalized non-U.S. research and development expenses, resulting in taxable income or loss. We recorded a full valuation allowance of our U.S. deferred tax asset position as of December 31, 2025 and 2024 as we believe it was more likely than not that we would not be able to utilize our deferred tax assets.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2025 and 2024</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6"/>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1"/>
                <w:szCs w:val="11"/>
                <w:color w:val="auto"/>
              </w:rPr>
            </w:pPr>
          </w:p>
        </w:tc>
        <w:tc>
          <w:tcPr>
            <w:tcW w:w="6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gridSpan w:val="3"/>
          </w:tcPr>
          <w:p>
            <w:pPr>
              <w:jc w:val="right"/>
              <w:ind w:right="10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3"/>
          </w:tcPr>
          <w:p>
            <w:pPr>
              <w:jc w:val="right"/>
              <w:ind w:right="7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0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Research and development (including stock-based compensation expense of $2.3 million and $0.7 million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for 2025 and 2024, respectively)</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$ 66,313</w:t>
            </w:r>
          </w:p>
        </w:tc>
        <w:tc>
          <w:tcPr>
            <w:tcW w:w="20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$ 25,070</w:t>
            </w:r>
          </w:p>
        </w:tc>
        <w:tc>
          <w:tcPr>
            <w:tcW w:w="12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$ 41,243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0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General and administrative (including stock-based compensation expense of $4.6 million and</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$15.2 million for 2025 and 2024, respectively)</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20,981</w:t>
            </w:r>
          </w:p>
        </w:tc>
        <w:tc>
          <w:tcPr>
            <w:tcW w:w="2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27,346</w:t>
            </w:r>
          </w:p>
        </w:tc>
        <w:tc>
          <w:tcPr>
            <w:tcW w:w="1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(6,365)</w:t>
            </w:r>
          </w:p>
        </w:tc>
        <w:tc>
          <w:tcPr>
            <w:tcW w:w="0" w:type="dxa"/>
            <w:vAlign w:val="bottom"/>
          </w:tcPr>
          <w:p>
            <w:pPr>
              <w:spacing w:after="0"/>
              <w:rPr>
                <w:sz w:val="1"/>
                <w:szCs w:val="1"/>
                <w:color w:val="auto"/>
              </w:rPr>
            </w:pPr>
          </w:p>
        </w:tc>
      </w:tr>
      <w:tr>
        <w:trPr>
          <w:trHeight w:val="170"/>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87,294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52,416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34,878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20" w:type="dxa"/>
            <w:vAlign w:val="bottom"/>
            <w:gridSpan w:val="5"/>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(87,294)</w:t>
            </w:r>
          </w:p>
        </w:tc>
        <w:tc>
          <w:tcPr>
            <w:tcW w:w="6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(52,416)</w:t>
            </w: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(34,878)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 net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13,186</w:t>
            </w:r>
          </w:p>
        </w:tc>
        <w:tc>
          <w:tcPr>
            <w:tcW w:w="2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13,186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820" w:type="dxa"/>
            <w:vAlign w:val="bottom"/>
            <w:gridSpan w:val="5"/>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rPr>
              <w:t>(74,108)</w:t>
            </w:r>
          </w:p>
        </w:tc>
        <w:tc>
          <w:tcPr>
            <w:tcW w:w="6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(46,879)</w:t>
            </w: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(27,229)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100" w:type="dxa"/>
            <w:vAlign w:val="bottom"/>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820" w:type="dxa"/>
            <w:vAlign w:val="bottom"/>
            <w:gridSpan w:val="5"/>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(74,881)</w:t>
            </w:r>
          </w:p>
        </w:tc>
        <w:tc>
          <w:tcPr>
            <w:tcW w:w="6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(46,879)</w:t>
            </w: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(28,002)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4"/>
              </w:rPr>
              <w:t>$ Change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80" w:type="dxa"/>
            <w:vAlign w:val="bottom"/>
            <w:gridSpan w:val="3"/>
          </w:tcPr>
          <w:p>
            <w:pPr>
              <w:spacing w:after="0"/>
              <w:rPr>
                <w:sz w:val="9"/>
                <w:szCs w:val="9"/>
                <w:color w:val="auto"/>
              </w:rPr>
            </w:pPr>
          </w:p>
        </w:tc>
        <w:tc>
          <w:tcPr>
            <w:tcW w:w="440" w:type="dxa"/>
            <w:vAlign w:val="bottom"/>
            <w:gridSpan w:val="2"/>
          </w:tcPr>
          <w:p>
            <w:pPr>
              <w:jc w:val="right"/>
              <w:ind w:right="6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i w:val="1"/>
                <w:iCs w:val="1"/>
                <w:color w:val="auto"/>
              </w:rPr>
              <w:t>Direct costs:</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GlyphAllo</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$25,858</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$ 7,396</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$18,462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GlyphAgo</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Glyph2BLSD</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6,437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6,437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Preclinical and early discovery assets</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7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Indirect costs: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Employee compensation (excluding stock-based compensation)</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12,557</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1,595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research and development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3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66,313</w:t>
            </w:r>
          </w:p>
        </w:tc>
        <w:tc>
          <w:tcPr>
            <w:tcW w:w="220" w:type="dxa"/>
            <w:vAlign w:val="bottom"/>
            <w:gridSpan w:val="2"/>
          </w:tcPr>
          <w:p>
            <w:pPr>
              <w:spacing w:after="0"/>
              <w:rPr>
                <w:sz w:val="14"/>
                <w:szCs w:val="14"/>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25,070</w:t>
            </w:r>
          </w:p>
        </w:tc>
        <w:tc>
          <w:tcPr>
            <w:tcW w:w="220" w:type="dxa"/>
            <w:vAlign w:val="bottom"/>
            <w:gridSpan w:val="2"/>
          </w:tcPr>
          <w:p>
            <w:pPr>
              <w:spacing w:after="0"/>
              <w:rPr>
                <w:sz w:val="14"/>
                <w:szCs w:val="14"/>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41,243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Research and development expenses increased by $41.2 million from $25.1 million for the year ended December 31, 2024 to $66.3 million for the year ended December 31, 2025. The increase in research and development expenses was primarily attributable to:</w:t>
      </w:r>
    </w:p>
    <w:p>
      <w:pPr>
        <w:spacing w:after="0" w:line="51" w:lineRule="exact"/>
        <w:rPr>
          <w:sz w:val="20"/>
          <w:szCs w:val="20"/>
          <w:color w:val="auto"/>
        </w:rPr>
      </w:pPr>
    </w:p>
    <w:p>
      <w:pPr>
        <w:ind w:left="2120" w:right="619" w:hanging="345"/>
        <w:spacing w:after="0" w:line="283" w:lineRule="auto"/>
        <w:tabs>
          <w:tab w:leader="none" w:pos="21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$18.5 million of increased costs associated with our lead program GlyphAllo, which was primarily due to commencing our Phase 2b BUOY-1 trial in July 2025;</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$8.3 million of increased costs associated with our GlyphAgo program, which was primarily due to commencing our Phase 1 trial in July 2025;</w:t>
      </w:r>
    </w:p>
    <w:p>
      <w:pPr>
        <w:spacing w:after="0" w:line="51" w:lineRule="exact"/>
        <w:rPr>
          <w:rFonts w:ascii="Times New Roman" w:cs="Times New Roman" w:eastAsia="Times New Roman" w:hAnsi="Times New Roman"/>
          <w:sz w:val="14"/>
          <w:szCs w:val="14"/>
          <w:color w:val="auto"/>
        </w:rPr>
      </w:pPr>
    </w:p>
    <w:p>
      <w:pPr>
        <w:ind w:left="5540" w:right="279" w:hanging="3765"/>
        <w:spacing w:after="0" w:line="455" w:lineRule="auto"/>
        <w:tabs>
          <w:tab w:leader="none" w:pos="211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 million of increased costs associated with our Glyph2BLSD program, which was nominated as a development candidate in late 2024; 117</w:t>
      </w:r>
    </w:p>
    <w:p>
      <w:pPr>
        <w:sectPr>
          <w:pgSz w:w="11900" w:h="16838" w:orient="portrait"/>
          <w:cols w:equalWidth="0" w:num="1">
            <w:col w:w="10159"/>
          </w:cols>
          <w:pgMar w:left="300" w:top="38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million of increased costs associated with employee compensation primarily due to increased headcount to support our operations;</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million of increased costs associated with stock-based compensation costs primarily due to additional equity grants under our Plan; and</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$0.9 million of increased costs associated with other research and development expenses primarily due to increased facility costs associated with our lab space lease, which commenced in January 2025;</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These increases were partially offset by:</w:t>
      </w:r>
    </w:p>
    <w:p>
      <w:pPr>
        <w:spacing w:after="0" w:line="102" w:lineRule="exact"/>
        <w:rPr>
          <w:sz w:val="20"/>
          <w:szCs w:val="20"/>
          <w:color w:val="auto"/>
        </w:rPr>
      </w:pPr>
    </w:p>
    <w:p>
      <w:pPr>
        <w:ind w:left="2120" w:right="879" w:hanging="345"/>
        <w:spacing w:after="0" w:line="283" w:lineRule="auto"/>
        <w:tabs>
          <w:tab w:leader="none" w:pos="21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of decreased costs associated with preclinical and other early discovery assets as Glyph2BLSD was nominated as a development candidate in late 2024.</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(in thousands):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w:t>
            </w:r>
          </w:p>
        </w:tc>
        <w:tc>
          <w:tcPr>
            <w:tcW w:w="1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4,611</w:t>
            </w:r>
          </w:p>
        </w:tc>
        <w:tc>
          <w:tcPr>
            <w:tcW w:w="2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$ 15,181</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(10,570)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Employee compensation (excluding stock-based compensation)</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Facilities, depreciation, IT, and other</w:t>
            </w: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20,981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27,346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General and administrative expenses decreased by $6.4 million from $27.3 million for the year ended December 31, 2024 to $21.0 million for the year ended December 31, 2025. The decrease in general and administrative expenses was primarily attributable to:</w:t>
      </w:r>
    </w:p>
    <w:p>
      <w:pPr>
        <w:spacing w:after="0" w:line="51" w:lineRule="exact"/>
        <w:rPr>
          <w:sz w:val="20"/>
          <w:szCs w:val="20"/>
          <w:color w:val="auto"/>
        </w:rPr>
      </w:pPr>
    </w:p>
    <w:p>
      <w:pPr>
        <w:ind w:left="2120" w:right="799" w:hanging="345"/>
        <w:spacing w:after="0" w:line="283" w:lineRule="auto"/>
        <w:tabs>
          <w:tab w:leader="none" w:pos="21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$10.6 million of decreased stock-based compensation expense primarily due to a one-time charge recorded during the year ended December 31, 2024 due to accelerated vesting of equity awards related to the closing of our Series B Financing;</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These decreases were partially offset by:</w:t>
      </w:r>
    </w:p>
    <w:p>
      <w:pPr>
        <w:spacing w:after="0" w:line="102" w:lineRule="exact"/>
        <w:rPr>
          <w:sz w:val="20"/>
          <w:szCs w:val="20"/>
          <w:color w:val="auto"/>
        </w:rPr>
      </w:pPr>
    </w:p>
    <w:p>
      <w:pPr>
        <w:ind w:left="2120" w:right="739" w:hanging="345"/>
        <w:spacing w:after="0" w:line="283" w:lineRule="auto"/>
        <w:tabs>
          <w:tab w:leader="none" w:pos="21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 million of increased employee compensation, excluding stock-based compensation due to increased headcount to support our operations;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million of increased facilities, depreciation, IT, and other costs primarily due to increased facility costs associated with our corporate office lease which commenced in December 2024.</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Other income, net increased by $7.6 million from $5.5 million for the year ended December 31, 2024 to $13.2 million for the year ended December 31, 2025. The increase in other income, net was primarily attributed to a $5.8 million increase in interest income on our investments and cash equivalents due to the amount of funds invested in interest bearing accounts and a $1.9 million increase in our research and development tax credit as a result of qualifying research and development spend in Australia.</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3"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The primary source of liquidity for our business prior to our formation was funding by PureTech of the expenses allocated to the Seaport Business. Prior to the Asset Transfer Date, transfers of cash to and from</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PureTech have been reflected in net transfers from PureTech in the statement of cash flows and net parent investment in the statement of convertible preferred stock and stockholders’ deficit. Since the Asset Transfer Date, we have funded our operations with the aggregate gross proceeds of $326.1 million from the Series A and Series B Financings.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cash flows for the period presented (in thousands):</w:t>
      </w:r>
    </w:p>
    <w:p>
      <w:pPr>
        <w:spacing w:after="0" w:line="192"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1"/>
          <w:szCs w:val="11"/>
          <w:b w:val="1"/>
          <w:bCs w:val="1"/>
          <w:color w:val="auto"/>
        </w:rPr>
        <w:t>Year Ended</w:t>
      </w:r>
    </w:p>
    <w:p>
      <w:pPr>
        <w:jc w:val="center"/>
        <w:ind w:left="7000"/>
        <w:spacing w:after="0" w:line="235" w:lineRule="auto"/>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36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ind w:right="11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544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(77,942)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(29,629)</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4"/>
              </w:rPr>
              <w:t>(184,245)</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(113)</w:t>
            </w:r>
          </w:p>
        </w:tc>
      </w:tr>
      <w:tr>
        <w:trPr>
          <w:trHeight w:val="168"/>
        </w:trPr>
        <w:tc>
          <w:tcPr>
            <w:tcW w:w="20" w:type="dxa"/>
            <w:vAlign w:val="bottom"/>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339,295</w:t>
            </w: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4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w:t>
            </w:r>
            <w:r>
              <w:rPr>
                <w:rFonts w:ascii="Times New Roman" w:cs="Times New Roman" w:eastAsia="Times New Roman" w:hAnsi="Times New Roman"/>
                <w:sz w:val="19"/>
                <w:szCs w:val="19"/>
                <w:color w:val="auto"/>
                <w:vertAlign w:val="superscript"/>
              </w:rPr>
              <w:t>(1)</w:t>
            </w: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4"/>
              </w:rPr>
              <w:t>(263,057)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$ 309,553</w:t>
            </w:r>
          </w:p>
        </w:tc>
        <w:tc>
          <w:tcPr>
            <w:tcW w:w="10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5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7" w:lineRule="exact"/>
        <w:rPr>
          <w:sz w:val="20"/>
          <w:szCs w:val="20"/>
          <w:color w:val="auto"/>
        </w:rPr>
      </w:pPr>
    </w:p>
    <w:p>
      <w:pPr>
        <w:ind w:left="1700" w:right="259" w:hanging="345"/>
        <w:spacing w:after="0" w:line="283" w:lineRule="auto"/>
        <w:tabs>
          <w:tab w:leader="none" w:pos="17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207"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Net Cash Used in Operating Activities</w:t>
      </w:r>
    </w:p>
    <w:p>
      <w:pPr>
        <w:spacing w:after="0" w:line="93"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2025 net cash used in operating activities was $77.9 million, compared to $29.6 million for the year ended December 31, 2024. Cash used in operating activities increased by $48.3 million primarily due to increased operating expenses as we continue to advance our product candidates through preclinical and clinical developments.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93"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Net cash used in investing activities for the year ended December 31, 2025 was $184.2 million, compared to net cash used in investing activities of $0.1 million for the year ended December 31, 2024. Cash used in investing activities increased by $184.1 million due to the purchases and maturities of U.S. treasuries during fiscal year 2025.</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Net Cash (Used In) Provided by Financing Activities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Net cash used in financing activities for the year ended December 31, 2025 was $0.9 million, primarily due to payment of deferred offering costs,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compared to cash provided of $339.3 million for the year ended December 31, 2024. Cash provided by financing activities decreased by $340.2</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million due to the absence of financing transactions in fiscal year 2025. Financing activities during the year ended December 31, 2024 included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$100.1 million of gross proceeds received in April 2024 from our Series A financing and $226.0 million of gross proceeds received in October 2024</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from our Series B financing, partially offset by $0.8 million of issuance cost payments. In addition, PureTech managed our cash and financing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arrangements through April 8, 2024, and financing activities for the year ended December 31, 2024 included $14.0 million of net transfers from</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PureTech.</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93"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2025, we had cash and cash equivalents, and investments of $233.7 million. We expect that our cash and cash equivalents as of December 31, 2025, will be sufficient to fund our operating expenses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capital expenditure requirements through at least 12 months from the date our consolidated financial statements were available to be issued. We believe, based on our current operating plan, that the net proceeds from this offering, together with our existing cash, cash equivalents, and investments will enable us to fund our operations and capital expenditure requirements through          . We have based this estimate on assumptions that may prove to be wrong, and we could exhaust our available capital resources sooner than we expect.</w:t>
      </w:r>
    </w:p>
    <w:p>
      <w:pPr>
        <w:spacing w:after="0" w:line="1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spacing w:after="0" w:line="144"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Our funding requirements and timing and amount of our operating expenditures will depend on many factors, including:</w:t>
      </w:r>
    </w:p>
    <w:p>
      <w:pPr>
        <w:spacing w:after="0" w:line="102" w:lineRule="exact"/>
        <w:rPr>
          <w:sz w:val="20"/>
          <w:szCs w:val="20"/>
          <w:color w:val="auto"/>
        </w:rPr>
      </w:pPr>
    </w:p>
    <w:p>
      <w:pPr>
        <w:ind w:left="2120" w:right="539" w:hanging="345"/>
        <w:spacing w:after="0" w:line="283" w:lineRule="auto"/>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progress, costs, and results of discovery, preclinical development and clinical trials for our current or future product candidates and effectiveness of our Glyph platform;</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trials required for regulatory approval of our current or future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any of our current or future product candidates;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our current or future product candidates;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1" w:lineRule="exact"/>
        <w:rPr>
          <w:rFonts w:ascii="Times New Roman" w:cs="Times New Roman" w:eastAsia="Times New Roman" w:hAnsi="Times New Roman"/>
          <w:sz w:val="14"/>
          <w:szCs w:val="14"/>
          <w:color w:val="auto"/>
        </w:rPr>
      </w:pPr>
    </w:p>
    <w:p>
      <w:pPr>
        <w:ind w:left="2120" w:right="619" w:hanging="345"/>
        <w:spacing w:after="0" w:line="323" w:lineRule="auto"/>
        <w:tabs>
          <w:tab w:leader="none" w:pos="21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28" w:lineRule="exact"/>
        <w:rPr>
          <w:rFonts w:ascii="Times New Roman" w:cs="Times New Roman" w:eastAsia="Times New Roman" w:hAnsi="Times New Roman"/>
          <w:sz w:val="13"/>
          <w:szCs w:val="13"/>
          <w:color w:val="auto"/>
        </w:rPr>
      </w:pPr>
    </w:p>
    <w:p>
      <w:pPr>
        <w:ind w:left="2120" w:right="559" w:hanging="345"/>
        <w:spacing w:after="0" w:line="283" w:lineRule="auto"/>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of our product candidates for which we receive marketing approval;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our product candidates for which we receive marketing approval;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attract, hire, and retain skilled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commercially viable pricing structure and obtain approval for coverage and adequate reimbursement from third-party and government payors;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6"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macroeconomic trends including inflation, tariffs, and fluctuating interest rates;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potential supply chain interruptions or delays;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w:t>
      </w:r>
    </w:p>
    <w:p>
      <w:pPr>
        <w:spacing w:after="0" w:line="17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Commitments</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Asset Transfer Agreement with PureTech</w:t>
      </w:r>
    </w:p>
    <w:p>
      <w:pPr>
        <w:spacing w:after="0" w:line="9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As part of the Asset Transfer Agreement, we have agreed to contingent payments to PureTech Health upon successful development and commercialization of products developed using the Glyph platform. For more information, refer to the subsection titled “Asset Transfer Agreement and Financings” above.</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Monash License Agreement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Under the Monash License Agreement, we have agreed to use reasonable commercial endeavors to (i) develop at least one Licensed Product,</w:t>
      </w:r>
    </w:p>
    <w:p>
      <w:pPr>
        <w:spacing w:after="0" w:line="22" w:lineRule="exact"/>
        <w:rPr>
          <w:sz w:val="20"/>
          <w:szCs w:val="20"/>
          <w:color w:val="auto"/>
        </w:rPr>
      </w:pPr>
    </w:p>
    <w:p>
      <w:pPr>
        <w:ind w:left="1360" w:right="259" w:hanging="5"/>
        <w:spacing w:after="0" w:line="256" w:lineRule="auto"/>
        <w:tabs>
          <w:tab w:leader="none" w:pos="156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w:t>
      </w:r>
    </w:p>
    <w:p>
      <w:pPr>
        <w:spacing w:after="0" w:line="14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639"/>
        <w:spacing w:after="0" w:line="267" w:lineRule="auto"/>
        <w:rPr>
          <w:sz w:val="20"/>
          <w:szCs w:val="20"/>
          <w:color w:val="auto"/>
        </w:rPr>
      </w:pPr>
      <w:r>
        <w:rPr>
          <w:rFonts w:ascii="Times New Roman" w:cs="Times New Roman" w:eastAsia="Times New Roman" w:hAnsi="Times New Roman"/>
          <w:sz w:val="14"/>
          <w:szCs w:val="14"/>
          <w:color w:val="auto"/>
        </w:rPr>
        <w:t>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36"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141"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the first two development milestones for a total of $0.2 million were achieved and paid by PureTech as they occurred prior to our formation, and we have paid the third development milestone of $0.1 million as well as annual maintenance fees. No other milestones have occurred or have been paid under the Monash License Agreement as of December 31, 2025.</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additional information see the section titled “Business—Agreements—Monash License Agreement”, included elsewhere in this prospectus.</w:t>
      </w: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Purchase and Other Obligations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contract research organizations, or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Lease Obligations</w:t>
      </w:r>
    </w:p>
    <w:p>
      <w:pPr>
        <w:spacing w:after="0" w:line="93" w:lineRule="exact"/>
        <w:rPr>
          <w:sz w:val="20"/>
          <w:szCs w:val="20"/>
          <w:color w:val="auto"/>
        </w:rPr>
      </w:pPr>
    </w:p>
    <w:p>
      <w:pPr>
        <w:jc w:val="both"/>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In November 2024, we entered into a lease agreement with a third party for our corporate office space located in Boston, Massachusetts. The lease commenced in December 2024 and has an initial term of approximately six years, expiring in October 2030. The aggregate payments under the full lease total approximately $6.1 million, which will be recognized over the term of the lease.</w:t>
      </w:r>
    </w:p>
    <w:p>
      <w:pPr>
        <w:spacing w:after="0" w:line="136"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December 2024, we entered into a laboratory license with a third party for lab space located in Boston, Massachusetts. The license commenced in January 2025 and is for an initial term of 24 months from the commencement date. The aggregate payments under the full license total approximately $1.2 million.</w:t>
      </w:r>
    </w:p>
    <w:p>
      <w:pPr>
        <w:spacing w:after="0" w:line="136"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For additional information on our contractual obligation and commitments please see Note 8—Monash License Agreement and Note 14— Commitments and Contingencies, to our consolidated financial statements included elsewhere in this prospectus.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Accounting Estimates and Significant Judgments</w:t>
      </w:r>
    </w:p>
    <w:p>
      <w:pPr>
        <w:spacing w:after="0" w:line="93" w:lineRule="exact"/>
        <w:rPr>
          <w:sz w:val="20"/>
          <w:szCs w:val="20"/>
          <w:color w:val="auto"/>
        </w:rPr>
      </w:pPr>
    </w:p>
    <w:p>
      <w:pPr>
        <w:ind w:left="1360" w:right="379" w:firstLine="343"/>
        <w:spacing w:after="0" w:line="256"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Note 2 to our consolidated financial statements included elsewhere in this prospectus, we believe that the following accounting policies are those most critical to the judgments and estimates used in the preparation of our consolidated financial statements.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Accrued Research and Development Expenses</w:t>
      </w:r>
    </w:p>
    <w:p>
      <w:pPr>
        <w:spacing w:after="0" w:line="93" w:lineRule="exact"/>
        <w:rPr>
          <w:sz w:val="20"/>
          <w:szCs w:val="20"/>
          <w:color w:val="auto"/>
        </w:rPr>
      </w:pPr>
    </w:p>
    <w:p>
      <w:pPr>
        <w:ind w:left="1360" w:right="299" w:firstLine="343"/>
        <w:spacing w:after="0" w:line="277" w:lineRule="auto"/>
        <w:rPr>
          <w:sz w:val="20"/>
          <w:szCs w:val="20"/>
          <w:color w:val="auto"/>
        </w:rPr>
      </w:pPr>
      <w:r>
        <w:rPr>
          <w:rFonts w:ascii="Times New Roman" w:cs="Times New Roman" w:eastAsia="Times New Roman" w:hAnsi="Times New Roman"/>
          <w:sz w:val="13"/>
          <w:szCs w:val="13"/>
          <w:color w:val="auto"/>
        </w:rPr>
        <w:t>As part of the process of preparing our consolidated financial statements, we are required to estimate our accrued research and development expenses as of each balance sheet date. In accruing service fees, we estimate the time period over which services will be performed and the level of effort to be expended in each period.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our service providers and make adjustments if necessary. The majority of our service providers invoice us monthly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we record a prepaid expense.</w:t>
      </w:r>
    </w:p>
    <w:p>
      <w:pPr>
        <w:spacing w:after="0" w:line="134"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Stock-based compensation expense represents the cost of the grant date fair value of equity awards recognized that are expected to vest over the requisite service period of the awards, which is usually the vesting period of the respective award. For stock-based awards with service-based vesting conditions, we recognize compensation expense on a straight-line basis. For stock-based awards with performance-based vesting conditions, we recognize compensation expense over the requisite service period using the accelerated attribution method, commencing when achievement of the performance condition becomes probable. Subsequent to our formation and the Asset Transfer, we estimated the fair value of stock option awards using the Black-Scholes option pricing model. Estimating the fair value of equity awards as of the grant date using valuation models, such as the Black-Scholes option pricing model, is affected by assumptions regarding a number of variables, including the risk-free interest rate, the expected stock price volatility, the expected term of stock options, the expected dividend yield and the fair value of the underlying common stock on the date of grant. These inputs are subjective and generally require significant analysis and judgment to develop. Forfeitures are accounted for as they occur. Changes in the assumptions can materially affect the fair value and ultimately how much stock-based compensation expense is recognized. The fair value of time-vesting restricted stock unit awards is equal to the common stock price on the date of grant.</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stock-based compensation expense we recognized in our financial statements prior to our formation and the Asset Transfer Date, and separate from our 2024 Plan, has been determined based on the fair value of the underlying award as determined by PureTech, the total expense calculated for the period under GAAP, and the relative amount allocated to Seaport associated with each employee. The assumptions used in the Black-Scholes option pricing model for these awards were those of PureTech, including the fair value of PureTech’s common stock, expected volatility, expected term, expected dividend yield, and risk-free interest rates as of the grant date. Seaport employees continued to vest in their PureTech equity awards up until the completion of our Series B Financing in October 2024 at which time PureTech no longer maintained a controlling interest.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Determination of the Fair Value of Common Stock</w:t>
      </w:r>
    </w:p>
    <w:p>
      <w:pPr>
        <w:spacing w:after="0" w:line="93"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As there has been no public market for our common stock subsequent to the Asset Transfer and to date, the estimated fair value of our common stock has been determined by our Board ,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4"/>
          <w:szCs w:val="14"/>
          <w:i w:val="1"/>
          <w:iCs w:val="1"/>
          <w:color w:val="auto"/>
        </w:rPr>
        <w:t>Valuation of Privately-Held-Company Equity Securities Issued as Compensation</w:t>
      </w:r>
      <w:r>
        <w:rPr>
          <w:rFonts w:ascii="Times New Roman" w:cs="Times New Roman" w:eastAsia="Times New Roman" w:hAnsi="Times New Roman"/>
          <w:sz w:val="14"/>
          <w:szCs w:val="14"/>
          <w:color w:val="auto"/>
        </w:rPr>
        <w:t>. Our common stock valuation was prepared using a market approach to estimate our enterprise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and either an option pricing method, OPM, or a hybrid method to allocate value to the common stock.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The hybrid method is a probability-weighed expected return method, or PWERM, where the equity value in one or more of the scenarios is calculated using an OPM. The PWERM is a scenario-based methodology that estimates the fair value of common stock based upon an analysis of the future value of our common stock, assuming various outcomes. The value of a share of common stock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each case, a discount for lack of marketability of the common stock is then applied to arrive at an indication of value for the common stock.</w:t>
      </w:r>
    </w:p>
    <w:p>
      <w:pPr>
        <w:spacing w:after="0" w:line="154"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These third-party valuations were performed at various dates, which resulted in valuations of our common stock of $2.35 per share as of October 18, 2024, $2.53 per share as of July 16, 2025 and $3.28 per share as of January 14, 2026. Given the absence of a public trading market, our Board, with input from management, considered the results of these third-party valuations in addition to numerous objective and subjective factors to determine the fair value of common stock. The factors included, but were not limited to:</w:t>
      </w:r>
    </w:p>
    <w:p>
      <w:pPr>
        <w:spacing w:after="0" w:line="67" w:lineRule="exact"/>
        <w:rPr>
          <w:sz w:val="20"/>
          <w:szCs w:val="20"/>
          <w:color w:val="auto"/>
        </w:rPr>
      </w:pPr>
    </w:p>
    <w:p>
      <w:pPr>
        <w:ind w:left="2120" w:right="579" w:hanging="345"/>
        <w:spacing w:after="0" w:line="283" w:lineRule="auto"/>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at which we sold convertible preferred stock to new and existing investors and the rights and preferences of the convertible preferred stock relative to our common stock at the time of each grant;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future financings;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of our research and development efforts, including the status of clinical development for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liquidity of our equity as a private company;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stage of development and business strategy and the material risks related to our business and industry;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achievement of enterprise milestones, including entering into license agreements;</w:t>
      </w:r>
    </w:p>
    <w:p>
      <w:pPr>
        <w:spacing w:after="0" w:line="10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publicly traded companies in the life sciences and biotechnology sectors, as well as recently completed mergers and acquisitions of peer companies;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external market conditions affecting the biotechnology industry and trends within the biotechnology industry;</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achieving a liquidity event for the holders of our convertible preferred stock and holders of our common stock, such as an initial public offering, or a sale of our company, given prevailing market conditions;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6"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analysis of initial public offerings and the market performance of similar companies in the biopharmaceutical industry.</w:t>
      </w:r>
    </w:p>
    <w:p>
      <w:pPr>
        <w:spacing w:after="0" w:line="175"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Once a public trading market for our common stock has been established in connection with the completion of this offering, it will no longer be necessary for our Board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43" w:lineRule="exact"/>
        <w:rPr>
          <w:sz w:val="20"/>
          <w:szCs w:val="20"/>
          <w:color w:val="auto"/>
        </w:rPr>
      </w:pPr>
    </w:p>
    <w:p>
      <w:pPr>
        <w:ind w:left="1360" w:right="519" w:firstLine="343"/>
        <w:spacing w:after="0" w:line="323" w:lineRule="auto"/>
        <w:rPr>
          <w:sz w:val="20"/>
          <w:szCs w:val="20"/>
          <w:color w:val="auto"/>
        </w:rPr>
      </w:pPr>
      <w:r>
        <w:rPr>
          <w:rFonts w:ascii="Times New Roman" w:cs="Times New Roman" w:eastAsia="Times New Roman" w:hAnsi="Times New Roman"/>
          <w:sz w:val="13"/>
          <w:szCs w:val="13"/>
          <w:color w:val="auto"/>
        </w:rPr>
        <w:t>The following table summarizes by grant date the number of shares subject to awards granted under our equity incentive plan from January 1, 2025 through the date of this prospectus, the per share exercise price of the awards and weighted average grant date fair value on each grant date:</w:t>
      </w:r>
    </w:p>
    <w:p>
      <w:pPr>
        <w:spacing w:after="0" w:line="108"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6"/>
        </w:trPr>
        <w:tc>
          <w:tcPr>
            <w:tcW w:w="5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8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Grant Date</w:t>
            </w:r>
          </w:p>
        </w:tc>
        <w:tc>
          <w:tcPr>
            <w:tcW w:w="4280" w:type="dxa"/>
            <w:vAlign w:val="bottom"/>
            <w:vMerge w:val="restart"/>
          </w:tcPr>
          <w:p>
            <w:pPr>
              <w:spacing w:after="0"/>
              <w:rPr>
                <w:sz w:val="10"/>
                <w:szCs w:val="10"/>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Type of Award</w:t>
            </w: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Subject to</w:t>
            </w:r>
          </w:p>
        </w:tc>
        <w:tc>
          <w:tcPr>
            <w:tcW w:w="360" w:type="dxa"/>
            <w:vAlign w:val="bottom"/>
          </w:tcPr>
          <w:p>
            <w:pPr>
              <w:spacing w:after="0"/>
              <w:rPr>
                <w:sz w:val="10"/>
                <w:szCs w:val="10"/>
                <w:color w:val="auto"/>
              </w:rPr>
            </w:pPr>
          </w:p>
        </w:tc>
        <w:tc>
          <w:tcPr>
            <w:tcW w:w="4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360" w:type="dxa"/>
            <w:vAlign w:val="bottom"/>
          </w:tcPr>
          <w:p>
            <w:pPr>
              <w:spacing w:after="0"/>
              <w:rPr>
                <w:sz w:val="10"/>
                <w:szCs w:val="10"/>
                <w:color w:val="auto"/>
              </w:rPr>
            </w:pPr>
          </w:p>
        </w:tc>
        <w:tc>
          <w:tcPr>
            <w:tcW w:w="800" w:type="dxa"/>
            <w:vAlign w:val="bottom"/>
            <w:gridSpan w:val="3"/>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Average Grant</w:t>
            </w:r>
          </w:p>
        </w:tc>
        <w:tc>
          <w:tcPr>
            <w:tcW w:w="0" w:type="dxa"/>
            <w:vAlign w:val="bottom"/>
          </w:tcPr>
          <w:p>
            <w:pPr>
              <w:spacing w:after="0"/>
              <w:rPr>
                <w:sz w:val="1"/>
                <w:szCs w:val="1"/>
                <w:color w:val="auto"/>
              </w:rPr>
            </w:pPr>
          </w:p>
        </w:tc>
      </w:tr>
      <w:tr>
        <w:trPr>
          <w:trHeight w:val="144"/>
        </w:trPr>
        <w:tc>
          <w:tcPr>
            <w:tcW w:w="540" w:type="dxa"/>
            <w:vAlign w:val="bottom"/>
            <w:tcBorders>
              <w:bottom w:val="single" w:sz="8" w:color="auto"/>
            </w:tcBorders>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Award</w:t>
            </w:r>
          </w:p>
        </w:tc>
        <w:tc>
          <w:tcPr>
            <w:tcW w:w="360" w:type="dxa"/>
            <w:vAlign w:val="bottom"/>
          </w:tcPr>
          <w:p>
            <w:pPr>
              <w:spacing w:after="0"/>
              <w:rPr>
                <w:sz w:val="12"/>
                <w:szCs w:val="12"/>
                <w:color w:val="auto"/>
              </w:rPr>
            </w:pPr>
          </w:p>
        </w:tc>
        <w:tc>
          <w:tcPr>
            <w:tcW w:w="48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of Award</w:t>
            </w:r>
          </w:p>
        </w:tc>
        <w:tc>
          <w:tcPr>
            <w:tcW w:w="1160" w:type="dxa"/>
            <w:vAlign w:val="bottom"/>
            <w:gridSpan w:val="4"/>
          </w:tcPr>
          <w:p>
            <w:pPr>
              <w:ind w:left="360"/>
              <w:spacing w:after="0" w:line="124"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49"/>
        </w:trPr>
        <w:tc>
          <w:tcPr>
            <w:tcW w:w="48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26, 2025</w:t>
            </w:r>
          </w:p>
        </w:tc>
        <w:tc>
          <w:tcPr>
            <w:tcW w:w="780" w:type="dxa"/>
            <w:vAlign w:val="bottom"/>
            <w:tcBorders>
              <w:top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6"/>
              </w:rPr>
              <w:t>Stock Option</w:t>
            </w:r>
          </w:p>
        </w:tc>
        <w:tc>
          <w:tcPr>
            <w:tcW w:w="3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270,940</w:t>
            </w: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25, 2025</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641,500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 2025</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241,966</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25, 2025</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391,000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15, 2025</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11, 2025</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482,000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7, 2025</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415,000</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January 27, 2026</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909,325</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24, 2026</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2,114,185</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In connection with this offering, we plan to grant equity awards to executive officers and directors. For additional information, see the section titled “Executive Compensation—Narrative Disclosure to the 2025 Summary Compensation Table—Equity Incentive Compensation”, “Executive Compensation—Employee Benefit and Equity Compensation Plans” and “Director Compensation”.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Transition From PureTech and Costs to Operate as an Independent Company</w:t>
      </w:r>
    </w:p>
    <w:p>
      <w:pPr>
        <w:spacing w:after="0" w:line="93" w:lineRule="exact"/>
        <w:rPr>
          <w:sz w:val="20"/>
          <w:szCs w:val="20"/>
          <w:color w:val="auto"/>
        </w:rPr>
      </w:pPr>
    </w:p>
    <w:p>
      <w:pPr>
        <w:ind w:left="1360" w:right="479" w:firstLine="343"/>
        <w:spacing w:after="0" w:line="258" w:lineRule="auto"/>
        <w:rPr>
          <w:sz w:val="20"/>
          <w:szCs w:val="20"/>
          <w:color w:val="auto"/>
        </w:rPr>
      </w:pPr>
      <w:r>
        <w:rPr>
          <w:rFonts w:ascii="Times New Roman" w:cs="Times New Roman" w:eastAsia="Times New Roman" w:hAnsi="Times New Roman"/>
          <w:sz w:val="14"/>
          <w:szCs w:val="14"/>
          <w:color w:val="auto"/>
        </w:rPr>
        <w:t>Prior to our formation and the Asset Transfer, the financial statements reflect our operating results and financial position as our business was operated by PureTech, rather than as an independent company. We may incur additional ongoing operating expenses to operate as an independent company. These costs will include the cost of various corporate functions, incremental information technology-related costs and incremental costs to operate standalone accounting, legal and other administrative functions. We may also incur non-recurring expenses and non-recurring capital expenditures.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Transactions with Related Parties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Following the Asset Transfer Date, we began incurring additional operating expenses necessary to operate as an independent company, including various corporate functions and incremental costs to operate standalone accounting, legal, and other administrative functions. These functions were provided to us from PureTech prior to the Asset Transfer Date and continued under the Transition Services Agreement, or the TSA, that we entered into with PureTech. Substantially all of these activities will be performed using our own resources at this time. The terms of the TSA are discussed in the section captioned “Certain Relationships and Related Person Transactions.” On April 2, 2026, we and PureTech mutually agreed to terminate the TSA in accordance with its terms.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6"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of 1933, as amended, or the Securities Act, as modified by the Jumpstart Our Business Startups Act, or the JOBS Act. As such, we are eligible to take advantage of certain exemptions from various reporting requirements that are applicable to other public companies that are not emerging growth companies including:</w:t>
      </w:r>
    </w:p>
    <w:p>
      <w:pPr>
        <w:spacing w:after="0" w:line="62" w:lineRule="exact"/>
        <w:rPr>
          <w:sz w:val="20"/>
          <w:szCs w:val="20"/>
          <w:color w:val="auto"/>
        </w:rPr>
      </w:pPr>
    </w:p>
    <w:p>
      <w:pPr>
        <w:ind w:left="2120" w:right="239" w:hanging="345"/>
        <w:spacing w:after="0" w:line="267" w:lineRule="auto"/>
        <w:tabs>
          <w:tab w:leader="none" w:pos="21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provide only two years of audited financial statements in addition to any required unaudited interim financial statements and a correspondingly reduced “Management’s Discussion and Analysis of Financial Condition and Results of Operations” disclosure in this prospectus;</w:t>
      </w:r>
    </w:p>
    <w:p>
      <w:pPr>
        <w:spacing w:after="0" w:line="6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 pursuant to Section 404 of the Sarbanes-Oxley 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w:t>
      </w:r>
    </w:p>
    <w:p>
      <w:pPr>
        <w:spacing w:after="0" w:line="10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shareholder approval of any golden parachute payments not previously approved; and</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compliance with the requirements of the Public Company Accounting Oversight Board regarding the communication of critical audit matters in the auditor’s report on the financial statements.</w:t>
      </w:r>
    </w:p>
    <w:p>
      <w:pPr>
        <w:spacing w:after="0" w:line="12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as amended, or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14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(i) the last day of the fiscal year following the fifth anniversary of the completion of this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4"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6"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299" w:firstLine="343"/>
        <w:spacing w:after="0" w:line="238" w:lineRule="auto"/>
        <w:rPr>
          <w:sz w:val="20"/>
          <w:szCs w:val="20"/>
          <w:color w:val="auto"/>
        </w:rPr>
      </w:pPr>
      <w:r>
        <w:rPr>
          <w:rFonts w:ascii="Times New Roman" w:cs="Times New Roman" w:eastAsia="Times New Roman" w:hAnsi="Times New Roman"/>
          <w:sz w:val="14"/>
          <w:szCs w:val="14"/>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platform to overcome those limitations and invent innovative oral therapies. Glyph is a lymphatic-targeting prodrug technology which is designed to bypass first-pass metabolism and thereby enhance a drug’s oral bioavailability and reduce side effects. This process, which we call “Glyphing,” also creates new composition of matter intellectual property. Our experienced team of industry leaders has a proven track record in neuropsychiatry drug discovery and development and delivering successful business outcomes. We aim to develop novel, leading treatment options that will make a significant impact for patients and their families.</w:t>
      </w:r>
    </w:p>
    <w:p>
      <w:pPr>
        <w:spacing w:after="0" w:line="157" w:lineRule="exact"/>
        <w:rPr>
          <w:sz w:val="20"/>
          <w:szCs w:val="20"/>
          <w:color w:val="auto"/>
        </w:rPr>
      </w:pPr>
    </w:p>
    <w:p>
      <w:pPr>
        <w:ind w:left="1360" w:right="239" w:firstLine="343"/>
        <w:spacing w:after="0" w:line="238" w:lineRule="auto"/>
        <w:rPr>
          <w:sz w:val="20"/>
          <w:szCs w:val="20"/>
          <w:color w:val="auto"/>
        </w:rPr>
      </w:pPr>
      <w:r>
        <w:rPr>
          <w:rFonts w:ascii="Times New Roman" w:cs="Times New Roman" w:eastAsia="Times New Roman" w:hAnsi="Times New Roman"/>
          <w:sz w:val="14"/>
          <w:szCs w:val="14"/>
          <w:color w:val="auto"/>
        </w:rPr>
        <w:t>We are leveraging our proprietary Glyph platform to advance a pipeline of novel therapies to address the significant unmet needs in depression and anxiety. Our lead product candidate, GlyphAllo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(SPT-300 or Glyph Allopregnanolone), is a novel, Glyphed oral prodrug of allopregnanolone, an endogenous molecule that has been clinically validated in third-party trials for the treatment of postpartum depression, or PPD, a form of major depressive disorder, or MDD, that shares symptomatology with MDD, as a rapidly acting antidepressant with anxiolytic and sleep-promoting effects.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We have initiated the Phase 2b BUOY-1 trial in patients with MDD with or without anxious distress and anticipate topline data in the first half of 2027.</w:t>
      </w:r>
    </w:p>
    <w:p>
      <w:pPr>
        <w:spacing w:after="0" w:line="157" w:lineRule="exact"/>
        <w:rPr>
          <w:sz w:val="20"/>
          <w:szCs w:val="20"/>
          <w:color w:val="auto"/>
        </w:rPr>
      </w:pPr>
    </w:p>
    <w:p>
      <w:pPr>
        <w:ind w:left="1360" w:right="219" w:firstLine="343"/>
        <w:spacing w:after="0" w:line="243" w:lineRule="auto"/>
        <w:rPr>
          <w:sz w:val="20"/>
          <w:szCs w:val="20"/>
          <w:color w:val="auto"/>
        </w:rPr>
      </w:pPr>
      <w:r>
        <w:rPr>
          <w:rFonts w:ascii="Times New Roman" w:cs="Times New Roman" w:eastAsia="Times New Roman" w:hAnsi="Times New Roman"/>
          <w:sz w:val="14"/>
          <w:szCs w:val="14"/>
          <w:color w:val="auto"/>
        </w:rPr>
        <w:t>Our second product candidate, GlyphAgo</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(SPT-320 or Glyph Agomelatine), is a novel, Glyphed oral prodrug of agomelatine, a clinically validated anxiolytic and antidepressant that is approved for the treatment of generalized anxiety disorder, or GAD, in Australia and MDD in Australia and the European Union, or EU. Due to extensive liver first-pass metabolism, agomelatine can cause dose-dependent liver enzyme elevations, and its use has been limited by the need for frequent liver function testing. Additionally, an oral synthetic analog of allopregnanolone, zuranolone, demonstrated a rapid antidepressant effect that deepened while patients were on drug and met the primary endpoint in five of the six trials in MDD. GlyphAgo is designed to overcome this limitation by avoiding first-pass metabolism and achieving therapeutic exposures of agomelatine while reducing or eliminating the need for liver monitoring. In April 2026, we reported topline data from the single-ascending dose, or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adverse events, or AEs, were observed. We plan to initiate a Phase 2a proof-of-pharmacology trial designed to evaluate the potential sleep benefit of GlyphAgo in patients with GAD and sleep disturbance, with topline data expected in early 2028 and, in parallel, a Phase 2b trial designed to evaluate the efficacy and safety of GlyphAgo in patients with GAD, with topline data expected by the end of 2028.</w:t>
      </w:r>
    </w:p>
    <w:p>
      <w:pPr>
        <w:spacing w:after="0" w:line="160" w:lineRule="exact"/>
        <w:rPr>
          <w:sz w:val="20"/>
          <w:szCs w:val="20"/>
          <w:color w:val="auto"/>
        </w:rPr>
      </w:pPr>
    </w:p>
    <w:p>
      <w:pPr>
        <w:jc w:val="both"/>
        <w:ind w:left="1360" w:right="279" w:firstLine="343"/>
        <w:spacing w:after="0" w:line="221" w:lineRule="auto"/>
        <w:rPr>
          <w:sz w:val="20"/>
          <w:szCs w:val="20"/>
          <w:color w:val="auto"/>
        </w:rPr>
      </w:pPr>
      <w:r>
        <w:rPr>
          <w:rFonts w:ascii="Times New Roman" w:cs="Times New Roman" w:eastAsia="Times New Roman" w:hAnsi="Times New Roman"/>
          <w:sz w:val="14"/>
          <w:szCs w:val="14"/>
          <w:color w:val="auto"/>
        </w:rPr>
        <w:t>We are also advancing Glyph2BLSD</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(SPT-348 or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5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Globally, over one billion people are living with mental illness as of 2021, comparable in prevalence to obesity or hypertension. According to the World Health Organization, as of 2021, depression affects approximately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8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332 million people worldwide and anxiety affects approximately 359 million people worldwide, and there is a significant need for novel treatment options. Currently approved drugs for MDD and GAD have significant limitations, including modest efficacy, slow onset of action, and unfavorable side effects. Advancement of novel therapies has been limited by a lack of understanding of disease pathophysiology, poor drug-like properties, and challenges in clinical trial design and execution leading to high clinical development failure rates.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Differentiated Approach</w:t>
      </w:r>
    </w:p>
    <w:p>
      <w:pPr>
        <w:spacing w:after="0" w:line="93"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We are uniquely positioned to overcome the challenges of developing medicines for depression, anxiety, and other neuropsychiatric disorders by leveraging our differentiated, three-pillar approach:</w:t>
      </w:r>
    </w:p>
    <w:p>
      <w:pPr>
        <w:spacing w:after="0" w:line="123"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Identify clinically validated mechanisms held back by issues that can be addressed by our proprietary Glyph platform. </w:t>
      </w:r>
      <w:r>
        <w:rPr>
          <w:rFonts w:ascii="Times New Roman" w:cs="Times New Roman" w:eastAsia="Times New Roman" w:hAnsi="Times New Roman"/>
          <w:sz w:val="14"/>
          <w:szCs w:val="14"/>
          <w:color w:val="auto"/>
        </w:rPr>
        <w:t>We select our product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candidates based on well-established clinical data, defined as demonstrated meaningful benefits compared to placebo in multiple randomized, placebo-controlled clinical trials in a large number of patients. We identify drugs matching this profile where clinical and commercial potential have been limited by high first-pass metabolism, low bioavailability, and/or side effects. We advance candidates that have the potential to be novel medicines and to impact a large number of patients.</w:t>
      </w:r>
    </w:p>
    <w:p>
      <w:pPr>
        <w:spacing w:after="0" w:line="141" w:lineRule="exact"/>
        <w:rPr>
          <w:sz w:val="20"/>
          <w:szCs w:val="20"/>
          <w:color w:val="auto"/>
        </w:rPr>
      </w:pPr>
    </w:p>
    <w:p>
      <w:pPr>
        <w:ind w:left="1360" w:right="399" w:firstLine="343"/>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Create novel medicines with strong intellectual property using Glyph</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Glyph is our proprietary technology platform which uses the lymphatic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system to enable and enhance the oral administration of drugs. Typically, non-Glyphed oral small molecules undergo first-pass metabolism, where the concentration of drug is significantly reduced by metabolic enzymes in the liver prior to systemic circulation. First-pass metabolism can lead to low bioavailability (i.e., reduced concentration of active drug available to target organs) and/or side effects, including liver enzyme elevations or hepatotoxicity. Glyph leverages a separate absorption path taken by dietary fats. A Glyphed molecule uses this alternative route via the intestinal lymphatic system to bypass first-pass metabolism and transit directly into systemic circulation. The Glyph platform has the potential to be widely applied to many therapeutic molecules that have high first-pass metabolism. For each program, we use Glyph to create unique sets of prodrugs with differentiated profiles, and evaluate these prodrugs as potential candidates to advance into preclinical and clinical studies. Glyph has been applied to create novel product candidates for our pipeline resulting in new intellectual property, including composition of matter patents.</w:t>
      </w:r>
    </w:p>
    <w:p>
      <w:pPr>
        <w:spacing w:after="0" w:line="2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Benefits of Our Proprietary Glyph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135255</wp:posOffset>
            </wp:positionV>
            <wp:extent cx="4051935" cy="2082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5193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5"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39" w:firstLine="343"/>
        <w:spacing w:after="0" w:line="238" w:lineRule="auto"/>
        <w:rPr>
          <w:sz w:val="20"/>
          <w:szCs w:val="20"/>
          <w:color w:val="auto"/>
        </w:rPr>
      </w:pPr>
      <w:r>
        <w:rPr>
          <w:rFonts w:ascii="Times New Roman" w:cs="Times New Roman" w:eastAsia="Times New Roman" w:hAnsi="Times New Roman"/>
          <w:sz w:val="14"/>
          <w:szCs w:val="14"/>
          <w:b w:val="1"/>
          <w:bCs w:val="1"/>
          <w:i w:val="1"/>
          <w:iCs w:val="1"/>
          <w:color w:val="auto"/>
        </w:rPr>
        <w:t>Apply our team’s expertise to optimize the design and execution of clinical trials and drive successful business outcomes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team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comprised of industry leaders with a proven track record of building successful companies that have developed and commercialized innovative neuropsychiatric medicines. This includes Zyprexa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Cymbalta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Latuda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Zurzuvae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Cobenfy</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(xanomeline-trospium or KarXT), which was approved by the FDA in September 2024 and is the first new class of medicines in over 30 years for patients living with schizophrenia. Leveraging our team’s track record of success in neuropsychiatry discovery and clinical development is important as we select new product candidates and as we implement key design elements in our clinical trials to optimize treatment effect and duration and reduce placebo response. In parallel, we apply our deep experience in building successful companies to establish clear goals, drive strategic decision-making, and maintain financial discipline. Drawing on our track record of success in neuropsychiatry, we aim to drive successful outcomes for patients and shareholders.</w:t>
      </w:r>
    </w:p>
    <w:p>
      <w:pPr>
        <w:spacing w:after="0" w:line="2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93"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We are developing a pipeline of novel potential treatments for neuropsychiatric disorders with significant unmet need. We retain exclusive, worldwide development and commercialization rights to all of our product candidates and discovery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102235</wp:posOffset>
            </wp:positionV>
            <wp:extent cx="4051935" cy="13417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5193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Glyph aims to unlock the therapeutic potential of drugs in CNS and beyond. In addition to our three lead candidates, we have robust discovery programs and multiple pipeline programs underway.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GlyphAllo: Potential Differentiated Therapy for MDD</w:t>
      </w:r>
    </w:p>
    <w:p>
      <w:pPr>
        <w:spacing w:after="0" w:line="24" w:lineRule="exact"/>
        <w:rPr>
          <w:sz w:val="20"/>
          <w:szCs w:val="20"/>
          <w:color w:val="auto"/>
        </w:rPr>
      </w:pPr>
    </w:p>
    <w:p>
      <w:pPr>
        <w:jc w:val="both"/>
        <w:ind w:left="1360" w:right="539" w:firstLine="343"/>
        <w:spacing w:after="0" w:line="250" w:lineRule="auto"/>
        <w:rPr>
          <w:sz w:val="20"/>
          <w:szCs w:val="20"/>
          <w:color w:val="auto"/>
        </w:rPr>
      </w:pPr>
      <w:r>
        <w:rPr>
          <w:rFonts w:ascii="Times New Roman" w:cs="Times New Roman" w:eastAsia="Times New Roman" w:hAnsi="Times New Roman"/>
          <w:sz w:val="14"/>
          <w:szCs w:val="14"/>
          <w:color w:val="auto"/>
        </w:rPr>
        <w:t>GlyphAllo is a novel, Glyphed oral prodrug of allopregnanolone, an endogenous neurosteroid and gamma-aminobutyric acid A, or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positive allosteric modulator, or PAM. Allopregnanolone is a naturally occurring molecule that reduces stress, with levels that peak during the third trimester of pregnancy. An intravenous infusion formulation of allopregnanolone was approved for the treatment of PPD, a form of MDD.</w:t>
      </w:r>
    </w:p>
    <w:p>
      <w:pPr>
        <w:spacing w:after="0" w:line="2"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3"/>
          <w:szCs w:val="13"/>
          <w:color w:val="auto"/>
        </w:rPr>
        <w:t>Allopregnanolone has been clinically validated in two third-party trials, which were sponsored by Sage Therapeutics in the United States for the treatment of PPD and powered for statistical significance, as a rapidly acting antidepressant with anxiolytic and sleep-promoting effects. Due to the shared symptomatology between MDD and PPD, we believe data for MDD are relevant from such third-party trials. In each trial, allopregnanolone demonstrated statistically significant results on the primary endpoint of change in baseline at 60 hours in the Hamilton Depression Rating Scale-17, or HAMD-17, a regulatory-standard depression severity rating scale. However, its scope of clinical use has been constrained by oral bioavailability limitations that the Glyph platform is uniquely designed to solve. For example, a previous third-party clinical trial showed that oral administration of allopregnanolone resulted in plasma exposure levels with an AUC</w:t>
      </w:r>
      <w:r>
        <w:rPr>
          <w:rFonts w:ascii="Times New Roman" w:cs="Times New Roman" w:eastAsia="Times New Roman" w:hAnsi="Times New Roman"/>
          <w:sz w:val="20"/>
          <w:szCs w:val="20"/>
          <w:color w:val="auto"/>
          <w:vertAlign w:val="subscript"/>
        </w:rPr>
        <w:t>inf</w:t>
      </w:r>
      <w:r>
        <w:rPr>
          <w:rFonts w:ascii="Times New Roman" w:cs="Times New Roman" w:eastAsia="Times New Roman" w:hAnsi="Times New Roman"/>
          <w:sz w:val="13"/>
          <w:szCs w:val="13"/>
          <w:color w:val="auto"/>
        </w:rPr>
        <w:t xml:space="preserve"> of 0.7 ng*hr/mL per 1 mg of allopregnanolone dosed, as shown in the figure below.</w:t>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6"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Unmodified Allopregnanolone Oral Systemic Exposure – Third-Party Literature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135255</wp:posOffset>
            </wp:positionV>
            <wp:extent cx="1435100" cy="1889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35100"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GlyphAllo: Preclinical Results</w:t>
      </w:r>
    </w:p>
    <w:p>
      <w:pPr>
        <w:spacing w:after="0" w:line="93"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In our preclinical studies conducted in non-human primates, or NHPs, oral dosing of GlyphAllo resulted in a greater than nine-fold increase in bioavailability compared to oral unmodified allopregnanolone over 24 hours. In these preclinical studies, evaluations of GlyphAllo and unmodified allopregnanolone were conducted simultaneously or sequentially using the same species.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GlyphAllo: Clinical Results</w:t>
      </w:r>
    </w:p>
    <w:p>
      <w:pPr>
        <w:spacing w:after="0" w:line="93" w:lineRule="exact"/>
        <w:rPr>
          <w:sz w:val="20"/>
          <w:szCs w:val="20"/>
          <w:color w:val="auto"/>
        </w:rPr>
      </w:pPr>
    </w:p>
    <w:p>
      <w:pPr>
        <w:ind w:left="1360" w:right="279" w:firstLine="343"/>
        <w:spacing w:after="0" w:line="227" w:lineRule="auto"/>
        <w:rPr>
          <w:sz w:val="20"/>
          <w:szCs w:val="20"/>
          <w:color w:val="auto"/>
        </w:rPr>
      </w:pPr>
      <w:r>
        <w:rPr>
          <w:rFonts w:ascii="Times New Roman" w:cs="Times New Roman" w:eastAsia="Times New Roman" w:hAnsi="Times New Roman"/>
          <w:sz w:val="14"/>
          <w:szCs w:val="14"/>
          <w:color w:val="auto"/>
        </w:rPr>
        <w:t>In our Phase 1 clinical trial conducted in Australia in 99 participants, GlyphAllo demonstrated therapeutically relevant exposures with a favorable tolerability profile that supports chronic dosing. No treatment-related severe or serious AEs were reported. Oral administration of GlyphAllo in our Phase 1 trial of GlyphAllo resulted in plasma exposure levels with an AUC</w:t>
      </w:r>
      <w:r>
        <w:rPr>
          <w:rFonts w:ascii="Times New Roman" w:cs="Times New Roman" w:eastAsia="Times New Roman" w:hAnsi="Times New Roman"/>
          <w:sz w:val="21"/>
          <w:szCs w:val="21"/>
          <w:color w:val="auto"/>
          <w:vertAlign w:val="subscript"/>
        </w:rPr>
        <w:t>inf</w:t>
      </w:r>
      <w:r>
        <w:rPr>
          <w:rFonts w:ascii="Times New Roman" w:cs="Times New Roman" w:eastAsia="Times New Roman" w:hAnsi="Times New Roman"/>
          <w:sz w:val="14"/>
          <w:szCs w:val="14"/>
          <w:color w:val="auto"/>
        </w:rPr>
        <w:t xml:space="preserve"> of 6.6 ng*hr/mL per 1 mg of allopregnanolone dosed, as shown in the figure below.</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86"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GlyphAllo Oral Systemic Exposure: Phase 1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135255</wp:posOffset>
            </wp:positionV>
            <wp:extent cx="1408430" cy="18357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08430" cy="183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GlyphAllo has also demonstrated initial proof-of-concept in a Phase 2a randomized, placebo-controlled trial conducted in Australia in 80 participants, using the Trier Social Stress Test, or TSST, a validated clinical model of anxiety in healthy volunteers. No severe or serious adverse events were reported. Based on these Phase 1 and Phase 2a data, we believe GlyphAllo has the potential to become a leading treatment for MDD. We advanced GlyphAllo into what we believe is a registration-enabling Phase 2b BUOY-1 trial conducted in the US and EU in July 2025. BUOY-1 is a global, randomized, double-blind, placebo-controlled trial evaluating the efficacy, safety, and tolerability of GlyphAllo in adults with MDD, with or without anxious distress. MDD with anxious distress is a form of MDD characterized by significant anxiety. Approximately 60% of patients with MDD meet the criteria for anxious distress. This trial is expected to enroll up to approximately 360 patients, randomized 1:1 to receive either GlyphAllo or placebo once-daily over a six-week treatment period. This randomized, double-blind, multiregional, placebo-controlled trial is designed to be registration-enabling, subject to review by the FDA and other comparable regulatory authorities, as an adequate and well-controlled investigation that seeks to help provide substantial evidence of effectiveness by assessing GlyphAllo’s efficacy and safety in several hundred patients. Additional clinical trials may be required prior to the submission of a new drug application even if this trial is successful or positive. The primary endpoint of the trial is the change from baseline at six weeks in HAMD-17. Following the initial treatment period, eligible patients may enter an open-label extension trial, in which all participants will receive GlyphAllo for up to six additional weeks.</w:t>
      </w:r>
    </w:p>
    <w:p>
      <w:pPr>
        <w:spacing w:after="0" w:line="149"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Previous clinical development of allopregnanolone and its synthetic analog, which has been evaluated by Sage Therapeutics in multiple late-stage clinical trials for the treatment of MDD, has been generally hindered by poor oral bioavailability, safety concerns, and clinical trial design limitations. GlyphAllo is designed to enhance the oral bioavailability of allopregnanolone and achieve systemic exposures comparable to an intravenous infusion of allopregnanolone, with once-daily oral dosing. We believe our ongoing Phase 2b BUOY-1 trial improves upon the design of previous third-party clinical trials that evaluated a synthetic analog of allopregnanolone in several important ways.</w:t>
      </w:r>
    </w:p>
    <w:p>
      <w:pPr>
        <w:spacing w:after="0" w:line="144"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We are improving durable efficacy by treating patients for the full six-week duration of the primary endpoint time frame, as opposed to previous trials that treated patients for only the first two weeks and assessed efficacy after six weeks. As allopregnanolone also has an anxiolytic effect, we are also enrolling patients that have MDD with or without anxious distress. To reduce placebo response, we are optimizing the frequency of clinician-administered assessments, as our comprehensive meta-analysis of recent antidepressant trials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8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demonstrated that the frequency of these assessments is positively correlated with the magnitude of the placebo response in MDD trials. We are also including a single treatment arm and will flex dose to a target dose, similar to the strategy implemented at Karuna Therapeutics, since the number of active arms is positively associated with increased placebo response. Additionally, we are scrutinizing site selection and patient enrollment to ensure appropriate diagnosis and exclude inappropriate patients, including those with inflated baseline ratings and those who are concurrently participating in other studies. We expect topline data from the Phase 2b BUOY-1 trial in the first half of 2027.</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GlyphAgo: Potential Differentiated Therapy for GAD</w:t>
      </w:r>
    </w:p>
    <w:p>
      <w:pPr>
        <w:spacing w:after="0" w:line="93" w:lineRule="exact"/>
        <w:rPr>
          <w:sz w:val="20"/>
          <w:szCs w:val="20"/>
          <w:color w:val="auto"/>
        </w:rPr>
      </w:pPr>
    </w:p>
    <w:p>
      <w:pPr>
        <w:ind w:left="1360" w:right="239" w:firstLine="343"/>
        <w:spacing w:after="0" w:line="243" w:lineRule="auto"/>
        <w:rPr>
          <w:sz w:val="20"/>
          <w:szCs w:val="20"/>
          <w:color w:val="auto"/>
        </w:rPr>
      </w:pPr>
      <w:r>
        <w:rPr>
          <w:rFonts w:ascii="Times New Roman" w:cs="Times New Roman" w:eastAsia="Times New Roman" w:hAnsi="Times New Roman"/>
          <w:sz w:val="14"/>
          <w:szCs w:val="14"/>
          <w:color w:val="auto"/>
        </w:rPr>
        <w:t>GlyphAgo is a novel, Glyphed oral prodrug of agomelatine that we are advancing in a key Phase 1 proof-of-concept trial for the treatment of GAD in Australia, in which we plan to enroll up to approximately 190 participants. Agomelatine, a clinically validated MT1/MT2 melatonin receptor agonist and serotonin 2C (5-HT2C) receptor antagonist, is an effective anxiolytic and antidepressant approved for the treatment of GAD in Australia and MDD in Australia and the EU. In GAD, agomelatine has demonstrated statistically significant separation from placebo in four third-party placebo-controlled studies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Based on two of the largest non-head-to-head literature meta-analyses of clinical trials of pharmacological agents for the treatment of GAD, agomelatine has been shown to have favorable efficacy and tolerability relative to other therapeutic agents. Specifically, in the first of these meta-analyses, which included two of the placebo-controlled studies of agomelatine, agomelatine was observed to have better efficacy and tolerability than certain standard-of-care drugs, such as selective serotonin-reuptake inhibitors, or SSRIs, which can result in sexual dysfunction and weight gain, and benzodiazepines, which can result in dependence and abuse. In the second of these meta-analyses, which included three of the placebo-controlled studies of agomelatine, agomelatine was found to be the most favorable drug in terms of both efficacy and tolerability among the analyzed competitors (venlafaxine, escitalopram, paroxetine, duloxetine, and pregabalin). However, despite this positive profile, over 90% of unmodified agomelatine is lost to first-pass liver metabolism and its use has been limited by dose-dependent liver enzyme elevations. Its label in both Australia and the EU requires liver function testing before initiating treatment, during treatment, and upon increasing the dose. Agomelatine is not approved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67310</wp:posOffset>
            </wp:positionV>
            <wp:extent cx="59436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1" w:lineRule="exact"/>
        <w:rPr>
          <w:sz w:val="20"/>
          <w:szCs w:val="20"/>
          <w:color w:val="auto"/>
        </w:rPr>
      </w:pPr>
    </w:p>
    <w:p>
      <w:pPr>
        <w:ind w:left="1520" w:right="239" w:hanging="165"/>
        <w:spacing w:after="0" w:line="228" w:lineRule="auto"/>
        <w:tabs>
          <w:tab w:leader="none" w:pos="1520" w:val="left"/>
        </w:tabs>
        <w:numPr>
          <w:ilvl w:val="0"/>
          <w:numId w:val="84"/>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The statements above relating to the placebo-controlled studies of agomelatine in GAD are based on the following, which represents a complete list of all placebo-controlled studies of agomelatine in GAD: Dan J. Stein, et al., Efficacy and safety of agomelatine (10 or 25 mg/day) in non-depressed out-patients with generalized anxiety disorder: A 12-week, double-blind, placebo-controlled study, European Neuropsychopharmacology, Volume 27, Issue 5, 2017 (also included in the meta-analyses); Dan J. Stein, et al., Agomelatine in Generalized Anxiety Disorder: An Active Comparator and Placebo-Controlled Study, J Clin Psychiatry 2014;75(4):362-368 (also included in the meta-analyses); Dan J. Stein, et al., Agomelatine Prevents Relapse in Generalized Anxiety Disorder: A 6-Month Randomized, Double-Blind, Placebo-Controlled Discontinuation Study, J Clin Psychiatry 2012;73(7):1002-1008; Dan J. Stein, et al., Journal of Clinical Psychopharmacology 28(5):p 561-566, October 2008 (also included in the meta-analyses).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6"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Agomelatine Significantly Reduces Anxiety in Patients with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135255</wp:posOffset>
            </wp:positionV>
            <wp:extent cx="4051935" cy="24968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51935" cy="249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Using our proprietary Glyph platform, GlyphAgo is designed to avoid first-pass liver metabolism and increase systemic exposure of agomelatine, enabling exposure levels of agomelatine that are effective in GAD but at a lower dose that reduces liver exposure and reduces or eliminates the need for liver function testing. Based on internal analyses, we believe a two-fold increase in the bioavailability of agomelatine with GlyphAgo dosing will reduce or eliminate liver enzyme elevations. In preclinical studies in NHPs we showed that oral dosing of GlyphAgo increased plasma exposure of agomelatine versus agomelatine alone above this two-fold target. Therefore, based on the data we have generated to date, we believe GlyphAgo has the potential to become a leading treatment for GAD. The ongoing Phase 1 trial will be conducted in multiple parts to evaluate the safety, tolerability, and pharmacokinetics of GlyphAgo and compare the pharmacokinetics of GlyphAgo to agomelatine alone. It will include single- and multiple-ascending dose cohorts, as well as a food-effect crossover portion, using both open-label and placebo-controlled designs. In April 2026, we reported topline data from the SAD and crossover portions of our Phase 1 proof-of-concept clinical trial of GlyphAgo. In the head-to-head crossover portion of the trial, GlyphAgo demonstrated a 6.8-fold increase in bioavailability of agomelatine compared to unmodified orally administered agomelatine. GlyphAgo also showed significantly lower (10-fold) PK variability compared to unmodified agomelatine. The crossover portion included participants who were taking estrogen-containing oral contraceptives that are known to increase agomelatine exposure due to liver drug-drug interaction. In contrast, GlyphAgo exposure was unaffected by oral contraceptives, further supporting the ability of GlyphAgo to bypass first-pass liver metabolism. GlyphAgo demonstrated a 9.6 to 14.5-fold increase in dose-normalized exposure compared to agomelatine in a separate SAD portion of the trial in which no participants were on oral contraceptives. GlyphAgo was well tolerated and no liver-related AEs were observed. We plan to initiate a Phase 2a proof-of-pharmacology trial designed to evaluate the potential sleep benefit of GlyphAgo in patients with GAD and sleep disturbance, with topline data expected in early 2028.</w:t>
      </w:r>
    </w:p>
    <w:p>
      <w:pPr>
        <w:spacing w:after="0" w:line="154"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also plan to initiate in parallel, a randomized, double-blind, placebo-controlled Phase 2b trial evaluating the efficacy and safety of GlyphAgo in patients with GAD, with topline data expected by the end of 2028. This multiregional trial is designed to be registration-enabling, subject to review by the FDA and other comparable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86"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regulatory authorities, as an adequate and well-controlled investigation that seeks to provide substantial evidence of effectiveness by assessing GlyphAgo’s efficacy and safety in several hundred patients. Although this trial is designed to be registration-enabling, additional clinical trials may be required prior to the submission of a new drug application even if this trial is successful or positive.</w:t>
      </w:r>
    </w:p>
    <w:p>
      <w:pPr>
        <w:spacing w:after="0" w:line="136"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Although the development and commercialization of GlyphAgo for the treatment of GAD is our primary focus, as part of our longer-term growth strategy, we may evaluate GlyphAgo in other indications as well, including MDD.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Glyph2BLSD and Additional Applications of the Glyph Platform</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Glyph2BLSD is our novel, Glyphed oral prodrug of 2-bromo-LSD, a differentiated non-hallucinogenic neuroplastogen. Glyph2BLSD is designed to harness the differentiated and non-hallucinogenic profile of 2-bromo-LSD, which has rapidly acting clinical activity and is not expected to exhibit the fibrosis, cardiovascular effects, or hallucinations characteristic of some other neuroplastogens. Glyph2BLSD is designed to improve the pharmacokinetic and tolerability profile of 2-bromo-LSD while maintaining therapeutic exposure levels. Glyph2BLSD’s non-hallucinogenic profile unlocks the potential to enable convenient outpatient and repeat dosing to improve efficacy. We are advancing Glyph2BLSD through preclinical studies and are developing Glyph2BLSD for the treatment of depressive disorders, including TRD, PTSD, and headache disorders with significant unmet need. We are currently conducting first-in-human-enabling studies of Glyph2BLSD.</w:t>
      </w:r>
    </w:p>
    <w:p>
      <w:pPr>
        <w:spacing w:after="0" w:line="14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We are also leveraging the power of the Glyph platform to explore additional applications in CNS and non-CNS diseases and advance programs that address significant unmet needs in these areas.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Our Team</w:t>
      </w:r>
    </w:p>
    <w:p>
      <w:pPr>
        <w:spacing w:after="0" w:line="9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Seaport was founded by pioneers in the neuropsychiatry field and is led by a team of seasoned industry veterans with a shared mission to transform the treatment of neuropsychiatric disorders and improve patients’ lives. We have assembled an experienced group of individuals with a proven track record of building successful companies that have developed and commercialized innovative neuropsychiatric medicines. Members of our leadership team have collaborated successfully over several decades on the discovery, development, and commercialization of neuropsychiatric medicines including Cobenfy, Latuda, Zyprexa, Cymbalta, and Zurzuvae. Our co-founders, Daphne Zohar, and Dr. Steven Paul, were central to the success of Karuna Therapeutics, which invented and advanced the first-in-class medicine Cobenfy, and was acquired by Bristol Myers Squibb in March 2024 for $14 billion. Cobenfy was approved by the FDA in September 2024 and is the first drug to provide a new mechanism of action for schizophrenia in over 30 years. Cobenfy is estimated to achieve annual peak sales of over $5 billion. The core members of our leadership team include:</w:t>
      </w:r>
    </w:p>
    <w:p>
      <w:pPr>
        <w:spacing w:after="0" w:line="70" w:lineRule="exact"/>
        <w:rPr>
          <w:sz w:val="20"/>
          <w:szCs w:val="20"/>
          <w:color w:val="auto"/>
        </w:rPr>
      </w:pPr>
    </w:p>
    <w:p>
      <w:pPr>
        <w:ind w:left="2120" w:right="339" w:hanging="345"/>
        <w:spacing w:after="0" w:line="279" w:lineRule="auto"/>
        <w:tabs>
          <w:tab w:leader="none" w:pos="21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Daphne Zohar</w:t>
      </w:r>
      <w:r>
        <w:rPr>
          <w:rFonts w:ascii="Times New Roman" w:cs="Times New Roman" w:eastAsia="Times New Roman" w:hAnsi="Times New Roman"/>
          <w:sz w:val="13"/>
          <w:szCs w:val="13"/>
          <w:color w:val="auto"/>
        </w:rPr>
        <w:t>, Founder, Chief Executive Officer and Board Member, previously founded and led PureTech Health for 20 years as CEO.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She also co-founded PureTech’s entities, including Karuna Therapeutics, which was acquired by Bristol Myers Squibb for $14 billion. Ms. Zohar was a key driver in PureTech’s productive R&amp;D engine, which led to 28 new medicines and a clinical success rate at PureTech and founded entities that was around six times better than the industry average during her tenure. PureTech programs, including Cobenfy (invented at PureTech) and deupirfenidone, met with clinical success pursuing the same three pillar strategy of identifying clinically validated medicines with previous issues that held back their development, applying new technology to address previous limitations, and leveraging the team’s expertise to optimize the design and execution of clinical trials and drive successful business outcomes.</w:t>
      </w:r>
    </w:p>
    <w:p>
      <w:pPr>
        <w:spacing w:after="0" w:line="55" w:lineRule="exact"/>
        <w:rPr>
          <w:rFonts w:ascii="Times New Roman" w:cs="Times New Roman" w:eastAsia="Times New Roman" w:hAnsi="Times New Roman"/>
          <w:sz w:val="13"/>
          <w:szCs w:val="13"/>
          <w:color w:val="auto"/>
        </w:rPr>
      </w:pPr>
    </w:p>
    <w:p>
      <w:pPr>
        <w:ind w:left="2120" w:right="259" w:hanging="345"/>
        <w:spacing w:after="0" w:line="262" w:lineRule="auto"/>
        <w:tabs>
          <w:tab w:leader="none" w:pos="21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Steven Paul, M.D., </w:t>
      </w:r>
      <w:r>
        <w:rPr>
          <w:rFonts w:ascii="Times New Roman" w:cs="Times New Roman" w:eastAsia="Times New Roman" w:hAnsi="Times New Roman"/>
          <w:sz w:val="14"/>
          <w:szCs w:val="14"/>
          <w:color w:val="auto"/>
        </w:rPr>
        <w:t>Co-founder and the Chair of the board of directors, brings over 40 years of experience as a physician-scientist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specializing in CNS drug discovery and development and was previously the President, Chief Executive Officer, and Chair of the Board and Chief Scientific Officer and President of Research and Development at Karuna Therapeutics. He was also formerly the Executive Vice President for Science and Technology and President of the Lilly Research Laboratories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19"/>
        <w:spacing w:after="0" w:line="267" w:lineRule="auto"/>
        <w:rPr>
          <w:sz w:val="20"/>
          <w:szCs w:val="20"/>
          <w:color w:val="auto"/>
        </w:rPr>
      </w:pPr>
      <w:r>
        <w:rPr>
          <w:rFonts w:ascii="Times New Roman" w:cs="Times New Roman" w:eastAsia="Times New Roman" w:hAnsi="Times New Roman"/>
          <w:sz w:val="14"/>
          <w:szCs w:val="14"/>
          <w:color w:val="auto"/>
        </w:rPr>
        <w:t>at Eli Lilly. Prior to his tenure at Eli Lilly, Dr. Paul spent 18 years at the National Institute of Health and served as the Scientific Director of the National Institute of Mental Health. Dr. Paul played a key role in the development of several important neuropsychiatric drugs, including Zyprexa, Cymbalta, Cobenfy, and Zurzuvae.</w:t>
      </w:r>
    </w:p>
    <w:p>
      <w:pPr>
        <w:spacing w:after="0" w:line="60" w:lineRule="exact"/>
        <w:rPr>
          <w:sz w:val="20"/>
          <w:szCs w:val="20"/>
          <w:color w:val="auto"/>
        </w:rPr>
      </w:pPr>
    </w:p>
    <w:p>
      <w:pPr>
        <w:ind w:left="2120" w:right="279" w:hanging="345"/>
        <w:spacing w:after="0" w:line="259" w:lineRule="auto"/>
        <w:tabs>
          <w:tab w:leader="none" w:pos="21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Antony Loebel, M.D.</w:t>
      </w:r>
      <w:r>
        <w:rPr>
          <w:rFonts w:ascii="Times New Roman" w:cs="Times New Roman" w:eastAsia="Times New Roman" w:hAnsi="Times New Roman"/>
          <w:sz w:val="14"/>
          <w:szCs w:val="14"/>
          <w:color w:val="auto"/>
        </w:rPr>
        <w:t>, Chief Medical Officer and President of Clinical Development, brings over 20 years of leadership experience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biopharmaceutical industry and is a board-certified psychiatrist. He was formerly the President and Chief Executive Officer and Chief Medical Officer of Sunovion Pharmaceuticals. Dr. Loebel was instrumental in the growth of Sunovion to a company with over $3.5 billion in total revenue and played a key role in the development and commercialization of Latuda for the treatment of patients with bipolar depression and schizophrenia.</w:t>
      </w:r>
    </w:p>
    <w:p>
      <w:pPr>
        <w:spacing w:after="0" w:line="66" w:lineRule="exact"/>
        <w:rPr>
          <w:rFonts w:ascii="Times New Roman" w:cs="Times New Roman" w:eastAsia="Times New Roman" w:hAnsi="Times New Roman"/>
          <w:sz w:val="14"/>
          <w:szCs w:val="14"/>
          <w:color w:val="auto"/>
        </w:rPr>
      </w:pPr>
    </w:p>
    <w:p>
      <w:pPr>
        <w:ind w:left="2120" w:right="259" w:hanging="345"/>
        <w:spacing w:after="0" w:line="256" w:lineRule="auto"/>
        <w:tabs>
          <w:tab w:leader="none" w:pos="21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Michael Chen, Ph.D.</w:t>
      </w:r>
      <w:r>
        <w:rPr>
          <w:rFonts w:ascii="Times New Roman" w:cs="Times New Roman" w:eastAsia="Times New Roman" w:hAnsi="Times New Roman"/>
          <w:sz w:val="14"/>
          <w:szCs w:val="14"/>
          <w:color w:val="auto"/>
        </w:rPr>
        <w:t>, Co-founder and Chief Scientific Officer, has over 20 years of experience in various research and leadership roles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neuropsychiatry field. He was formerly the Head of Innovation at PureTech Health where he oversaw the rapid advancement of neuropsychiatric medicines and Glyph platform translation and validation that led to the founding of Seaport Therapeutics. At PureTech, Dr. Chen played a key role in the clinical advancement of deupirfenidone, which recently demonstrated strong and durable efficacy with favorable tolerability as a monotherapy in a Phase 2b trial in idiopathic pulmonary fibrosis. Dr. Chen was previously Co-founder and Head of Research and Strategy at Sonde Health, a leader in voice-based health monitoring developing artificial intelligence powered-vocal biomarkers for depression and other neuropsychiatric disorders.</w:t>
      </w:r>
    </w:p>
    <w:p>
      <w:pPr>
        <w:spacing w:after="0" w:line="69" w:lineRule="exact"/>
        <w:rPr>
          <w:rFonts w:ascii="Times New Roman" w:cs="Times New Roman" w:eastAsia="Times New Roman" w:hAnsi="Times New Roman"/>
          <w:sz w:val="14"/>
          <w:szCs w:val="14"/>
          <w:color w:val="auto"/>
        </w:rPr>
      </w:pPr>
    </w:p>
    <w:p>
      <w:pPr>
        <w:ind w:left="2120" w:right="359" w:hanging="345"/>
        <w:spacing w:after="0" w:line="284" w:lineRule="auto"/>
        <w:tabs>
          <w:tab w:leader="none" w:pos="21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Lauren White</w:t>
      </w:r>
      <w:r>
        <w:rPr>
          <w:rFonts w:ascii="Times New Roman" w:cs="Times New Roman" w:eastAsia="Times New Roman" w:hAnsi="Times New Roman"/>
          <w:sz w:val="13"/>
          <w:szCs w:val="13"/>
          <w:color w:val="auto"/>
        </w:rPr>
        <w:t>, Chief Financial Officer, has over 22 years of corporate finance, accounting, strategic partnering and investor relations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experience. Most recently, she served as the Chief Financial Officer at ImmunoGen prior to and through its acquisition by AbbVie for $10.1 billion in 2024. Before that she was the Chief Financial Officer, Treasurer, and Principal Accounting Officer at C4 Therapeutics, responsible for developing and leading the company’s financial and capital strategies. Prior to that, Ms. White spent ten years at Novartis in various finance roles. Ms. White started her career at General Electric and Boston Consulting Group in strategy and marketing roles.</w:t>
      </w:r>
    </w:p>
    <w:p>
      <w:pPr>
        <w:spacing w:after="0" w:line="51" w:lineRule="exact"/>
        <w:rPr>
          <w:rFonts w:ascii="Times New Roman" w:cs="Times New Roman" w:eastAsia="Times New Roman" w:hAnsi="Times New Roman"/>
          <w:sz w:val="13"/>
          <w:szCs w:val="13"/>
          <w:color w:val="auto"/>
        </w:rPr>
      </w:pPr>
    </w:p>
    <w:p>
      <w:pPr>
        <w:ind w:left="2120" w:right="339" w:hanging="345"/>
        <w:spacing w:after="0" w:line="288" w:lineRule="auto"/>
        <w:tabs>
          <w:tab w:leader="none" w:pos="21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Lana Gladstein, J.D.</w:t>
      </w:r>
      <w:r>
        <w:rPr>
          <w:rFonts w:ascii="Times New Roman" w:cs="Times New Roman" w:eastAsia="Times New Roman" w:hAnsi="Times New Roman"/>
          <w:sz w:val="13"/>
          <w:szCs w:val="13"/>
          <w:color w:val="auto"/>
        </w:rPr>
        <w:t>, General Counsel, has over 25 years of legal expertise including corporate governance and M&amp;A transactions,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licensing and partnerships, and intellectual property matters. Most recently, Ms. Gladstein was the Group General Counsel at APRINOIA Therapeutics, a clinical-stage company developing therapeutics and diagnostics for neurodegenerative diseases. Prior to APRINOIA, she was Chief Legal Officer at Arranta Bio and Executive Vice President and General Counsel at Brammer Bio until their acquisitions.</w:t>
      </w:r>
    </w:p>
    <w:p>
      <w:pPr>
        <w:spacing w:after="0" w:line="125"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Our board of directors brings together seasoned leaders in the biopharmaceutical industry, with expertise spanning neuropsychiatry research and development, regulatory affairs, financial operations, and commercialization. Our team is united by a shared commitment to develop transformative treatments for patients to address the significant unmet need in neuropsychiatry. Despite the prior experience of our team, our limited operating history as a standalone company makes any reliance on past performance uncertain.</w:t>
      </w:r>
    </w:p>
    <w:p>
      <w:pPr>
        <w:spacing w:after="0" w:line="141"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Since our inception, we have raised $325 million in net proceeds from leading life science investors, including shareholders with holdings greater than 5%: ARCH Venture Partners, General Atlantic, Sofinnova Investments, Third Rock Ventures, and our founder, PureTech. Prospective investors should not rely on the investment decisions of our existing investors, as these investors may have different risk tolerances and in certain cases received their shares in prior offerings at prices lower than the price offered to the public in this offering. See the sections titled “Certain Relationships and Related Person Transactions” and “Principal Stockholders” for more information.</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38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3"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We founded our company with a mission to develop life-changing treatments for patients with depression, anxiety, and other neuropsychiatric disorders. The key elements of our business strategy are to:</w:t>
      </w:r>
    </w:p>
    <w:p>
      <w:pPr>
        <w:spacing w:after="0" w:line="49" w:lineRule="exact"/>
        <w:rPr>
          <w:sz w:val="20"/>
          <w:szCs w:val="20"/>
          <w:color w:val="auto"/>
        </w:rPr>
      </w:pPr>
    </w:p>
    <w:p>
      <w:pPr>
        <w:ind w:left="2120" w:right="259" w:hanging="345"/>
        <w:spacing w:after="0" w:line="255" w:lineRule="auto"/>
        <w:tabs>
          <w:tab w:leader="none" w:pos="21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Successfully advance GlyphAllo through clinical development for the treatment of patients with MDD with or without anxious distress</w:t>
      </w:r>
      <w:r>
        <w:rPr>
          <w:rFonts w:ascii="Times New Roman" w:cs="Times New Roman" w:eastAsia="Times New Roman" w:hAnsi="Times New Roman"/>
          <w:sz w:val="14"/>
          <w:szCs w:val="14"/>
          <w:color w:val="auto"/>
        </w:rPr>
        <w:t>. GlyphAllo is a novel, Glyphed oral prodrug of allopregnanolone, an endogenous molecule that has been clinically validated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two third-party trials as a rapidly acting antidepressant with anxiolytic and sleep-promoting effects.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that supports chronic dosing. We have initiated the Phase 2b BUOY-1 trial in patients with MDD with or without anxious distress and anticipate topline data in the first half of 2027.</w:t>
      </w:r>
    </w:p>
    <w:p>
      <w:pPr>
        <w:spacing w:after="0" w:line="71" w:lineRule="exact"/>
        <w:rPr>
          <w:rFonts w:ascii="Times New Roman" w:cs="Times New Roman" w:eastAsia="Times New Roman" w:hAnsi="Times New Roman"/>
          <w:sz w:val="14"/>
          <w:szCs w:val="14"/>
          <w:color w:val="auto"/>
        </w:rPr>
      </w:pPr>
    </w:p>
    <w:p>
      <w:pPr>
        <w:ind w:left="2120" w:right="239" w:hanging="345"/>
        <w:spacing w:after="0" w:line="253" w:lineRule="auto"/>
        <w:tabs>
          <w:tab w:leader="none" w:pos="21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Successfully advance GlyphAgo through clinical development for the treatment of patients with GAD</w:t>
      </w:r>
      <w:r>
        <w:rPr>
          <w:rFonts w:ascii="Times New Roman" w:cs="Times New Roman" w:eastAsia="Times New Roman" w:hAnsi="Times New Roman"/>
          <w:sz w:val="14"/>
          <w:szCs w:val="14"/>
          <w:color w:val="auto"/>
        </w:rPr>
        <w:t>. GlyphAgo is a novel,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Glyphed oral prodrug of agomelatine, a clinically validated anxiolytic and antidepressant that is approved for the treatment of GAD in Australia and MDD in Australia and the EU. Due to extensive first-pass metabolism, agomelatine can cause dose-dependent liver enzyme elevations, and its use has been limited by the need for frequent liver function testing. GlyphAgo is designed to overcome this limitation by avoiding first-pass metabolism and achieving therapeutic exposures of agomelatine while reducing or eliminating the need for liver monitoring. In April 2026, we reported topline data from the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AEs were observed. We plan to initiate a Phase 2a proof-of-pharmacology trial designed to evaluate the potential sleep benefit of GlyphAgo in patients with GAD and sleep disturbance, with topline data expected in early 2028 and, in parallel, a Phase 2b trial designed to evaluate the efficacy and safety of GlyphAgo in patients with GAD, with topline data expected by the end of 2028.</w:t>
      </w:r>
    </w:p>
    <w:p>
      <w:pPr>
        <w:spacing w:after="0" w:line="75" w:lineRule="exact"/>
        <w:rPr>
          <w:rFonts w:ascii="Times New Roman" w:cs="Times New Roman" w:eastAsia="Times New Roman" w:hAnsi="Times New Roman"/>
          <w:sz w:val="14"/>
          <w:szCs w:val="14"/>
          <w:color w:val="auto"/>
        </w:rPr>
      </w:pPr>
    </w:p>
    <w:p>
      <w:pPr>
        <w:ind w:left="2120" w:right="259" w:hanging="345"/>
        <w:spacing w:after="0" w:line="255" w:lineRule="auto"/>
        <w:tabs>
          <w:tab w:leader="none" w:pos="21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Develop a robust pipeline of differentiated programs for neuropsychiatric and other CNS disorders by leveraging our Glyph platform</w:t>
      </w:r>
      <w:r>
        <w:rPr>
          <w:rFonts w:ascii="Times New Roman" w:cs="Times New Roman" w:eastAsia="Times New Roman" w:hAnsi="Times New Roman"/>
          <w:sz w:val="14"/>
          <w:szCs w:val="14"/>
          <w:color w:val="auto"/>
        </w:rPr>
        <w:t>. We have used Glyph to create over 24 different small molecules based on the broad compatibility of our platform with a range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small molecule physicochemical properties. Given the novel prodrug modifications to these drugs and resulting improvements in drug properties, we create new composition of matter intellectual property for these therapies. In addition to GlyphAllo and GlyphAgo, we have multiple preclinical programs, including Glyph2BLSD, and are also evaluating the application of our Glyph platform in therapeutic areas beyond neuropsychiatry. Our team has a track record of building revolutionary biopharmaceutical companies that have developed successful medicines for neuropsychiatric disorders, and we believe that our scientific expertise and world-class technical capabilities will enable us to identify and develop high value targets in the future.</w:t>
      </w:r>
    </w:p>
    <w:p>
      <w:pPr>
        <w:spacing w:after="0" w:line="71" w:lineRule="exact"/>
        <w:rPr>
          <w:rFonts w:ascii="Times New Roman" w:cs="Times New Roman" w:eastAsia="Times New Roman" w:hAnsi="Times New Roman"/>
          <w:sz w:val="14"/>
          <w:szCs w:val="14"/>
          <w:color w:val="auto"/>
        </w:rPr>
      </w:pPr>
    </w:p>
    <w:p>
      <w:pPr>
        <w:ind w:left="2120" w:right="479" w:hanging="345"/>
        <w:spacing w:after="0" w:line="256" w:lineRule="auto"/>
        <w:tabs>
          <w:tab w:leader="none" w:pos="21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Opportunistically pursue strategic partnerships to maximize the value of our Glyph platform. </w:t>
      </w:r>
      <w:r>
        <w:rPr>
          <w:rFonts w:ascii="Times New Roman" w:cs="Times New Roman" w:eastAsia="Times New Roman" w:hAnsi="Times New Roman"/>
          <w:sz w:val="14"/>
          <w:szCs w:val="14"/>
          <w:color w:val="auto"/>
        </w:rPr>
        <w:t>We have exclusive global rights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 and commercialize our product candidates and pursue various discovery programs using our Glyph platform. We may seek strategic collaborations where we believe the resources and expertise of third-party biopharmaceutical companies could accelerate the clinical development or maximize the commercial potential of our product candidates and/or discovery programs, or where such collaborations could expand the capabilities of our Glyph platform. We may also opportunistically evaluate partnerships in therapeutic areas outside neuropsychiatry where our Glyph platform has demonstrated potential applicability, such as oncology, immunology and inflammation, metabolic disease, and obesity.</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38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Unmet Patient Need in Neuropsychiatry</w:t>
      </w:r>
    </w:p>
    <w:p>
      <w:pPr>
        <w:spacing w:after="0" w:line="93" w:lineRule="exact"/>
        <w:rPr>
          <w:sz w:val="20"/>
          <w:szCs w:val="20"/>
          <w:color w:val="auto"/>
        </w:rPr>
      </w:pPr>
    </w:p>
    <w:p>
      <w:pPr>
        <w:ind w:left="1360" w:right="579" w:firstLine="343"/>
        <w:spacing w:after="0" w:line="281" w:lineRule="auto"/>
        <w:rPr>
          <w:sz w:val="20"/>
          <w:szCs w:val="20"/>
          <w:color w:val="auto"/>
        </w:rPr>
      </w:pPr>
      <w:r>
        <w:rPr>
          <w:rFonts w:ascii="Times New Roman" w:cs="Times New Roman" w:eastAsia="Times New Roman" w:hAnsi="Times New Roman"/>
          <w:sz w:val="13"/>
          <w:szCs w:val="13"/>
          <w:color w:val="auto"/>
        </w:rPr>
        <w:t>According to the World Health Organization, as of 2021, depression affects approximately 332 million people worldwide and anxiety affects approximately 359 million people worldwide. Quality of life can be severely impacted and the societal economic burden of MDD totals over</w:t>
      </w:r>
    </w:p>
    <w:p>
      <w:pPr>
        <w:spacing w:after="0" w:line="1" w:lineRule="exact"/>
        <w:rPr>
          <w:sz w:val="20"/>
          <w:szCs w:val="20"/>
          <w:color w:val="auto"/>
        </w:rPr>
      </w:pPr>
    </w:p>
    <w:p>
      <w:pPr>
        <w:ind w:left="1360" w:right="239"/>
        <w:spacing w:after="0" w:line="250" w:lineRule="auto"/>
        <w:rPr>
          <w:sz w:val="20"/>
          <w:szCs w:val="20"/>
          <w:color w:val="auto"/>
        </w:rPr>
      </w:pPr>
      <w:r>
        <w:rPr>
          <w:rFonts w:ascii="Times New Roman" w:cs="Times New Roman" w:eastAsia="Times New Roman" w:hAnsi="Times New Roman"/>
          <w:sz w:val="14"/>
          <w:szCs w:val="14"/>
          <w:color w:val="auto"/>
        </w:rPr>
        <w:t>$300 billion in the United States alone as of 2023. According to the National Institute of Mental Health, MDD affects approximately 21 million adults in the United States, as of 2021. According to the National Institute of Mental Health, approximately 4 in 10 people with MDD do not receive treatment, and for those that do, currently approved drugs often have significant limitations, including modest efficacy, slow onset of action, and unfavorable side effects. Anxiety disorders are even more prevalent than MDD and affect approximately 350 million people worldwide. Of these, approximately</w:t>
      </w:r>
    </w:p>
    <w:p>
      <w:pPr>
        <w:spacing w:after="0" w:line="2" w:lineRule="exact"/>
        <w:rPr>
          <w:sz w:val="20"/>
          <w:szCs w:val="20"/>
          <w:color w:val="auto"/>
        </w:rPr>
      </w:pPr>
    </w:p>
    <w:p>
      <w:pPr>
        <w:ind w:left="1360" w:right="439"/>
        <w:spacing w:after="0" w:line="256" w:lineRule="auto"/>
        <w:rPr>
          <w:sz w:val="20"/>
          <w:szCs w:val="20"/>
          <w:color w:val="auto"/>
        </w:rPr>
      </w:pPr>
      <w:r>
        <w:rPr>
          <w:rFonts w:ascii="Times New Roman" w:cs="Times New Roman" w:eastAsia="Times New Roman" w:hAnsi="Times New Roman"/>
          <w:sz w:val="14"/>
          <w:szCs w:val="14"/>
          <w:color w:val="auto"/>
        </w:rPr>
        <w:t>100 million adults suffer from GAD, including more than seven million adults in the United States, according to JAMA Psychiatry, as of 2017. There have been no new therapies approved for GAD in almost two decades, and the medicines currently used for GAD have modest efficacy, slow onset, and/or unfavorable side effects.</w:t>
      </w:r>
    </w:p>
    <w:p>
      <w:pPr>
        <w:spacing w:after="0" w:line="143" w:lineRule="exact"/>
        <w:rPr>
          <w:sz w:val="20"/>
          <w:szCs w:val="20"/>
          <w:color w:val="auto"/>
        </w:rPr>
      </w:pPr>
    </w:p>
    <w:p>
      <w:pPr>
        <w:ind w:left="1360" w:right="219" w:firstLine="343"/>
        <w:spacing w:after="0" w:line="241" w:lineRule="auto"/>
        <w:rPr>
          <w:sz w:val="20"/>
          <w:szCs w:val="20"/>
          <w:color w:val="auto"/>
        </w:rPr>
      </w:pPr>
      <w:r>
        <w:rPr>
          <w:rFonts w:ascii="Times New Roman" w:cs="Times New Roman" w:eastAsia="Times New Roman" w:hAnsi="Times New Roman"/>
          <w:sz w:val="14"/>
          <w:szCs w:val="14"/>
          <w:color w:val="auto"/>
        </w:rPr>
        <w:t>Despite the shortcomings of existing therapies, there has been limited innovation in neuropsychiatric treatment options over the last 30 years and there remains a significant need for novel mechanisms and additional treatment options. The unmet need for improved therapies to treat depression and anxiety is so great that even approved drugs with limited efficacy and significant tolerability issues have become widely prescribed drugs. For instance, standard-of-care therapies, such as Zoloft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Zyprexa, and Cymbalta, have each generated $3 billion to $5 billion in peak annual sales between 2005 and 2012, despite significant limitations, such as modest efficacy, slow onset, and undesirable side effects. SSRIs and serotonin-norepinephrine reuptake inhibitors, or SNRIs, both first-line treatments for MDD and GAD, can take weeks to improve symptoms, and often do not lead to complete remission of symptoms. In addition, patients with MDD with anxious distress, a subtype of MDD representing approximately 60% of patients with MDD, have even lower rates of treatment response and remission, and there are no approved therapies indicated for MDD with anxious distress. Patients with MDD have an increased likelihood of both suicidal ideation and suicide attempts, which is further increased in patients with MDD with anxious distress. Even for patients who benefit from standard-of-care drugs, many experience challenging side effects, such as unintended weight gain, sexual dysfunction, and sleep disturbances.</w:t>
      </w:r>
    </w:p>
    <w:p>
      <w:pPr>
        <w:spacing w:after="0" w:line="159"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GAD is characterized by excessive anxiety and worry that is difficult to control, and presents with associated symptoms such as restlessness, sleep disturbance, and irritability. More than half of GAD patients are untreated, and of those that are treated, only half respond to standard-of-care treatments like SSRIs and SNRIs. Current therapies provide limited efficacy and can cause significant adverse effects, including weight gain, sexual dysfunction, and sleep disturbances. There is a clear unmet need for novel therapies that provide improved efficacy and reduce unfavorable side effects for patients suffering from GAD.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Challenges in Neuropsychiatric Drug Development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Despite the significant unmet need in neuropsychiatry, over 90% of neuropsychiatry product candidates fail in clinical trials, according to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Biotechnology Innovation Organization. The challenges that have held back the development of novel treatments for neuropsychiatric disorders include:</w:t>
      </w:r>
    </w:p>
    <w:p>
      <w:pPr>
        <w:spacing w:after="0" w:line="85" w:lineRule="exact"/>
        <w:rPr>
          <w:sz w:val="20"/>
          <w:szCs w:val="20"/>
          <w:color w:val="auto"/>
        </w:rPr>
      </w:pPr>
    </w:p>
    <w:p>
      <w:pPr>
        <w:jc w:val="both"/>
        <w:ind w:left="2120" w:right="299" w:hanging="345"/>
        <w:spacing w:after="0" w:line="268" w:lineRule="auto"/>
        <w:tabs>
          <w:tab w:leader="none" w:pos="21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Fundamental pathophysiology is unknown: </w:t>
      </w:r>
      <w:r>
        <w:rPr>
          <w:rFonts w:ascii="Times New Roman" w:cs="Times New Roman" w:eastAsia="Times New Roman" w:hAnsi="Times New Roman"/>
          <w:sz w:val="14"/>
          <w:szCs w:val="14"/>
          <w:color w:val="auto"/>
        </w:rPr>
        <w:t>High failure rates in clinical trials evaluating investigational therapies without prior clinical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validation can reflect an incomplete understanding of the underlying pathophysiology of depression and anxiety. Translation of data from animal models to humans is difficult due to the complexity of the CNS.</w:t>
      </w:r>
    </w:p>
    <w:p>
      <w:pPr>
        <w:spacing w:after="0" w:line="59" w:lineRule="exact"/>
        <w:rPr>
          <w:rFonts w:ascii="Times New Roman" w:cs="Times New Roman" w:eastAsia="Times New Roman" w:hAnsi="Times New Roman"/>
          <w:sz w:val="14"/>
          <w:szCs w:val="14"/>
          <w:color w:val="auto"/>
        </w:rPr>
      </w:pPr>
    </w:p>
    <w:p>
      <w:pPr>
        <w:ind w:left="2120" w:right="439" w:hanging="345"/>
        <w:spacing w:after="0" w:line="286" w:lineRule="auto"/>
        <w:tabs>
          <w:tab w:leader="none" w:pos="21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Poor drug-like properties: </w:t>
      </w:r>
      <w:r>
        <w:rPr>
          <w:rFonts w:ascii="Times New Roman" w:cs="Times New Roman" w:eastAsia="Times New Roman" w:hAnsi="Times New Roman"/>
          <w:sz w:val="14"/>
          <w:szCs w:val="14"/>
          <w:color w:val="auto"/>
        </w:rPr>
        <w:t>Drugs for neuropsychiatric disorders have had low oral bioavailability and/or significant side effects due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 to poor drug-like properties, often due to high first-pass metabolism in the liver.</w:t>
      </w:r>
    </w:p>
    <w:p>
      <w:pPr>
        <w:spacing w:after="0" w:line="47" w:lineRule="exact"/>
        <w:rPr>
          <w:rFonts w:ascii="Times New Roman" w:cs="Times New Roman" w:eastAsia="Times New Roman" w:hAnsi="Times New Roman"/>
          <w:sz w:val="14"/>
          <w:szCs w:val="14"/>
          <w:color w:val="auto"/>
        </w:rPr>
      </w:pPr>
    </w:p>
    <w:p>
      <w:pPr>
        <w:ind w:left="2120" w:right="359" w:hanging="345"/>
        <w:spacing w:after="0" w:line="268" w:lineRule="auto"/>
        <w:tabs>
          <w:tab w:leader="none" w:pos="21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Challenges with clinical trial design and execution: </w:t>
      </w:r>
      <w:r>
        <w:rPr>
          <w:rFonts w:ascii="Times New Roman" w:cs="Times New Roman" w:eastAsia="Times New Roman" w:hAnsi="Times New Roman"/>
          <w:sz w:val="14"/>
          <w:szCs w:val="14"/>
          <w:color w:val="auto"/>
        </w:rPr>
        <w:t>Suboptimal trial design and execution of neuropsychiatry clinical trials can lead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failed studies and prevent drug approvals. A key challenge in neuropsychiatry clinical development is the placebo effect, which can be impacted by the frequency 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739"/>
        <w:spacing w:after="0" w:line="283" w:lineRule="auto"/>
        <w:rPr>
          <w:sz w:val="20"/>
          <w:szCs w:val="20"/>
          <w:color w:val="auto"/>
        </w:rPr>
      </w:pPr>
      <w:r>
        <w:rPr>
          <w:rFonts w:ascii="Times New Roman" w:cs="Times New Roman" w:eastAsia="Times New Roman" w:hAnsi="Times New Roman"/>
          <w:sz w:val="14"/>
          <w:szCs w:val="14"/>
          <w:color w:val="auto"/>
        </w:rPr>
        <w:t>clinician-administered assessments, the number of treatment arms, the number of sites, and the inclusion of inappropriate patients, including those with inflated baseline ratings and those who are concurrently participating in other studies.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Differentiated Approach</w:t>
      </w:r>
    </w:p>
    <w:p>
      <w:pPr>
        <w:spacing w:after="0" w:line="93"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We are uniquely positioned to develop novel medicines that will make a significant impact for patients and their families through our differentiated, three-pillar approach: 1) identify clinically validated mechanisms held back by issues that can be addressed by our proprietary Glyph platform, 2) create novel medicines with strong intellectual property using Glyph, and 3) apply our team’s expertise to optimize the design and execution of clinical trials and drive successful business outcomes. We believe our approach will enable us to develop transformative treatments for patients and build a leading neuropsychiatry company.</w:t>
      </w:r>
    </w:p>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1) Identify clinically validated mechanisms held back by issues that can be addressed by our proprietary Glyph platform.</w:t>
      </w:r>
    </w:p>
    <w:p>
      <w:pPr>
        <w:spacing w:after="0" w:line="177"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We use our team’s deep expertise in neuropsychiatry drug discovery and development to analyze data generated from prior clinical trials of investigational therapies for depression, anxiety, and other neuropsychiatric disorders. Of the investigational therapies that have demonstrated clinical efficacy, we analyze the factors that have held these molecules back from achieving regulatory or commercial success and identify those that we can address with our Glyph platform, including poor oral bioavailability and/or liver-related adverse events.</w:t>
      </w:r>
    </w:p>
    <w:p>
      <w:pPr>
        <w:spacing w:after="0" w:line="141"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We select product candidates that have the potential to become high-impact, leading therapies and design and conduct early proof-of-concept studies that address key development questions and validate the fundamental hypotheses underlying each program. Molecules that meet all the above criteria become candidates for our Glyph platform.</w:t>
      </w:r>
    </w:p>
    <w:p>
      <w:pPr>
        <w:spacing w:after="0" w:line="1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2) Create novel medicines with strong intellectual property using Glyph.</w:t>
      </w:r>
    </w:p>
    <w:p>
      <w:pPr>
        <w:spacing w:after="0" w:line="177"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Glyph is a lymphatic-targeting prodrug platform that has shown clinical proof of concept in our Phase 1 and Phase 2a clinical trials of GlyphAllo. We can apply Glyph to molecules to overcome limitations such as low oral bioavailability, liver related adverse events, and other side effects. Importantly, every time we Glyph a molecule, it results in the creation of a novel molecule and, therefore, new composition of matter intellectual property.</w:t>
      </w:r>
    </w:p>
    <w:p>
      <w:pPr>
        <w:spacing w:after="0" w:line="141"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development of the Glyph platform has been a culmination of over 50 years of work since researchers began exploring the potential of lymphatic transport to improve drug delivery. Since the 1970s, research has been conducted on highly lipophilic molecules, or molecules that can be dissolved in lipids or fats, that could take advantage of the lymphatic route to bypass first-pass metabolism and target lymphatic tissues. However, this approach was limited by the need for chemical properties like lipophilicity, which can negatively affect drug absorption and metabolism. To overcome these limitations, Dr. Christopher Porter, the co-inventor of Glyph and Director of the Monash Institute of Pharmaceutical Sciences, advanced cleavable prodrugs with lipophilic moieties to promote lymphatic transport and the release of parent drug. Simple triglyceride-based prodrugs with direct conjugation of a desired drug with a lipophilic moiety were explored but did not fully capture the potential of lymphatic targeting prodrugs.</w:t>
      </w:r>
    </w:p>
    <w:p>
      <w:pPr>
        <w:spacing w:after="0" w:line="144"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Dr. Porter, in collaboration with our Head of Chemistry, Dr. Jamie Simpson, then invented our Glyph platform, which advanced the creation of a new type of prodrug that significantly improved lymphatic transport. This proprietary prodrug chemistry is designed to promote enhanced lymphatic uptake while maintaining gut stability and the release of the parent drug. Our Glyph platform enables the design of various linkers, glyceride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moieties, and self-immolative groups tailored for each active pharmaceutical ingredient, or API, candidate, to allow for the release of the API. An illustration of an exemplary lymphatic targeting lipid prodrug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102235</wp:posOffset>
            </wp:positionV>
            <wp:extent cx="4038600" cy="17754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3860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When taken orally, conventional small molecule drugs are absorbed in the gut, enter the portal vein, and travel to the liver, where they can undergo high first-pass metabolism before entering systemic circulation. This can result in low bioavailability, or very little of the drug actually circulating in the body or brain and can also increase the risk of liver-related adverse events. In contrast, dietary fats enter systemic circulation through a completely different pathway: they enter the mesenteric lymphatic system of the gut and traffic into the thoracic duct, bypassing the liver on their way into systemic circulation. With Glyph, we cloak drugs so that the body recognizes them as if they were dietary fats, and traffics them through the lymphatic system, avoiding the liver and transporting them directly into the bloodstream. This improves a molecule’s bioavailability and thereby enables drugs that otherwise need to be given intravenously, to be dosed orally. Glyph also helps to overcome other issues—such as liver toxicity—by avoiding the liver on the first pass and reducing dose while maintaining therapeutic exposure levels. Glyph is, to our knowledge, the only clinically validated lymphatic-targeting platform. Previous examples of oral lymphatic-targeting therapies have yet to result in efficient lymphatic transport, generalized across molecules, or translated to humans.</w:t>
      </w:r>
    </w:p>
    <w:p>
      <w:pPr>
        <w:spacing w:after="0" w:line="144"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 xml:space="preserve">We have pioneered the use of preclinical models to test and validate our lymphatic transport approach. We are able to use a streamlined series of </w:t>
      </w:r>
      <w:r>
        <w:rPr>
          <w:rFonts w:ascii="Times New Roman" w:cs="Times New Roman" w:eastAsia="Times New Roman" w:hAnsi="Times New Roman"/>
          <w:sz w:val="14"/>
          <w:szCs w:val="14"/>
          <w:i w:val="1"/>
          <w:iCs w:val="1"/>
          <w:color w:val="auto"/>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vitro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in vivo </w:t>
      </w:r>
      <w:r>
        <w:rPr>
          <w:rFonts w:ascii="Times New Roman" w:cs="Times New Roman" w:eastAsia="Times New Roman" w:hAnsi="Times New Roman"/>
          <w:sz w:val="14"/>
          <w:szCs w:val="14"/>
          <w:color w:val="auto"/>
        </w:rPr>
        <w:t>assays, which are efficient, repeatable, and highly translatable, and customize prodrug chemistry to each unique active drug.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translatability of these models is illustrated by our GlyphAllo program, which was predicted to have enhanced bioavailability based on our preclinical data. This was confirmed in a Phase 1 trial of GlyphAllo in healthy volunteers, which demonstrated therapeutically relevant exposures following dosing of GlyphAllo.</w:t>
      </w:r>
    </w:p>
    <w:p>
      <w:pPr>
        <w:spacing w:after="0" w:line="143" w:lineRule="exact"/>
        <w:rPr>
          <w:sz w:val="20"/>
          <w:szCs w:val="20"/>
          <w:color w:val="auto"/>
        </w:rPr>
      </w:pPr>
    </w:p>
    <w:p>
      <w:pPr>
        <w:jc w:val="both"/>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We have used Glyph to create over 24 different small molecules based on our Glyph platform’s compatibility with a range of physiochemical properties of small molecules. Our Glyph platform can be used with a range of small molecules, including for indications beyond neuropsychiatry, including oncology, immunology and inflammation, metabolic disease, and obesity.</w:t>
      </w:r>
    </w:p>
    <w:p>
      <w:pPr>
        <w:spacing w:after="0" w:line="1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3) Apply our team’s expertise to optimize the design and execution of clinical trials and drive successful business outcomes.</w:t>
      </w:r>
    </w:p>
    <w:p>
      <w:pPr>
        <w:spacing w:after="0" w:line="177" w:lineRule="exact"/>
        <w:rPr>
          <w:sz w:val="20"/>
          <w:szCs w:val="20"/>
          <w:color w:val="auto"/>
        </w:rPr>
      </w:pPr>
    </w:p>
    <w:p>
      <w:pPr>
        <w:ind w:left="1360" w:right="919" w:firstLine="343"/>
        <w:spacing w:after="0" w:line="283" w:lineRule="auto"/>
        <w:rPr>
          <w:sz w:val="20"/>
          <w:szCs w:val="20"/>
          <w:color w:val="auto"/>
        </w:rPr>
      </w:pPr>
      <w:r>
        <w:rPr>
          <w:rFonts w:ascii="Times New Roman" w:cs="Times New Roman" w:eastAsia="Times New Roman" w:hAnsi="Times New Roman"/>
          <w:sz w:val="14"/>
          <w:szCs w:val="14"/>
          <w:color w:val="auto"/>
        </w:rPr>
        <w:t>Our experienced team has a proven track record of building successful companies that have developed and commercialized innovative neuropsychiatric medicines. We are led by the team that discovered and advanced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6"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Cobenfy, which was first approved by the FDA in September 2024 and is the first new mechanism in over 30 years for patients living with schizophrenia. Within each of our programs, we are implementing key learnings from our collective experience to improve the probability of success. For instance, to optimize the design and execution of the Phase 2b BUOY-1 trial of GlyphAllo in MDD, we aim to implement learnings from the prior trials of allopregnanolone and its synthetic analogs such as zuranolone. These include key design elements to improve durable efficacy and reduce the placebo effect, namely treating patients for the full duration of the primary endpoint, limiting the frequency of clinical assessments, randomizing patients 1:1 to either a single active treatment arm or placebo, and using rigorous patient inclusion criteria. Our strategy to optimize the frequency of clinical assessments is supported by a recent meta-analysis we conducted of major MDD trials over the last 10 years to identify clinical design factors associated with the magnitude of the placebo response. A key finding from this analysis was that the number and frequency of clinician-administered assessments were significantly associated with greater placebo response. Thus, reducing the number and frequency of clinician-administered assessments may decrease the placebo response in MDD trials.</w:t>
      </w:r>
    </w:p>
    <w:p>
      <w:pPr>
        <w:spacing w:after="0" w:line="146"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The table below summarizes the key design elements we are incorporating into our clinical trials to improve durable efficacy and minimize the placebo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102235</wp:posOffset>
            </wp:positionV>
            <wp:extent cx="3584575" cy="1982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84575" cy="198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Product Candidates</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are leveraging our Glyph platform to advance a pipeline of novel candidates to address the significant unmet need for patients with depression and anxiety. Our lead product candidates include GlyphAllo for the treatment of MDD and GlyphAgo for the treatment of GAD.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GlyphAllo: Potential Differentiated Therapy for MDD</w:t>
      </w:r>
    </w:p>
    <w:p>
      <w:pPr>
        <w:spacing w:after="0" w:line="24"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GlyphAllo, is a novel, Glyphed oral prodrug of allopregnanolone, an endogenous neurosteroid and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xml:space="preserve"> PAM that has been clinically validated in two third-party trials, which were sponsored by Sage Therapeutics in the United States for the treatment of PPD and powered for statistical significance, as a rapidly acting antidepressant with anxiolytic and sleep-promoting effects. In each trial, allopregnanolone demonstrated statistically significant results on the primary endpoint of change in baseline at 60 hours in the HAMD-17. However, its scope of clinical use has been constrained by oral bioavailability limitations that the Glyph platform is uniquely designed to solve.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38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are currently advancing GlyphAllo in the Phase 2b BUOY-1 trial in MDD with or without anxious distress, that we believe will be registration-enabling, subject to review by the FDA and/or other comparable regulatory authorities, as the trial is an adequate and well-controlled investigation that seeks to help provide substantial evidence of effectiveness by definitively assessing GlyphAllo’s efficacy and safety in several hundred patients. We believe that GlyphAllo has the potential to be a leading treatment for MDD.</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Background on MDD and Market Opportunity</w:t>
      </w:r>
    </w:p>
    <w:p>
      <w:pPr>
        <w:spacing w:after="0" w:line="93"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MDD is one of the most disabling neuropsychiatric disorders and ranks among the leading causes of disease burden worldwide. As of 2023, 29% of adults in the United States reported having been diagnosed with depression at some point in their life, more than diabetes (16%) or chronic kidney disease (14%). Depression is often characterized by persistent low mood or anhedonia—loss of interest in normally enjoyable activities—as well as changes in sleep, appetite, cognition, psychomotor function, fatigue, feelings of worthlessness, inappropriate guilt, or suicidal ideation. Depression can be debilitating to daily functioning, including school, work, and interpersonal relationships, and it significantly reduces quality of life. Individuals with depression are 20 times more likely to commit suicide than those without depression. In 2022, suicide was the second leading cause of death for people ages 10-14 and 20-34, and the third leading cause of death for people ages 15-19.</w:t>
      </w:r>
    </w:p>
    <w:p>
      <w:pPr>
        <w:spacing w:after="0" w:line="144"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MDD is a highly heterogeneous disease that manifests in myriad ways, with variations in symptoms, severity, and duration. Furthermore, the underlying causes are multifaceted, encompassing genetic, biological, environmental, and psychological factors. For example, according to The American Journal of Psychiatry, more than half of adults diagnosed with MDD also experience notable concurrent anxiety. Individuals with MDD with anxious distress have worse depressive symptoms, higher likelihood of suicidal ideation, and attempted suicide, increased functional and physical impairment, reduced quality of life, and lower response to treatments for MDD. In recognition of the clinical impact of anxious distress, the DSM-5 added in 2013 a specifier for anxious distress in the context of MDD. There are no drugs specifically approved for MDD patients with anxious distress.</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Limitations of the Current Standard of Care in MDD</w:t>
      </w:r>
    </w:p>
    <w:p>
      <w:pPr>
        <w:spacing w:after="0" w:line="93" w:lineRule="exact"/>
        <w:rPr>
          <w:sz w:val="20"/>
          <w:szCs w:val="20"/>
          <w:color w:val="auto"/>
        </w:rPr>
      </w:pPr>
    </w:p>
    <w:p>
      <w:pPr>
        <w:ind w:left="1360" w:right="259" w:firstLine="343"/>
        <w:spacing w:after="0" w:line="277" w:lineRule="auto"/>
        <w:rPr>
          <w:sz w:val="20"/>
          <w:szCs w:val="20"/>
          <w:color w:val="auto"/>
        </w:rPr>
      </w:pPr>
      <w:r>
        <w:rPr>
          <w:rFonts w:ascii="Times New Roman" w:cs="Times New Roman" w:eastAsia="Times New Roman" w:hAnsi="Times New Roman"/>
          <w:sz w:val="13"/>
          <w:szCs w:val="13"/>
          <w:color w:val="auto"/>
        </w:rPr>
        <w:t>Although there are multiple approved antidepressant therapies, only 61% of adults with MDD in the United States received treatment in 2021, according to the National Institute of Mental Health. Of MDD patients who do receive treatment, approximately one-half fail to achieve remission with first-line therapies. Current standard of care for those who respond poorly to initial antidepressant monotherapy treatment relies on polypharmacy and treatment-switching strategies between current options including SSRIs, SNRIs, dopaminergic/noradrenergic drugs, and atypical antipsychotics. Current treatments are also in many cases associated with significant negative side effects such as sexual dysfunction, weight gain, gastrointestinal issues, insomnia, fatigue, nausea, emotional blunting, and others, which limit medication adherence and can negatively impact treatment outcomes. Even when patients achieve symptom remission, standard-of-care therapies may take weeks to yield effect and can even make symptoms like insomnia worse. Therefore, there is a significant unmet need for novel therapies that are more effective and better tolerated for the treatment of people with MDD.</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Validation of Allopregnanolone and GABA Modulation in MDD</w:t>
      </w:r>
    </w:p>
    <w:p>
      <w:pPr>
        <w:spacing w:after="0" w:line="24"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color w:val="auto"/>
        </w:rPr>
        <w:t>Allopregnanolone is an endogenous neurosteroid that is synthesized in the periphery and brain and binds selectively with high affinity to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xml:space="preserve"> receptors. Allopregnanolone has a rapid onset of action and a well-established, clinically validated antidepressant, anxiolytic, and sleep-promoting effect. GlyphAllo retains the activity and potency of endogenous allopregnanolone in oral form. Levels of allopregnanolone peak during the third trimester of pregnancy, and an intravenous infusion formulation of allopregnanolone was approved for the treatment of PPD.</w:t>
      </w:r>
    </w:p>
    <w:p>
      <w:pPr>
        <w:spacing w:after="0" w:line="147"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GABA is the primary inhibitory neurotransmitter in the brain and is a pivotal component of the etiology of depression and anxiety disorders. Reduced GABA levels in the brain are associated with MDD, and cerebrospinal fluid, or CSF, GABA levels are highly correlated with anxiety in patients with MDD and tend to</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38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27" w:lineRule="auto"/>
        <w:rPr>
          <w:sz w:val="20"/>
          <w:szCs w:val="20"/>
          <w:color w:val="auto"/>
        </w:rPr>
      </w:pPr>
      <w:r>
        <w:rPr>
          <w:rFonts w:ascii="Times New Roman" w:cs="Times New Roman" w:eastAsia="Times New Roman" w:hAnsi="Times New Roman"/>
          <w:sz w:val="14"/>
          <w:szCs w:val="14"/>
          <w:color w:val="auto"/>
        </w:rPr>
        <w:t>normalize with successful treatment. Other drugs that target GABA, such as benzodiazepines, have been investigated for MDD; however, these have been largely ineffective as they lack antidepressant effects driven by specific GABA receptor subtypes and can lead to dependence and abuse. Importantly, allopregnanolone binds to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xml:space="preserve"> receptors at distinct sites compared to benzodiazepines and thereby modulates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xml:space="preserve"> signaling in a manner distinct from benzodiazepines.</w:t>
      </w:r>
    </w:p>
    <w:p>
      <w:pPr>
        <w:spacing w:after="0" w:line="2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Prior Clinical Studies of Allopregnanolone and its Synthetic Analogs</w:t>
      </w:r>
    </w:p>
    <w:p>
      <w:pPr>
        <w:spacing w:after="0" w:line="93"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Allopregnanolone and its synthetic analogs, including zuranolone, have been tested in multiple studies in MDD and PPD and have demonstrated rapidly acting antidepressant and anxiolytic effects. An IV formulation of allopregnanolone, brexanolone, was developed and approved by the FDA in 2019 for the treatment of PPD and marketed under the trade name Zulresso. In two positive Phase 3 trials, brexanolone demonstrated statistically significant and clinically meaningful and rapid reductions in HAMD-17 as compared to placebo in patients with PPD. In addition, brexanolone demonstrated rapid and statistically significant anxiolytic effects and improvement in insomnia symptoms from baseline, according to pooled post-hoc analyses of three placebo-controlled trials of brexanolone in PPD.</w:t>
      </w:r>
    </w:p>
    <w:p>
      <w:pPr>
        <w:spacing w:after="0" w:line="14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After oral administration, unmodified allopregnanolone is rapidly and nearly completely metabolized via liver first-pass metabolism, resulting in only a small percentage reaching the systemic circulation and CNS. As a result, oral administration of allopregnanolone does not produce adequate exposure levels for efficacy and is poorly suited for chronic treatment of depression and anxiety disorders. Due to the poor oral bioavailability of allopregnanolone, brexanolone was only available via a 60-hour IV infusion, requiring the presence of a health care provider to continuously monitor the patient.</w:t>
      </w:r>
    </w:p>
    <w:p>
      <w:pPr>
        <w:spacing w:after="0" w:line="14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To overcome the poor bioavailability of brexanolone and the challenges associated with IV administration, an oral synthetic analog of allopregnanolone, zuranolone, was developed. In two Phase 3 studies in PPD conducted by Sage Therapeutics, zuranolone met the primary endpoint and also demonstrated a statistically significant improvement in symptoms of anxiety. Zuranolone was approved by the FDA for the treatment of PPD in 2023 and is marketed under the trade name Zurzuvae.</w:t>
      </w:r>
    </w:p>
    <w:p>
      <w:pPr>
        <w:spacing w:after="0" w:line="141" w:lineRule="exact"/>
        <w:rPr>
          <w:sz w:val="20"/>
          <w:szCs w:val="20"/>
          <w:color w:val="auto"/>
        </w:rPr>
      </w:pPr>
    </w:p>
    <w:p>
      <w:pPr>
        <w:ind w:left="1360" w:right="259" w:firstLine="343"/>
        <w:spacing w:after="0" w:line="244" w:lineRule="auto"/>
        <w:rPr>
          <w:sz w:val="20"/>
          <w:szCs w:val="20"/>
          <w:color w:val="auto"/>
        </w:rPr>
      </w:pPr>
      <w:r>
        <w:rPr>
          <w:rFonts w:ascii="Times New Roman" w:cs="Times New Roman" w:eastAsia="Times New Roman" w:hAnsi="Times New Roman"/>
          <w:sz w:val="14"/>
          <w:szCs w:val="14"/>
          <w:color w:val="auto"/>
        </w:rPr>
        <w:t>In addition to its development in PPD, zuranolone was tested in six placebo-controlled clinical trials in patients with MDD. In these trials, patients received either zuranolone or placebo once daily for two weeks. The primary endpoint in these trials was change from baseline in HAMD-17 score at Day 15 or Day 3. Change from baseline in HAMD-17 score was also assessed at Day 42, when patients had not received treatment for four weeks. Zuranolone demonstrated a rapid antidepressant effect that deepened while patients were on drug and met the primary endpoint in five of the six trials. In the trial that did not meet its primary endpoint, zuranolone showed statistically significant reductions in HAMD-17 total score at Days 3, 8 and 12, but not at Day 15. Zuranolone also demonstrated a statistically significant anxiolytic effect in the WATERFALL trial. We believe the negative results of these trials at Day 42 was primarily due to two key factors related to clinical trial design and execution. First, as patients received treatment for only the first two weeks of the study, patients had not received treatment for approximately four weeks when HAMD-17 score was assessed at Day 42. Second, these studies showed a high placebo response, likely driven by the elevated frequency of clinician-administered assessments. Indeed, according to our meta-analysis of recent antidepressant trials, zuranolone’s WATERFALL trial had approximately double the placebo response and double the frequency of clinician-administered assessments compared to typical antidepressant trials. Zuranolone was generally safe and well tolerated in 2,005 treated patients across seven randomized control trials, with the most common treatment-emergent adverse event being somnolence, an on-target effect of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Despite its demonstrated antidepressant and anxiolytic activity, zuranolone was not approved in MDD by the FDA during its review of the product.</w:t>
      </w:r>
    </w:p>
    <w:p>
      <w:pPr>
        <w:spacing w:after="0" w:line="2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GlyphAllo Overcomes Limitations of Allopregnanolone and its Synthetic Analogs</w:t>
      </w:r>
    </w:p>
    <w:p>
      <w:pPr>
        <w:spacing w:after="0" w:line="93"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GlyphAllo is a novel, Glyphed oral prodrug of allopregnanolone designed to increase the oral bioavailability of allopregnanolone. After oral dosing, GlyphAllo is metabolized to the parent API, allopregnanolone, chemically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386"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identical to the endogenous neurosteroid, which we believe can overcome safety limitations of synthetic analogs of allopregnanolone. Additionally, we believe GlyphAllo may have additional benefits compared to other MDD drugs, including a rapid onset of action, anxiolytic activity, and sleep-promoting effects. Paired with our expertise in designing and executing neuropsychiatry clinical trials, we believe we can overcome the historical limitations seen in the development of allopregnanolone and its synthetic analogs.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GlyphAllo Phase 1 and Phase 2a Trial in Healthy Volunteers</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As initial proof of concept for GlyphAllo, we conducted a trial in 179 healthy volunteers to evaluate the safety, tolerability and pharmacokinetics of GlyphAllo, which included both Phase 1 and Phase 2a portions. Phase 1 was a multi-part trial with single ascending, multiple ascending, and food effect parts with doses ranging from 70 mg to 1,000 mg daily for up to 7 days. The primary endpoints of the Phase 1 portion of the trial were safety and tolerability. The goal of this trial was to demonstrate that orally dosed GlyphAllo can safely achieve therapeutically relevant exposures and demonstrate pharmacodynamic effects consistent with allopregnanolone activity in the brain.</w:t>
      </w:r>
    </w:p>
    <w:p>
      <w:pPr>
        <w:spacing w:after="0" w:line="144" w:lineRule="exact"/>
        <w:rPr>
          <w:sz w:val="20"/>
          <w:szCs w:val="20"/>
          <w:color w:val="auto"/>
        </w:rPr>
      </w:pPr>
    </w:p>
    <w:p>
      <w:pPr>
        <w:ind w:left="1360" w:right="339" w:firstLine="343"/>
        <w:spacing w:after="0" w:line="280" w:lineRule="auto"/>
        <w:rPr>
          <w:sz w:val="20"/>
          <w:szCs w:val="20"/>
          <w:color w:val="auto"/>
        </w:rPr>
      </w:pPr>
      <w:r>
        <w:rPr>
          <w:rFonts w:ascii="Times New Roman" w:cs="Times New Roman" w:eastAsia="Times New Roman" w:hAnsi="Times New Roman"/>
          <w:sz w:val="13"/>
          <w:szCs w:val="13"/>
          <w:color w:val="auto"/>
        </w:rPr>
        <w:t>In the Phase 1 trial, we observed that GlyphAllo resulted in dose-dependent levels of allopregnanolone in plasma with no accumulation and minimal evidence of a clinically meaningful food effect. Across dose groups, the estimated time to peak exposure was between three to four hours, and the terminal half-life after single or multiple doses was approximately 24 hours. Unlike synthetic analogs of allopregnanolone that can exhibit delayed elimination rates compared to endogenous allopregnanolone, levels of allopregnanolone dropped to 15% of Cmax by eight hours post-dose following administration of GlyphAllo, which we believe will reduce or eliminate next-day somnolence or drowsiness. Oral administration of GlyphAllo in the Phase 1 trial of GlyphAllo achieved therapeutic exposure levels comparable to those that occur naturally during the third trimester of pregnancy.</w:t>
      </w:r>
    </w:p>
    <w:p>
      <w:pPr>
        <w:spacing w:after="0" w:line="13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At these therapeutically relevant levels, GlyphAllo also demonstrated pharmacodynamic effects consistent with allopregnanolone activity in the brain. These additional measures include increased beta electroencephalogram, or beta EEG, power versus placebo and reduced saccadic eye velocity, or SEV, at four hours post dose, consistent with the pharmacology of IV allopregnanolone. Both allopregnanolone blood concentrations and brain activity signals peaked at 3-5 hours post-dose and declined by 6-8 hours.</w:t>
      </w:r>
    </w:p>
    <w:p>
      <w:pPr>
        <w:spacing w:after="0" w:line="13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GlyphAllo Provided Therapeutically Relevant Allopregnanolone Exposures and Demonstrated Pharmacodynamic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135255</wp:posOffset>
            </wp:positionV>
            <wp:extent cx="4004945" cy="1695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04945" cy="169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On the primary endpoints of safety and tolerability, GlyphAllo was generally well-tolerated with no serious or severe adverse events, or AEs, including no events of excessive sedation, altered state of consciousness, loss of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386"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31" w:lineRule="auto"/>
        <w:rPr>
          <w:sz w:val="20"/>
          <w:szCs w:val="20"/>
          <w:color w:val="auto"/>
        </w:rPr>
      </w:pPr>
      <w:r>
        <w:rPr>
          <w:rFonts w:ascii="Times New Roman" w:cs="Times New Roman" w:eastAsia="Times New Roman" w:hAnsi="Times New Roman"/>
          <w:sz w:val="14"/>
          <w:szCs w:val="14"/>
          <w:color w:val="auto"/>
        </w:rPr>
        <w:t>consciousness, pre-syncope, syncope, falls, or suicidal ideation or behavior. These data were consistent with the safety profile seen in our extensive non-clinical dog toxicity studies. All treatment-related AEs were transient, mild or moderate, and were consistent with the known pharmacology profile of allopregnanolone. These events were generally dose- and time-dependent, occurring more frequently at high doses and early in dosing. The most common AE was mild and transient somnolence, an on-target effect of GABA</w:t>
      </w:r>
      <w:r>
        <w:rPr>
          <w:rFonts w:ascii="Times New Roman" w:cs="Times New Roman" w:eastAsia="Times New Roman" w:hAnsi="Times New Roman"/>
          <w:sz w:val="21"/>
          <w:szCs w:val="21"/>
          <w:color w:val="auto"/>
          <w:vertAlign w:val="subscript"/>
        </w:rPr>
        <w:t>A</w:t>
      </w:r>
      <w:r>
        <w:rPr>
          <w:rFonts w:ascii="Times New Roman" w:cs="Times New Roman" w:eastAsia="Times New Roman" w:hAnsi="Times New Roman"/>
          <w:sz w:val="14"/>
          <w:szCs w:val="14"/>
          <w:color w:val="auto"/>
        </w:rPr>
        <w:t>. Furthermore, Stanford Sleepiness Score, or SSS, scores returned to baseline by six hours post-dosing, and this effect decreased after Day 1.</w:t>
      </w:r>
    </w:p>
    <w:p>
      <w:pPr>
        <w:spacing w:after="0" w:line="157"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Based on the demonstration of therapeutically relevant plasma exposures of allopregnanolone and pharmacodynamic markers of allopregnanolone activity in the brain observed in Phase 1, we evaluated an active, well-tolerated dose of GlyphAllo in an initial proof-of-concept trial in healthy volunteers. As allopregnanolone is an anti-stress hormone and has demonstrated clinical efficacy in PPD, a form of major depression that is also characterized by high anxiety, we conducted a Phase 2a initial proof-of-concept trial in Australia using a validated clinical model of anxiety in healthy volunteers called the Trier Social Stress Test, or TSST. This randomized, double-blind, placebo-controlled trial evaluated a single dose of GlyphAllo (375 mg) or placebo given in the morning to 80 healthy volunteers. The TSST involves preparing a speech and delivering it in front of a panel of judges, followed by a mental math test judged by the panel. Typically, participants will have a robust increase in salivary cortisol, the body’s primary stress hormone, in response to the TSST.</w:t>
      </w:r>
    </w:p>
    <w:p>
      <w:pPr>
        <w:spacing w:after="0" w:line="14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Design of Phase 2a Trial of GlyphAllo Using the TSST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135255</wp:posOffset>
            </wp:positionV>
            <wp:extent cx="4051935" cy="1675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51935"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386"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In this trial, individuals receiving placebo exhibited a robust increase in salivary cortisol in response to the TSST. In contrast, this increase in the physiological stress response was potently blunted by a single dose of GlyphAllo, with a p-value of 0.0001, meeting the primary endpoint. To date, the only approved or investigational psychiatric medication to demonstrate reduced salivary cortisol levels in response to the TSST is alprazolam, a benzodiazepine that has been marketed as Xanax.</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GlyphAllo Potently Blunted Salivary Cortisol Response to the TSST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74930</wp:posOffset>
            </wp:positionV>
            <wp:extent cx="2890520" cy="2209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0520"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Self-reported assessments of anxiety were also collected using the State-Trait Anxiety Inventory which confirmed that the TSST transiently and modestly increased self-reported anxiety in both the placebo and GlyphAllo groups. These results are consistent with previous data showing that healthy volunteers are less likely to self-report anxiety symptoms following the TSST compared to patients with an anxiety disorder, who may experience a heightened negative psychological response to social stress. These results are also consistent with previously published self-reported assessments during the TSST using known anxiolytic drugs such as alprazolam in healthy volunteers, in which self-reported anxiety increased in both drug and placebo groups in response to the TSST. Treatment-emergent related adverse events occurring at &gt;5% were somnolence (29% GlyphAllo vs. 13% placebo) dizziness (20% GlyphAllo vs. 3% placebo), and headache (7.3% GlyphAllo vs. 7.7% placebo), all of which were transient and mild or moderate in severity. No treatment-related severe or serious AEs were reported. The results of these Phase 1 and Phase 2a trials support the continued development of GlyphAllo as a potential medicine for MDD with or without anxious distress.</w:t>
      </w:r>
    </w:p>
    <w:p>
      <w:pPr>
        <w:spacing w:after="0" w:line="2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GlyphAllo Phase 2b BUOY-1 Trial in MDD</w:t>
      </w:r>
    </w:p>
    <w:p>
      <w:pPr>
        <w:spacing w:after="0" w:line="93"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In July 2025, we initiated the Phase 2b BUOY-1 trial of GlyphAllo in the United States and the EU in adults with MDD with or without anxious distress. BUOY-1 is a global, randomized, double-blind, placebo-controlled trial with an open-label extension to evaluate the efficacy, safety, and tolerability of GlyphAllo. Patients will be randomized to GlyphAllo or placebo during the double-blind period. In the active treatment arm, GlyphAllo will</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386"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be administered once daily at bedtime at flexible fixed doses ranging from 125 mg to 375 mg. On Day 42, patients completing the double-blind period will be eligible to enter a six-week open label extension, or OLE, trial.</w:t>
      </w:r>
    </w:p>
    <w:p>
      <w:pPr>
        <w:spacing w:after="0" w:line="1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Design of Phase 2b BUOY-1 Trial of GlyphAllo in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135255</wp:posOffset>
            </wp:positionV>
            <wp:extent cx="4051935" cy="129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5193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have included a prespecified sample size re-estimation, or SSRE, in BUOY-1 with the aim of optimizing the sample size in the trial. We expect to receive topline data from BUOY-1 in the first half of 2027, and this anticipated timing is based on the full sample size of up to approximately 360 patients.</w:t>
      </w:r>
    </w:p>
    <w:p>
      <w:pPr>
        <w:spacing w:after="0" w:line="13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To further evaluate the safety profile of GlyphAllo in the BUOY-1 trial, we conducted intensive safety monitoring on approximately 40 patients enrolled in the United States with oversight by a data monitoring committee, or DMC, as per protocol. In these patients, no events of loss of consciousness, syncope, excessive sedation, falls, or hypoxia were reported, and intensive safety monitoring in BUOY-1 has been discontinued. There has been no intensive safety monitoring of patients enrolled in the EU. There is a full driving restriction for patients enrolled in the BOUY-1 trial in the United States, and a shorter, six-hour driving restriction for patients enrolled in the EU. As part of the broader GlyphAllo development program, we plan to conduct additional studies, including a driving study, which we plan to initiate by the end of 2026, with data from that study expected ahead of the topline readout of BUOY-1.</w:t>
      </w:r>
    </w:p>
    <w:p>
      <w:pPr>
        <w:spacing w:after="0" w:line="14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We expect topline data from the Phase 2b BUOY-1 trial in the first half of 2027. Based on the results of our Phase 2b clinical trial, we intend to consult with the FDA about the potential to use this trial to support our registrational filing for MDD.</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Opportunities to Expand the Potential for GlyphAllo in MDD and Other Indications</w:t>
      </w:r>
    </w:p>
    <w:p>
      <w:pPr>
        <w:spacing w:after="0" w:line="93"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While the development and commercialization of GlyphAllo for the treatment of MDD with or without anxious distress is our primary focus, we plan to evaluate GlyphAllo in additional indications as part of our longer-term growth strategy. For instance, since allopregnanolone is a rapidly acting antidepressant with anxiolytic and sleep-promoting effects, we may also evaluate GlyphAllo as a treatment for other stress-related mood and anxiety disorders.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GlyphAgo: Potential Differentiated Therapy for GAD</w:t>
      </w:r>
    </w:p>
    <w:p>
      <w:pPr>
        <w:spacing w:after="0" w:line="9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GlyphAgo is a novel, Glyphed oral prodrug of agomelatine that we are developing for the treatment of GAD. We are currently progressing a key Phase 1 proof-of-concept trial of GlyphAgo in Australia in healthy volunteers in which we plan to enroll up to approximately 190 participants. Agomelatine, a clinically validated melatonin receptor agonist and serotonin 2C receptor antagonist, is an effective anxiolytic and antidepressant approved for the treatment of GAD in Australia and MDD in Australia and the EU. With GlyphAgo, we aim to achieve the exposure levels of agomelatine that are effective in GAD, but at a lower dose that reduces or eliminates the need for liver function testing, while creating new composition of matter IP.</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38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168910</wp:posOffset>
            </wp:positionV>
            <wp:extent cx="4038600" cy="17354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38600"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Background on GAD and Market Opportunity</w:t>
      </w:r>
    </w:p>
    <w:p>
      <w:pPr>
        <w:spacing w:after="0" w:line="93"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According to the World Health Organization, anxiety disorders affect 359 million people worldwide, as of 2021. Of these, 100 million adults suffer from GAD, including more than seven million adults in the United States, according to JAMA Psychiatry as of 2017. As there have been no new approved therapies for GAD in almost two decades, and the current standards of care for GAD are characterized by modest efficacy, slow onset, and/or unfavorable side effects, there is a significant unmet need for novel treatments. GAD results in excessive, obsessive, and continuous stress to the point where patients are incapable of living normal lives or carrying out standard daily routines. GAD patients typically have uncontrollable symptoms of restlessness, fatigue, inability to focus, irritability, muscle tension, and sleep disturbance. GAD places substantial strain on the broader healthcare system, with patients with GAD having more than twice as many health care visits and almost nine times more mental health care visits than those without GAD.</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Current Standard of Care and Limitations in GAD</w:t>
      </w:r>
    </w:p>
    <w:p>
      <w:pPr>
        <w:spacing w:after="0" w:line="93"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According to the Anxiety &amp; Depression Association of America, as of 2025, more than approximately half of GAD patients do not receive treatment, and those that do typically are prescribed SSRI or SNRI agents, which can have significant AEs including weight gain, sexual dysfunction, emotional blunting, and insomnia. These AEs, coupled with the observation that only half of patients respond to these medications, lead many patients to pursue augmentation therapies including benzodiazepines, buspirone, gabapentin, mirtazapine, or antipsychotics—each with its own risks. For example, benzodiazepines are widely used and can result in dependence and abuse in just a few weeks. Despite this, approximately 1 in 8 adults in the United States use benzodiazepines each year.</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Clinical Validation of Agomelatine in GAD</w:t>
      </w:r>
    </w:p>
    <w:p>
      <w:pPr>
        <w:spacing w:after="0" w:line="9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Agomelatine is a clinically validated anxiolytic and antidepressant and is approved in Australia for the treatment of GAD. Agomelatine has demonstrated clinical efficacy compared to placebo in four out of four third-party, randomized, placebo-controlled studies in GAD, and its efficacy in GAD is better than standard-of-care drugs like benzodiazepines or SSRIs. These studies demonstrate a favorable efficacy and tolerability profile, with the only key exception being dose-dependent elevations in liver enzymes in a small but notable percentage of patients. As a result, frequent liver function testing is required prior to and during use of agomelatine. Agomelatine is also approved in the EU and Australia for the treatment of MDD, but it has never been approved in the United States.</w:t>
      </w:r>
    </w:p>
    <w:p>
      <w:pPr>
        <w:spacing w:after="0" w:line="143"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The favorable efficacy and safety profile of agomelatine in GAD is supported by a recent meta-analysis of 22 pharmacological treatments evaluated in randomized trials of adult outpatients with GAD. This non-head-to-head,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38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literature meta-analysis, which was based on data collected from 25,441 patients across 89 trials, including two placebo-controlled trials of agomelatine, found that agomelatine demonstrated superior efficacy compared to SSRIs and benzodiazepines. In addition, agomelatine demonstrated a superior tolerability profile compared to both benzodiazepines, which have abuse potential, and SSRIs, which can have significant AEs, including insomnia, sexual dysfunction, emotional blunting, weight gain, and even withdrawal symptoms in the event of discontinuation.</w:t>
      </w:r>
    </w:p>
    <w:p>
      <w:pPr>
        <w:spacing w:after="0" w:line="141"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The favorable efficacy and safety profile of agomelatine in GAD is also supported by a recent systematic review and network meta-analysis that aimed to assess the efficacy and tolerability of agomelatine versus approved medications for the treatment of GAD. This non-head-to-head analysis was based on a total of 25 trials, including three placebo-controlled trials of agomelatine. Using the treatment rankings based on the network meta-analysis results, agomelatine was found to be the most favorable drug in terms of both efficacy (measured by remission rate) and tolerability (measured by discontinuation due to AEs) among the analyzed competitors (venlafaxine, escitalopram, paroxetine, duloxetine, and pregabalin).</w:t>
      </w:r>
    </w:p>
    <w:p>
      <w:pPr>
        <w:spacing w:after="0" w:line="144"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Moreover, agomelatine’s favorable tolerability profile consists of no statistically significant difference in overall adverse events or dropout rate and no association with clinically significant somnolence compared to placebo. Agomelatine does not cause sexual dysfunction. Specifically, no deleterious effect on sexual function was observed during agomelatine treatment over 12 or 24-week treatment periods in a specific sexual dysfunction comparative trial in remitted depressed patients. Agomelatine also does not exhibit the “hangover” effects (e.g., lethargy, fatigue, decreased motivation, anxiety, etc.) caused by various antidepressants and antipsychotics. Agomelatine, in a head-to-head study conducted by a third-party, also improves sleep latency, sleep architecture, and daytime sleepiness compared to escitalopram (SSRI), which can worsen sleep and cause insomnia. This makes agomelatine well-suited for GAD, where sleep disturbance is a core symptom.</w:t>
      </w:r>
    </w:p>
    <w:p>
      <w:pPr>
        <w:spacing w:after="0" w:line="3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Agomelatine Improves Sleep Compared to Escitalopram (SSRI)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135255</wp:posOffset>
            </wp:positionV>
            <wp:extent cx="4038600" cy="26435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38600" cy="264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38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Quera-Salva, Maria-Antonia, et al. (2011) Comparison of agomelatine and escitalopram on nighttime sleep and daytime condition and efficacy in major depressive disorder patients.</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International clinical psychopharmacology, 26(5), 252-262</w:t>
      </w:r>
    </w:p>
    <w:p>
      <w:pPr>
        <w:spacing w:after="0" w:line="148"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Despite the superior tolerability profile of agomelatine, clinical uptake has been limited by the requirement for frequent liver function monitoring. Due to extensive first-pass liver metabolism, the oral bioavailability of agomelatine is very low (~1%), and the frequency of liver transaminase elevations with agomelatine treatment is two to five-fold greater than placebo. As a result, patients in Australia and the EU—where agomelatine is approved—are required to undergo frequent liver function tests. Specifically, liver function tests must be performed before starting treatment, after 3, 6, 12, and 24 weeks, and when increasing dose. This burdensome liver testing, combined with a lack of patent protection, has limited clinical and commercial adoption of agomelatine.</w:t>
      </w:r>
    </w:p>
    <w:p>
      <w:pPr>
        <w:spacing w:after="0" w:line="143"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Glyph enables bypass of liver first-pass metabolism, improving oral bioavailability and enabling the potential to achieve therapeutic exposures at a lower dose. As the increases in liver transaminase levels observed with agomelatine are dose-dependent, our goal is to achieve the exposure levels of agomelatine that are effective in GAD, but at a higher bioavailability and thus lower dose that reduces or eliminates the need for liver function testing. Based on internal analyses, we believe a two-fold increase in the bioavailability of agomelatine will reduce or eliminate liver enzyme elevations.</w:t>
      </w:r>
    </w:p>
    <w:p>
      <w:pPr>
        <w:spacing w:after="0" w:line="13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Agomelatine Can Cause Dose-Dependent Liver Enzyme Elevations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135255</wp:posOffset>
            </wp:positionV>
            <wp:extent cx="3918585" cy="24568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18585" cy="2456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GlyphAgo in Preclinical Studies</w:t>
      </w:r>
    </w:p>
    <w:p>
      <w:pPr>
        <w:spacing w:after="0" w:line="93" w:lineRule="exact"/>
        <w:rPr>
          <w:sz w:val="20"/>
          <w:szCs w:val="20"/>
          <w:color w:val="auto"/>
        </w:rPr>
      </w:pPr>
    </w:p>
    <w:p>
      <w:pPr>
        <w:ind w:left="1360" w:right="399" w:firstLine="343"/>
        <w:spacing w:after="0" w:line="257" w:lineRule="auto"/>
        <w:rPr>
          <w:sz w:val="20"/>
          <w:szCs w:val="20"/>
          <w:color w:val="auto"/>
        </w:rPr>
      </w:pPr>
      <w:r>
        <w:rPr>
          <w:rFonts w:ascii="Times New Roman" w:cs="Times New Roman" w:eastAsia="Times New Roman" w:hAnsi="Times New Roman"/>
          <w:sz w:val="14"/>
          <w:szCs w:val="14"/>
          <w:color w:val="auto"/>
        </w:rPr>
        <w:t>As validation for GlyphAgo and further validation for our Glyph platform, we conducted in vivo studies in NHPs to evaluate the potential for GlyphAgo to achieve therapeutic exposure levels at a lower dose that may reduce or eliminate the need for liver function testing. In these studies, we dosed NHPs with either GlyphAgo or an equivalent (i.e., equimolar) amount of agomelatine alone (Dose A), or a greater dose of GlyphAgo (Dose B). GlyphAgo was shown to enhance lymphatic absorption and provide significantly higher systemic exposures of agomelatine compared to agomelatine alone. Oral dosing of GlyphAgo in a rat model resulted in over 50% of agomelatine being transported through the mesenteric lymphatics versus less than 1% for orally dosed</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0159"/>
          </w:cols>
          <w:pgMar w:left="300" w:top="38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agomelatine alone. Following administration of agomelatine alone, levels of agomelatine in plasma were below the limit of quantification, consistent with the low oral bioavailability of agomelatine in humans and NHPs (Valdoxan EPAR). In contrast, administration of GlyphAgo substantially increased plasma exposures of agomelatine compared with agomelatine alone, demonstrating the potential of GlyphAgo to achieve therapeutic exposures of agomelatine while minimizing the dose impacting the liver.</w:t>
      </w:r>
    </w:p>
    <w:p>
      <w:pPr>
        <w:spacing w:after="0" w:line="13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GlyphAgo Substantially Increased Plasma Agomelatine Levels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135255</wp:posOffset>
            </wp:positionV>
            <wp:extent cx="2917190" cy="25101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17190" cy="251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Following the therapeutic exposures achieved with GlyphAgo in our NHP studies, we modelled the clinical implications of these data with respect to potential liver enzyme elevations using DILIsym, an analytical, computational model-based software capable of predicting and explaining Drug-Induced Liver Injury, or DILI. The FDA uses and cites DILIsym in drug approvals as the standard software for the quantitative prediction and investigation of DILI.</w:t>
      </w:r>
    </w:p>
    <w:p>
      <w:pPr>
        <w:spacing w:after="0" w:line="141" w:lineRule="exact"/>
        <w:rPr>
          <w:sz w:val="20"/>
          <w:szCs w:val="20"/>
          <w:color w:val="auto"/>
        </w:rPr>
      </w:pPr>
    </w:p>
    <w:p>
      <w:pPr>
        <w:ind w:left="1360" w:right="239" w:firstLine="343"/>
        <w:spacing w:after="0" w:line="275" w:lineRule="auto"/>
        <w:rPr>
          <w:sz w:val="20"/>
          <w:szCs w:val="20"/>
          <w:color w:val="auto"/>
        </w:rPr>
      </w:pPr>
      <w:r>
        <w:rPr>
          <w:rFonts w:ascii="Times New Roman" w:cs="Times New Roman" w:eastAsia="Times New Roman" w:hAnsi="Times New Roman"/>
          <w:sz w:val="13"/>
          <w:szCs w:val="13"/>
          <w:color w:val="auto"/>
        </w:rPr>
        <w:t>One useful output of DILIsym is an eDISH (Evaluation of Drug-Induced Serious Hepatotoxicity) plot. eDISH plots are a standard way that the FDA evaluates liver safety of new drug candidates in clinical trials. eDISH graphs the peak serum alanine aminotransferase (ALT; a liver enzyme) value and peak serum bilirubin value observed in each patient (or simulated patient) in a clinical trial along the x-axis and y-axis, respectively. Each patient (or simulated patient) is represented by a single point on the graph, and liver enzyme elevations (&gt;3x upper limit of normal) are indicated by the presence of points on the right half of the graph. We first simulated the relationship between agomelatine dose and liver enzyme elevations using available clinical data for two approved doses of agomelatine (25 and 50 mg). Next, we simulated potential liver enzyme elevations following administration of GlyphAgo at doses designed to generate comparable systemic exposures of agomelatine, using assumptions derived from our in vivo study in NHPs described above. The results are shown in the four eDISH plots below. The eDISH plots in the upper row represent approved doses of agomelatine (25 mg and 50 mg) and recapitulate the liver enzyme elevations observed in previous clinic trials of agomelatine. The eDISH plots in the lower row represent doses of GlyphAgo with enhanced bioavailability and thus lower doses of agomelatine, which in contrast show no liver enzyme elevations.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38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DILIsym Simulations Demonstrate that GlyphAgo is Not Projected to Cause Liver Enzyme Elevations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135255</wp:posOffset>
            </wp:positionV>
            <wp:extent cx="4065270" cy="25031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527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Therefore, our DILIsym simulations demonstrated that, with conservative estimates, clinically relevant doses of GlyphAgo are not projected to cause liver enzyme elevations.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Clinical Development Plan of GlyphAgo in GAD</w:t>
      </w:r>
    </w:p>
    <w:p>
      <w:pPr>
        <w:spacing w:after="0" w:line="9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are advancing a Phase 1 proof-of-concept trial of GlyphAgo in healthy adult volunteers in which we plan to enroll up to approximately 190 participants, that we believe has the potential to be proof of concept, in addition to addressing key development questions for the GlyphAgo program. In this trial, we aim to demonstrate that GlyphAgo can achieve exposure levels that have demonstrated efficacy in GAD at a lower dose that does not cause an increase in liver enzymes and reduces or eliminates the need for liver function testing. This Phase 1 trial will be conducted in multiple parts to evaluate the safety, tolerability, and pharmacokinetics of GlyphAgo compared to agomelatine. The primary endpoints will be safety, tolerability, and pharmacokinetics. It will include single- and multiple-ascending dose phases, as well as a food-effect crossover portion, using both open-label and placebo-controlled designs.</w:t>
      </w:r>
    </w:p>
    <w:p>
      <w:pPr>
        <w:spacing w:after="0" w:line="144"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In April 2026, we reported topline data from the SAD and crossover portions of our Phase 1 proof-of-concept clinical trial of GlyphAgo. In the head-to-head crossover portion of the trial, GlyphAgo demonstrated a 6.8-fold increase in bioavailability of agomelatine compared to unmodified orally administered agomelatine. GlyphAgo also showed significantly lower (10-fold) PK variability compared to unmodified agomelatine. The crossover portion included participants who were taking estrogen-containing oral contraceptives that are known to increase agomelatine exposure due to liver drug-drug interaction. In contrast, GlyphAgo exposure was unaffected by oral contraceptives, further supporting the ability of GlyphAgo to bypass first - pass liver metabolism. GlyphAgo demonstrated a 9.6 to 14.5-fold increase in dose-normalized exposure compared to agomelatine in a separate SAD portion of the trial in which no participants were on oral contraceptives. GlyphAgo was well tolerated and no liver-related AEs were observed. We plan to initiate a Phase 2a proof-of-pharmacology trial designed to evaluate the potential sleep benefit of GlyphAgo in patients with GAD and sleep disturbance, with topline data expected in early 2028.</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386"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4"/>
          <w:szCs w:val="14"/>
          <w:b w:val="1"/>
          <w:bCs w:val="1"/>
          <w:color w:val="auto"/>
        </w:rPr>
        <w:t>GlyphAgo</w:t>
      </w:r>
      <w:r>
        <w:rPr>
          <w:rFonts w:ascii="Times New Roman" w:cs="Times New Roman" w:eastAsia="Times New Roman" w:hAnsi="Times New Roman"/>
          <w:sz w:val="21"/>
          <w:szCs w:val="21"/>
          <w:b w:val="1"/>
          <w:bCs w:val="1"/>
          <w:color w:val="auto"/>
          <w:vertAlign w:val="superscript"/>
        </w:rPr>
        <w:t>TM</w:t>
      </w:r>
      <w:r>
        <w:rPr>
          <w:rFonts w:ascii="Times New Roman" w:cs="Times New Roman" w:eastAsia="Times New Roman" w:hAnsi="Times New Roman"/>
          <w:sz w:val="14"/>
          <w:szCs w:val="14"/>
          <w:b w:val="1"/>
          <w:bCs w:val="1"/>
          <w:color w:val="auto"/>
        </w:rPr>
        <w:t xml:space="preserve"> Exceeded Target of Two-Fold Increase in Bioavailability Compared to Unmodified Agomelatine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84455</wp:posOffset>
            </wp:positionV>
            <wp:extent cx="3631565" cy="18961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31565" cy="1896110"/>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60"/>
        <w:spacing w:after="0" w:line="230" w:lineRule="auto"/>
        <w:rPr>
          <w:sz w:val="20"/>
          <w:szCs w:val="20"/>
          <w:color w:val="auto"/>
        </w:rPr>
      </w:pPr>
      <w:r>
        <w:rPr>
          <w:rFonts w:ascii="Times New Roman" w:cs="Times New Roman" w:eastAsia="Times New Roman" w:hAnsi="Times New Roman"/>
          <w:sz w:val="11"/>
          <w:szCs w:val="11"/>
          <w:color w:val="auto"/>
        </w:rPr>
        <w:t>Figure 1. Exposure (AUC</w:t>
      </w:r>
      <w:r>
        <w:rPr>
          <w:rFonts w:ascii="Times New Roman" w:cs="Times New Roman" w:eastAsia="Times New Roman" w:hAnsi="Times New Roman"/>
          <w:sz w:val="8"/>
          <w:szCs w:val="8"/>
          <w:color w:val="auto"/>
        </w:rPr>
        <w:t>0-24</w:t>
      </w:r>
      <w:r>
        <w:rPr>
          <w:rFonts w:ascii="Times New Roman" w:cs="Times New Roman" w:eastAsia="Times New Roman" w:hAnsi="Times New Roman"/>
          <w:sz w:val="11"/>
          <w:szCs w:val="11"/>
          <w:color w:val="auto"/>
        </w:rPr>
        <w:t>) of agomelatine produced by agomelatine 25 mg (ago 25 mg) or three dose levels of GlypgAgo (containing 2.5 mg, 5mg, and 10 mg of Agomelatine respectively) from the single ascending dose (SAD) portion of study (SPT-320-2024-101). GlyphAgo demonstrated a 9.6-14.5-fold increase in dose-normalized AUC compared to agomelatine. Horizontal line represents geometric mean.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59"/>
        <w:spacing w:after="0" w:line="227" w:lineRule="auto"/>
        <w:rPr>
          <w:sz w:val="20"/>
          <w:szCs w:val="20"/>
          <w:color w:val="auto"/>
        </w:rPr>
      </w:pPr>
      <w:r>
        <w:rPr>
          <w:rFonts w:ascii="Times New Roman" w:cs="Times New Roman" w:eastAsia="Times New Roman" w:hAnsi="Times New Roman"/>
          <w:sz w:val="11"/>
          <w:szCs w:val="11"/>
          <w:color w:val="auto"/>
        </w:rPr>
        <w:t>Figure 2. Exposure (AUC</w:t>
      </w:r>
      <w:r>
        <w:rPr>
          <w:rFonts w:ascii="Times New Roman" w:cs="Times New Roman" w:eastAsia="Times New Roman" w:hAnsi="Times New Roman"/>
          <w:sz w:val="8"/>
          <w:szCs w:val="8"/>
          <w:color w:val="auto"/>
        </w:rPr>
        <w:t>0-24</w:t>
      </w:r>
      <w:r>
        <w:rPr>
          <w:rFonts w:ascii="Times New Roman" w:cs="Times New Roman" w:eastAsia="Times New Roman" w:hAnsi="Times New Roman"/>
          <w:sz w:val="11"/>
          <w:szCs w:val="11"/>
          <w:color w:val="auto"/>
        </w:rPr>
        <w:t>) of agomelatine produced by a single dose of Agomelatine 25 mg (Ago 25 mg) or single dose of GlyphAgo (containing 10mg of Agomelatine) from the crossover portion of study SPT-320-2024-101. In this portion of the trial, exposure provided by GlyphAgo and unmodified agomelatine were compared head-to-head within the same participants. GlyphAgo demonstrated a 6.8-fold increase in does-normalized AUC compared to agomelatine (90% confidence interval, 4.7 to 10.0x; geometric means). Horizontal line represents geometric mean.</w:t>
      </w:r>
    </w:p>
    <w:p>
      <w:pPr>
        <w:spacing w:after="0" w:line="141" w:lineRule="exact"/>
        <w:rPr>
          <w:sz w:val="20"/>
          <w:szCs w:val="20"/>
          <w:color w:val="auto"/>
        </w:rPr>
      </w:pPr>
    </w:p>
    <w:p>
      <w:pPr>
        <w:sectPr>
          <w:pgSz w:w="11900" w:h="16838" w:orient="portrait"/>
          <w:cols w:equalWidth="0" w:num="2">
            <w:col w:w="5720" w:space="180"/>
            <w:col w:w="425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i w:val="1"/>
          <w:iCs w:val="1"/>
          <w:color w:val="auto"/>
        </w:rPr>
        <w:t>Phase 2a and Phase 2b trials of GlyphAgo</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plan to initiate a Phase 2a proof-of-pharmacology trial designed to evaluate the potential sleep benefit of GlyphAgo in patients with GAD and sleep disturbance, with topline data expected in early 2028.</w:t>
      </w:r>
    </w:p>
    <w:p>
      <w:pPr>
        <w:spacing w:after="0" w:line="12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3"/>
          <w:szCs w:val="13"/>
          <w:color w:val="auto"/>
        </w:rPr>
        <w:t>We also plan to initiate in parallel, a randomized, double-blind, placebo-controlled Phase 2b trial evaluating the efficacy and safety of GlyphAgo in patients with GAD, with topline data expected by the end of 2028. This multiregional trial is designed to be registration-enabling, subject to review by the FDA and other comparable regulatory authorities, as an adequate and well-controlled investigation that seeks to provide substantial evidence of effectiveness by assessing GlyphAgo’s efficacy and safety in several hundred patients. Although this trial is designed to be registration-enabling, additional clinical trials may be required prior to the submission of a new drug application even if this trial is successful or positive.</w:t>
      </w: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Opportunities to Expand the Potential for GlyphAgo in GAD and Other Indications</w:t>
      </w:r>
    </w:p>
    <w:p>
      <w:pPr>
        <w:spacing w:after="0" w:line="93"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Although the development and commercialization of GlyphAgo for the treatment of GAD is our primary focus, as part of our longer-term growth strategy, we may evaluate GlyphAgo in other indications as well, including MDD. Indeed, agomelatine is approved for MDD in Australia and the EU, but it is constrained by similar liver function testing requirements in MDD as well. As agomelatine also improves sleep latency, sleep quality, and daytime sleepiness compared to SSRIs, which can worsen sleep and cause insomnia, we may also evaluate GlyphAgo for the treatment of insomnia.</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386" w:right="1440"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Glyph2BLSD: Non-Hallucinogenic Neuroplastogen</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Glyph2BLSD is our novel, Glyphed oral prodrug of the non-hallucinogenic neuroplastogen 2-bromo-LSD, which we are developing for the treatment of depressive disorders, including TRD, PTSD, and headache disorders with significant unmet need. Neuroplastogens are compounds that enhance neuroplasticity, the brain’s ability to form, reorganize, and strengthen neural connections, and include psychedelics and ketamine. They offer the potential to repair disrupted brain circuits and have demonstrated efficacy for treating neuropsychiatric disorders. However, significant challenges remain, including functional unblinding of clinical trials due to the production of hallucinations and sensory disturbances, the accompanying need for supervised administration, and concerns over long-term safety, such as the risk of fibrosis. Leveraging our Glyph platform, we have designed Glyph2BLSD to harness the differentiated and non-hallucinogenic profile of 2-bromo-LSD, which has rapidly acting clinical activity and is not expected to exhibit the risks of fibrosis, cardiovascular effects, or hallucinations characteristic of some other neuroplastogens. With Glyph2BLSD, we aim to improve the pharmacokinetic and tolerability profile of 2-bromo-LSD while maintaining therapeutic exposure levels, and enable the execution of placebo-controlled trials, outpatient dosing, and an enhanced dosing regimen to optimize efficacy.</w:t>
      </w:r>
    </w:p>
    <w:p>
      <w:pPr>
        <w:spacing w:after="0" w:line="2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Development Plan of Glyph2BLSD</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This candidate is in the early stages of development. We are currently conducting first-in-human-enabling studies of Glyph2BLSD, including single- and repeat-dose toxicology studies, in addition to in vitro and in vivo assays to further characterize Glyph2BLSD. We expect to complete first-in-human-enabling studies by the end of 2027. We then expect to initiate a Phase 1 trial to evaluate the safety, tolerability and pharmacokinetics of Glyph2BLSD in healthy volunteers.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Potential Indications for Glyph2BLSD</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Approximately 3 million adults in the United States have TRD, according to The Journal of Clinical Psychiatry, as of 2021. Unlike MDD, which, according to the National Institute of Mental Health, as of 2021, impacts an estimated 21 million adults annually, TRD is characterized by the failure to achieve an adequate response after two or more antidepressant treatments. Patients with TRD face severe challenges, including a significantly lower likelihood of responding to subsequent therapies, a reduced quality of life, and an increased risk of attempting suicide, more than double the rate seen in non-resistant depression. Many of these individuals experience chronic disability, relying heavily on social support systems.</w:t>
      </w:r>
    </w:p>
    <w:p>
      <w:pPr>
        <w:spacing w:after="0" w:line="144"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PTSD affects approximately 12 million individuals in the United States and is also characterized by significant unmet need. There are currently only two approved therapies for PTSD, both of which are SSRIs. We believe Glyph2BLSD has the potential to restore function and improve outcomes to address the significant unmet medical need in TRD and PTSD.</w:t>
      </w:r>
    </w:p>
    <w:p>
      <w:pPr>
        <w:spacing w:after="0" w:line="136"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Trigeminal autonomic cephalalgias, notably cluster headaches, are severe neurological conditions linked to the trigeminal nerve. Cluster headaches affect approximately 150,000 patients in the United States and cause the most severe pain known to humans, greater than labor pain or gunshot wounds. Individuals with cluster headache experience intense pain and autonomic symptoms including eye watering, swelling, and redness, as well as nose congestion. Headache attacks may last for up to 3 hours per episode and occur up to 8 times a day, disrupting patients’ lives. Cluster headache has also been called “suicide headache” due to the increased risk of suicide during headache periods.</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 small trial by Karst et al. showed that three doses of 2-bromo-LSD over a 10-day period significantly reduced the frequency and intensity of chronic cluster headaches, with effects lasting weeks to months. Importantly, the treatment did not induce hallucinations, making it a safer alternative to traditional psychedelics. While the trial was not placebo-controlled, and thus requires additional clinical investigation, we believe that Glyph2BLSD has the potential to optimize the pharmacokinetics of 2-bromo-LSD to ensure precise and sustained dosing, while preserving its non-hallucinogenic profile.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0159"/>
          </w:cols>
          <w:pgMar w:left="300" w:top="38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We are a clinical-stage therapeutics company focused on inventing and developing novel medicines for patients with depression, anxiety, and other debilitating neuropsychiatric disorders. While we believe our Glyph platform can produce small molecules that offer an attractive alternative to branded and generic therapeutics treating neuropsychiatric diseases if they are approved, today we face competition from major pharmaceutical and biopharmaceutical companies, academic institutions, governmental agencies, consortiums, and public and private research institutions, among others. Many of our potential competitors, either alone or with collaboration partners, have significantly greater financial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we are in achieving regulatory approvals and commercializing their neuropsychiatric products.</w:t>
      </w:r>
    </w:p>
    <w:p>
      <w:pPr>
        <w:spacing w:after="0" w:line="14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We believe the key competitive factors affecting the success of our lead product candidates GlyphAllo and GlyphAgo, that we are developing to address MDD and GAD, respectively, if approved, are likely to be efficacy, safety, and frequency of dosing, convenience, price, the level of generic competition, and the availability of reimbursement from government and other third-party payors.</w:t>
      </w:r>
    </w:p>
    <w:p>
      <w:pPr>
        <w:spacing w:after="0" w:line="136"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We are developing GlyphAllo for the treatment of MDD. We believe, if approved, that GlyphAllo would compete with several currently approved therapeutics, including: Caplyta and Spravato (marketed by Janssen Pharmaceuticals), Vraylar (AbbVie and Gideon Richert Plc.), Trintellix (Takeda Pharmaceuticals and Lundbeck), Auvelity (Axsome Therapeutics), and Rexulti and Abilify (Ostuka Pharmaceuticals). We are also aware of multiple potentially competitive late-clinical-stage assets, including azetukalner (Xenon Pharmaceuticals), ALTO-300 and ALTO-203 (Alto Neuroscience) and CYB003 (Cybin). We also face competition from branded and generic atypical antipsychotics and SSRI/SNRIs.</w:t>
      </w:r>
    </w:p>
    <w:p>
      <w:pPr>
        <w:spacing w:after="0" w:line="14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are developing GlyphAgo for the treatment of GAD. We believe, if approved, that GlyphAgo would compete with several currently marketed therapeutics, including: Lyrica and Buspirone (marketed by Viatris) and marketed generic SSRI/SNRIs and benzodiazepines. In relation to both GlyphAgo and Glyph2BLSD, we are also aware of multiple potentially competitive late-clinical-stage assets, including an LSD program (Mind Medicine, MindMed), ENX-102 (Engrail Therapeutics), CYB004 (Cybin), and non-hallucinogenic neuroplastogens (Gilgamesh Pharma and AbbVie).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strive to protect the proprietary technology, inventions and improvements that are commercially important to the development of our business, by seeking, maintaining and standing ready to defend patent rights, whether developed internally or licensed from third parties. We also rely on trademarks, trade secrets and other intellectual property rights relating to our proprietary Glyph platform and product candidates, and on continuing technological innovation and in-licensing opportunities to develop, strengthen and maintain our proprietary and intellectual property position. We may also rely on regulatory and other protections afforded through data and marketing exclusivities, where available.</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We seek to protect the intellectual property and proprietary technology that we consider important to our business by pursuing patent applications that cover our technologies (including the Glyph platform) and product candidates and methods of using the same, as well as any other relevant inventions and improvements that are considered commercially important to the development of our business. We likewise seek to protect the intellectual property to which we obtain rights through licenses and sublicenses and work collaboratively with our licensors to ensure patent prosecution and protection. Our commercial success depends in part upon our ability to obtain and maintain patent and other proprietary protection for our product candidates, commercially important technologies (including the Glyph platform), inventions and trade secrets related to our business, defend and enforce our intellectual property rights, particularly our patent rights and any patents we may own or in-license in the future, preserve the confidentiality of our trade secrets and operate without infringing valid and enforceable intellectual property rights of others.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38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patent positions for therapeutics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that we own or in-license now or in the future.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Notwithstanding the scope of the patent protection available to us, a competitor could develop competitive technologies and products that are not covered by our patents, and we may be unable to stop such competitor from commercializing such technologies and products.</w:t>
      </w:r>
    </w:p>
    <w:p>
      <w:pPr>
        <w:spacing w:after="0" w:line="145"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Our patent portfolio includes a combination of patents and pending patent applications solely owned by us or co-owned with Monash University where Monash University’s rights are exclusively licensed to us, and patents and pending patent applications owned by Monash University that are exclusively licensed to us. As of April 1, 2026, our owned and exclusively licensed patent estate contains eight patent families comprising five issued U.S. patents, fourteen issued patents in Australia, Canada, China, Europe (validated in Great Britain and through a Unitary Patent in Austria, Belgium, Bulgaria, Denmark, Estonia, Finland, France, Germany, Italy, Latvia, Lithuania, Luxembourg, Malta, Netherlands, Portugal, Romania, Slovenia, and Sweden), Japan and New Zealand, eight pending U.S. non-provisional patent applications, two allowed European applications, 40 pending patent applications in various jurisdictions outside of the U.S., as further described below, and three pending PCT international applications.</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GlyphAllo Program</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In addition to the Glyph platform patents and applications discussed below, as of April 1, 2026, with regard to the GlyphAllo program, we co-own with and exclusively license from Monash University one issued U.S. patent relating to composition of matter coverage of GlyphAllo, which is expected to expire in 2041. We also co-own with and exclusively license from Monash University two pending U.S. non-provisional patent applications, one allowed European application, one issued Japanese patent and 21 pending patent applications in Australia, Canada, China, Europe, Hong Kong, India, Israel, Japan, Korea, New Zealand, and Singapore, relating to the composition of matter and methods of treatment which, if issued, will be expected to expire between 2039 and 2041. The foregoing expiration dates may not account for potentially available patent term adjustments or extensions and terminal disclaimers, and assume payment of all appropriate maintenance, renewal, and annuity fees.</w:t>
      </w:r>
    </w:p>
    <w:p>
      <w:pPr>
        <w:spacing w:after="0" w:line="144" w:lineRule="exact"/>
        <w:rPr>
          <w:sz w:val="20"/>
          <w:szCs w:val="20"/>
          <w:color w:val="auto"/>
        </w:rPr>
      </w:pPr>
    </w:p>
    <w:p>
      <w:pPr>
        <w:jc w:val="both"/>
        <w:ind w:left="1360" w:right="479" w:firstLine="343"/>
        <w:spacing w:after="0" w:line="296" w:lineRule="auto"/>
        <w:rPr>
          <w:sz w:val="20"/>
          <w:szCs w:val="20"/>
          <w:color w:val="auto"/>
        </w:rPr>
      </w:pPr>
      <w:r>
        <w:rPr>
          <w:rFonts w:ascii="Times New Roman" w:cs="Times New Roman" w:eastAsia="Times New Roman" w:hAnsi="Times New Roman"/>
          <w:sz w:val="13"/>
          <w:szCs w:val="13"/>
          <w:color w:val="auto"/>
        </w:rPr>
        <w:t>We also solely own one international patent application filed under the Patent Cooperation Treaty (PCT) directed to methods of treating MDD with and without anxious distress using our GlyphAllo product candidate. We expect that any issued patents claiming priority to this application will expire in 2044, without taking into account any possible patent term adjustments or extensions and if all maintenance and annuity fees are paid.</w:t>
      </w:r>
    </w:p>
    <w:p>
      <w:pPr>
        <w:spacing w:after="0" w:line="120"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Neither we nor any other Company has composition of matter patent protection on the parent molecule or the unmodified, non-glyphed form of allopregnanolone. Allopregnanolone, a naturally occurring neuroactive steroid, has no composition-of-matter patent protection in the United States or globally.</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GlyphAgo Program</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addition to the Glyph platform patents and applications discussed below, we also solely own one international patent application filed under the PCT, directed to the composition of matter of our GlyphAgo product candidate and its use. We expect that any issued patents claiming priority to the international patent application will expire in 2044, without taking into account any possible patent term adjustments or extensions and if all maintenance and annuity fees are paid.</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38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Neither we nor any other Company has composition of matter patent protection on the parent molecule or the unmodified, non-glyphed form of agomelatine. The composition-of-matter patents for agomelatine have expired in the United States and worldwide between 2010 and 2012.</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Glyph2BLSD Program</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addition to the Glyph platform patents and applications discussed below, we also solely own one international patent application filed under the PCT, directed to the composition of matter of our Glyph2BLSD product candidate and its use. We expect that any issued patents claiming priority to this international patent application will expire in 2044, without taking into account any possible patent term adjustments or extensions and if all maintenance and annuity fees are paid.</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Glyph Platform</w:t>
      </w:r>
    </w:p>
    <w:p>
      <w:pPr>
        <w:spacing w:after="0" w:line="93"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With regard to the Glyph platform, we exclusively license from Monash University two issued U.S. patents, twelve issued patents in Australia, Canada, China, Europe (validated in Great Britain and through a Unitary Patent in Austria, Belgium, Bulgaria, Denmark, Estonia, Finland, France, Germany, Italy, Latvia, Lithuania, Luxembourg, Malta, Netherlands, Portugal, Romania, Slovenia and Sweden), Japan, and New Zealand, and one allowed European patent application, relating to platform coverage of GlyphAllo, GlyphAgo and Glyph2BLSD, as well as design-around coverage, which are expected to expire between 2035 and 2037. We also exclusively license from Monash University four pending U.S. non-provisional patent applications and 15 pending patent applications in Australia, Canada, China, Europe, Hong Kong, Japan, and New Zealand, relating to platform coverage of GlyphAllo, GlyphAgo and Glyph2BLSD, as well as design-around coverage, which are expected to expire between 2035 and 2036 We also co-own and exclusively license from Monash University two issued U.S. patents, two pending U.S. non-provisional patent applications and four pending patent applications in Australia, Canada, Europe, and Hong Kong, relating to platform coverage of Glyph2BLSD, as well as design-around coverage, which are expected to expire in 2039. The foregoing expiration dates may not account for potentially available patent term adjustments or extensions and terminal disclaimers, and assume payment of all appropriate maintenance, renewal, and annuity fees.</w:t>
      </w:r>
    </w:p>
    <w:p>
      <w:pPr>
        <w:spacing w:after="0" w:line="144" w:lineRule="exact"/>
        <w:rPr>
          <w:sz w:val="20"/>
          <w:szCs w:val="20"/>
          <w:color w:val="auto"/>
        </w:rPr>
      </w:pPr>
    </w:p>
    <w:p>
      <w:pPr>
        <w:ind w:left="1360" w:right="379" w:firstLine="343"/>
        <w:spacing w:after="0" w:line="256" w:lineRule="auto"/>
        <w:rPr>
          <w:sz w:val="20"/>
          <w:szCs w:val="20"/>
          <w:color w:val="auto"/>
        </w:rPr>
      </w:pPr>
      <w:r>
        <w:rPr>
          <w:rFonts w:ascii="Times New Roman" w:cs="Times New Roman" w:eastAsia="Times New Roman" w:hAnsi="Times New Roman"/>
          <w:sz w:val="14"/>
          <w:szCs w:val="14"/>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patent’s term may be lengthened by patent term adjustment, which compensates a patentee for administrative delays by the United States Patent and Trademark Office in examining and granting a patent, or may be shortened if a patent is terminally disclaimed over an earlier expiring patent. Our patent applications may not issue as patents, and even if issued, the scope or term of any issued patent may not afford sufficient protection or competitive advantage to our existing or future products. See the section titled “Risk Factors—Risks related to our intellectual property” for a more comprehensive description of risks related to our intellectual property.</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159"/>
          </w:cols>
          <w:pgMar w:left="300" w:top="38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As of January 15, 2026, we have no outstanding litigation related to our intellectual property nor any threat to initiate claims against us. In the future, we may need to engage in litigation to enforce patents issued or licensed to us, to protect our trade secrets or know-how or to defend against claims of infringement of the rights of others. Such litigation could be costly and could divert our attention from other functions and responsibilities. We may not receive adequate remedies even if we prevail in such litigation and adverse determinations could subject us to significant liabilities to third parties, which could severely harm our business. See the section titled “Risk Factors—Risks related to our intellectual property” for a more comprehensive description of risks related to our intellectual property.</w:t>
      </w:r>
    </w:p>
    <w:p>
      <w:pPr>
        <w:spacing w:after="0" w:line="143" w:lineRule="exact"/>
        <w:rPr>
          <w:sz w:val="20"/>
          <w:szCs w:val="20"/>
          <w:color w:val="auto"/>
        </w:rPr>
      </w:pPr>
    </w:p>
    <w:p>
      <w:pPr>
        <w:ind w:left="1360" w:right="259" w:firstLine="343"/>
        <w:spacing w:after="0" w:line="296" w:lineRule="auto"/>
        <w:rPr>
          <w:sz w:val="20"/>
          <w:szCs w:val="20"/>
          <w:color w:val="auto"/>
        </w:rPr>
      </w:pPr>
      <w:r>
        <w:rPr>
          <w:rFonts w:ascii="Times New Roman" w:cs="Times New Roman" w:eastAsia="Times New Roman" w:hAnsi="Times New Roman"/>
          <w:sz w:val="13"/>
          <w:szCs w:val="13"/>
          <w:color w:val="auto"/>
        </w:rPr>
        <w:t>Although we rely on intellectual property rights, including patents, trademarks and trade secrets, as well as contractual protections to establish and protect our proprietary rights, we believe that factors such as the technological and creative skills of our personnel, creation of new solutions, features and functionality, and frequent enhancements to our platform are also essential to establishing and maintaining our technology leadership position.</w:t>
      </w:r>
    </w:p>
    <w:p>
      <w:pPr>
        <w:spacing w:after="0" w:line="120"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and monitoring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and trade secret information. See the section titled “Risk Factors—Risks related to our intellectual property” for a more comprehensive description of risks related to our intellectual property.</w:t>
      </w:r>
    </w:p>
    <w:p>
      <w:pPr>
        <w:spacing w:after="0" w:line="143"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In addition, we plan to rely on regulatory protection based on orphan drug exclusivities, data exclusivities, and market exclusivities. See the section titled “—Government Regulation” for additional information.</w:t>
      </w:r>
    </w:p>
    <w:p>
      <w:pPr>
        <w:spacing w:after="0" w:line="125" w:lineRule="exact"/>
        <w:rPr>
          <w:sz w:val="20"/>
          <w:szCs w:val="20"/>
          <w:color w:val="auto"/>
        </w:rPr>
      </w:pPr>
    </w:p>
    <w:p>
      <w:pPr>
        <w:ind w:left="1360" w:right="599" w:firstLine="343"/>
        <w:spacing w:after="0" w:line="267" w:lineRule="auto"/>
        <w:rPr>
          <w:sz w:val="20"/>
          <w:szCs w:val="20"/>
          <w:color w:val="auto"/>
        </w:rPr>
      </w:pPr>
      <w:r>
        <w:rPr>
          <w:rFonts w:ascii="Times New Roman" w:cs="Times New Roman" w:eastAsia="Times New Roman" w:hAnsi="Times New Roman"/>
          <w:sz w:val="14"/>
          <w:szCs w:val="14"/>
          <w:color w:val="auto"/>
        </w:rPr>
        <w:t>Further, we have and will continue to pursue trademark protection for our company name and brand. As of April 6, 2026, we own seventeen pending trademark applications in the United States and foreign jurisdictions, including eight allowed trademarks in the United States, and one registered trademark in Australia.</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Agreements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Asset Transfer Agreement with PureTech</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April 2024,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and the exclusive patents thereunder, subject to the terms set forth in the Asset Transfer Agreement. In exchange, we issued 40,000,000 shares of our Series A-1 convertible preferred stock and 949,000 shares of our common stock to PureTech LYT.</w:t>
      </w:r>
    </w:p>
    <w:p>
      <w:pPr>
        <w:spacing w:after="0" w:line="14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In connection with the Asset Transfer Agreement, we have agreed to make milestone payments for the first product covered by assets transferred through the Asset Transfer Agreement, or the first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 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as follows: less than $500 million: 3%;</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0159"/>
          </w:cols>
          <w:pgMar w:left="300" w:top="38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$500 million to $1 billion: 3.5%; $1 billion to $2.5 billion: 4%; $2.5 billion to $3.5 billion: 4.5%; $3.5 billion or greater: 5%.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As of the date of this filing, the last-to-expire patents under the Asset Transfer Agreement expire in 2044, not including any patent term extension or patent term adjustment. We may update or revise the year of the last-to-expire patents as the transferred assets under the Asset Transfer Agreement include patents exclusively licensed under the Monash License Agreement which covers, in addition to a prespecified list, any patent or patent application that claims new intellectual property created under any research agreement entered into with Monash University. Please refer to the Monash License Agreement summary below for further information.</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In the event we license or sublicense to a third-party a product directed to an indication that is primarily affecting or manifesting in the brain, spinal cord, or peripheral nervous system (with the exception of and not including the enteric nervous system), including neurological, psychiatric, neuropsychiatric, pain, mental, and behavioral indications made using our Glyph platform under the Glyph intellectual property, transferred to us through the Asset Transfer Agreement, we have also agreed to pay a percentage of net income we receive from such third party under such a license within the range of 5%-7.5% and adjusted depending on the date such a license is granted, with the amount to be paid subject to certain reductions. Any such amount of net income are creditable against royalty payments.</w:t>
      </w:r>
    </w:p>
    <w:p>
      <w:pPr>
        <w:spacing w:after="0" w:line="143"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Under the Asset Transfer Agreement, PureTech may from time to time request that we grant it a license under the Glyph technology to utilize certain products directed to an indication that is not primarily affecting or manifesting in the brain, spinal cord, or peripheral nervous system (such as, for example, neurological, psychiatric, neuropsychiatric, pain, mental, and behavioral indications) under license terms that have already been agreed to by PureTech and us in the Asset Transfer Agreement; provided that such products (i) are not subject to an agreement, or we are not actively engaged in negotiations, with a third party that would prevent us from granting such license, (ii) are not the subject of an internal research and development program, and (iii) have not been demonstrated or under experimental investigation by us to be potentially useful as a therapeutic for any disease, disorder, or condition primarily affecting or manifesting in the brain, spinal cord, or peripheral nervous system. PureTech’s right to request such a license terminates upon a change of control of either PureTech or us.</w:t>
      </w:r>
    </w:p>
    <w:p>
      <w:pPr>
        <w:spacing w:after="0" w:line="145"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Other than the upfront equity grant, we have not made any payments to date pursuant to the Asset Transfer Agreement. Should we sell our first controlled affiliate that has exclusive rights to utilize any Seaport Glyph Product, we will be obligated to pay a low double-digit percentage, within the range of 5% to 15%, of the value of the aggregate amount of all change of control consideration paid to us. We will not be obligated to pay any fee under the Asset Transfer Agreement in the event of a sale of the Company or any other subsequent controlled affiliate. The Asset Transfer Agreement closed on April 8, 2024, and it is not contractually permissible to terminate the Asset Transfer Agreement.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Monash University Exclusive License Agreement</w:t>
      </w:r>
    </w:p>
    <w:p>
      <w:pPr>
        <w:spacing w:after="0" w:line="93"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In April 2024, PureTech Health exclusively assigned to us, and we assumed, all rights and obligations under the Original License Agreement. In March 2025, we entered Monash License Agreement. Pursuant to the Monash License Agreement, Monash University grants us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we and Monash University agreed to collaborate in conducting research and development activities.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159"/>
          </w:cols>
          <w:pgMar w:left="300" w:top="38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Under the Monash License Agreement, we have agreed to use reasonable commercial endeavors to (i) develop at least one Licensed Product,</w:t>
      </w:r>
    </w:p>
    <w:p>
      <w:pPr>
        <w:spacing w:after="0" w:line="22" w:lineRule="exact"/>
        <w:rPr>
          <w:sz w:val="20"/>
          <w:szCs w:val="20"/>
          <w:color w:val="auto"/>
        </w:rPr>
      </w:pPr>
    </w:p>
    <w:p>
      <w:pPr>
        <w:ind w:left="1360" w:right="259" w:hanging="5"/>
        <w:spacing w:after="0" w:line="252" w:lineRule="auto"/>
        <w:tabs>
          <w:tab w:leader="none" w:pos="156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We grant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4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Monash License Agreement commenced on the execution date of the Original License Agreement and will expire seven years after the last of the Licensed Patents expires, unless terminated earlier. Although the last-to-expire patent licensed under the Monash License Agreement currently expires in 2041, the year of the last-to-expire patent may change as the Monash License Agreement covers, in addition to a prespecified list, any patent or patent application that claims new intellectual property created under any research agreement entered into with Monash University.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143"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the first two development milestones for a total of $0.2 million were achieved and paid by PureTech as they occurred prior to our formation, and we have paid the third development milestone of $0.1 million as well as annual maintenance fees. No other milestones have occurred or have been paid under the Monash License Agreement as of December 31, 2025.</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3"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in other countries and jurisdictions, including the European Union, or EU, extensively regulate, among other things, the research, development, testing, manufacturing, quality control, safety, effectiveness,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10159"/>
          </w:cols>
          <w:pgMar w:left="300" w:top="38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Drugs in the United States</w:t>
      </w:r>
    </w:p>
    <w:p>
      <w:pPr>
        <w:spacing w:after="0" w:line="93"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In the United States, the FDA regulates drugs under the U.S. Federal Food, Drug, and Cosmetic Act, or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product recalls, and other post-market actions, refusals of government contracts, restitution, disgorgement of profits, or civil or criminal investigations, and penalties brought by the FDA and the U.S. Department of Justice or other governmental entities.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An applicant seeking approval to market and distribute a new drug product in the United States must typically undertake the following:</w:t>
      </w:r>
    </w:p>
    <w:p>
      <w:pPr>
        <w:spacing w:after="0" w:line="102" w:lineRule="exact"/>
        <w:rPr>
          <w:sz w:val="20"/>
          <w:szCs w:val="20"/>
          <w:color w:val="auto"/>
        </w:rPr>
      </w:pPr>
    </w:p>
    <w:p>
      <w:pPr>
        <w:ind w:left="2120" w:right="579" w:hanging="345"/>
        <w:spacing w:after="0" w:line="283" w:lineRule="auto"/>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nonclinical, or preclinical, laboratory tests, animal studies, and formulation studies in compliance with the FDA’s good laboratory practice, or GLP, regulations;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investigational new drug application, or IND, which must take effect before human clinical trials may begin;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institutional review board, or IRB, representing each clinical site before each clinical trial may be initiated at that site;</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good clinical practices, or GCPs, to establish the safety and efficacy of the proposed drug product for each indication;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and submission to the FDA of a New Drug Application, or NDA, and payment of user fees;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the product by an FDA advisory committee, where appropriate or if applicable;</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67" w:lineRule="auto"/>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FDA audits of clinical trial sites to assure compliance with GCPs and the integrity of the clinical data;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Preclinical Studies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Before an applicant begins testing a compound in humans, the drug candidate enters the preclinical testing stage. Preclinical studies include, among other things, laboratory evaluation of the purity and stability of the manufactured drug substance or active pharmaceutical ingredient, or API, and the formulated drug or drug product, as well as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animal studies to assess the potential safety and activity of the drug for initial testing in humans and to establish a rationale for therapeutic use. The conduct of certain preclinical studies is subject to federal regulations and requirements, including GLP regulations. Some long-term preclinical testing, such as animal tests of reproductive adverse effects, or AEs, and carcinogenicity, may continue after the IND is submitted.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IND and IRB Processes</w:t>
      </w:r>
    </w:p>
    <w:p>
      <w:pPr>
        <w:spacing w:after="0" w:line="93"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An IND is an exemption from the FDCA that allows an investigational drug to be shipped in interstate commerce for use in a clinical trial and a request for FDA authorization to administer such investigational drug to humans. Such authorization must be secured prior to interstate shipment and administration of the investigational</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10159"/>
          </w:cols>
          <w:pgMar w:left="300" w:top="38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4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among other things, including review and approval by an independent ethics committee and obtaining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p>
    <w:p>
      <w:pPr>
        <w:spacing w:after="0" w:line="14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43"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Additionally, some trials are overseen by an independent group of qualified experts organized by the trial sponsor, known as a data safety monitoring board or committee. This group provides advice to the sponsor as to whether or not a trial may move forward at designated check points based on pre-specified criteria and access that only the group maintains to available data from the study. The FDA or the sponsor may suspend or terminate a clinical trial at any time on various grounds, including a finding that the research subjects are being exposed to an unacceptable health risk.</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Information about certain clinical trials must be submitted within specific timeframes to the National Institutes of Health for public dissemination on its ClinicalTrials.gov website.</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Human Clinical Trials in Support of an NDA</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which may overlap or be combined:</w:t>
      </w:r>
    </w:p>
    <w:p>
      <w:pPr>
        <w:spacing w:after="0" w:line="100" w:lineRule="exact"/>
        <w:rPr>
          <w:sz w:val="20"/>
          <w:szCs w:val="20"/>
          <w:color w:val="auto"/>
        </w:rPr>
      </w:pPr>
    </w:p>
    <w:p>
      <w:pPr>
        <w:ind w:left="2120" w:right="419" w:hanging="345"/>
        <w:spacing w:after="0" w:line="286" w:lineRule="auto"/>
        <w:tabs>
          <w:tab w:leader="none" w:pos="21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1</w:t>
      </w:r>
      <w:r>
        <w:rPr>
          <w:rFonts w:ascii="Times New Roman" w:cs="Times New Roman" w:eastAsia="Times New Roman" w:hAnsi="Times New Roman"/>
          <w:sz w:val="14"/>
          <w:szCs w:val="14"/>
          <w:color w:val="auto"/>
        </w:rPr>
        <w:t>. The product candidate is initially introduced into healthy human subjects or, in certain indications such as cancer, patients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target disease or condition and tested for safety, dosage</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10159"/>
          </w:cols>
          <w:pgMar w:left="300" w:top="386"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19"/>
        <w:spacing w:after="0" w:line="283" w:lineRule="auto"/>
        <w:rPr>
          <w:sz w:val="20"/>
          <w:szCs w:val="20"/>
          <w:color w:val="auto"/>
        </w:rPr>
      </w:pPr>
      <w:r>
        <w:rPr>
          <w:rFonts w:ascii="Times New Roman" w:cs="Times New Roman" w:eastAsia="Times New Roman" w:hAnsi="Times New Roman"/>
          <w:sz w:val="14"/>
          <w:szCs w:val="14"/>
          <w:color w:val="auto"/>
        </w:rPr>
        <w:t>tolerance, absorption, metabolism, distribution, excretion and, if possible, to gain an early indication of its effectiveness, and to determine maximal dosage.</w:t>
      </w:r>
    </w:p>
    <w:p>
      <w:pPr>
        <w:spacing w:after="0" w:line="49" w:lineRule="exact"/>
        <w:rPr>
          <w:sz w:val="20"/>
          <w:szCs w:val="20"/>
          <w:color w:val="auto"/>
        </w:rPr>
      </w:pPr>
    </w:p>
    <w:p>
      <w:pPr>
        <w:ind w:left="2120" w:right="379" w:hanging="345"/>
        <w:spacing w:after="0" w:line="268" w:lineRule="auto"/>
        <w:tabs>
          <w:tab w:leader="none" w:pos="21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2</w:t>
      </w:r>
      <w:r>
        <w:rPr>
          <w:rFonts w:ascii="Times New Roman" w:cs="Times New Roman" w:eastAsia="Times New Roman" w:hAnsi="Times New Roman"/>
          <w:sz w:val="14"/>
          <w:szCs w:val="14"/>
          <w:color w:val="auto"/>
        </w:rPr>
        <w:t>. The product candidate is administered to a limited patient population with the specified disease or condition to identify possible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AEs and safety risks, to preliminarily evaluate the efficacy of the product for specific targeted diseases or conditions and to determine dosage tolerance and optimal dosage.</w:t>
      </w:r>
    </w:p>
    <w:p>
      <w:pPr>
        <w:spacing w:after="0" w:line="59" w:lineRule="exact"/>
        <w:rPr>
          <w:rFonts w:ascii="Times New Roman" w:cs="Times New Roman" w:eastAsia="Times New Roman" w:hAnsi="Times New Roman"/>
          <w:sz w:val="14"/>
          <w:szCs w:val="14"/>
          <w:color w:val="auto"/>
        </w:rPr>
      </w:pPr>
    </w:p>
    <w:p>
      <w:pPr>
        <w:ind w:left="2120" w:right="279" w:hanging="345"/>
        <w:spacing w:after="0" w:line="298" w:lineRule="auto"/>
        <w:tabs>
          <w:tab w:leader="none" w:pos="212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Phase 3</w:t>
      </w:r>
      <w:r>
        <w:rPr>
          <w:rFonts w:ascii="Times New Roman" w:cs="Times New Roman" w:eastAsia="Times New Roman" w:hAnsi="Times New Roman"/>
          <w:sz w:val="13"/>
          <w:szCs w:val="13"/>
          <w:color w:val="auto"/>
        </w:rPr>
        <w:t>. The product candidate is administered to an expanded patient population, generally at geographically dispersed clinical trial sites,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well-controlled clinical trials with the intent to generate enough data to evaluate the efficacy and safety of the product for approval, to establish the overall risk-benefit profile of the product candidate and to provide adequate information for the labeling of the product.</w:t>
      </w:r>
    </w:p>
    <w:p>
      <w:pPr>
        <w:spacing w:after="0" w:line="118"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Post-approval studies, sometimes referred to as Phase 4 studies, may be conducted after initial regulatory approval. These studies are used to gain additional experience from the treatment of patients in the intended therapeutic indication. In certain instances, the FDA may mandate the performance of Phase 4 clinical trials as a condition of approval of an NDA.</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While the IND is active, progress reports detailing the results of the clinical trials, among other information,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p>
    <w:p>
      <w:pPr>
        <w:spacing w:after="0" w:line="14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Review of an NDA by the FDA</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addition, the Pediatric Research Equity Act, or PREA, requires a sponsor to conduct pediatric clinical trials for most drugs, for a new active ingredient, new indication, new dosage form, new dosing regimen or new route of administration. Under PREA,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product candidate is ready for approval</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10159"/>
          </w:cols>
          <w:pgMar w:left="300" w:top="38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for use in adults before pediatric clinical trials are complete or that additional safety or effectiveness data needs to be collected before any pediatric clinical trials begin. The FDA must send a non-compliance letter to any sponsor that fails to submit the required assessment, keep a deferral current or fails to submit a request for approval of a pediatric formulation.</w:t>
      </w:r>
    </w:p>
    <w:p>
      <w:pPr>
        <w:spacing w:after="0" w:line="13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 compliant to assure and preserve the product’s identity, strength, quality, and purity. Under the performance goals and policies implemented by the FDA under the Prescription Drug User Fee Act, or PDUFA,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six months of filing. The review process may be extended by the FDA for three additional months if FDA requests or the applicant otherwise provides additional information or clarification regarding information already provided in the submission within the last three months before the PDUFA goal date or is otherwise deemed a “major amendment” to the application.</w:t>
      </w:r>
    </w:p>
    <w:p>
      <w:pPr>
        <w:spacing w:after="0" w:line="144"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In addition, the FDA will typically inspect one or more clinical sites to assure compliance with GCP and the integrity of the clinical data submitted.</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In addition, as a condition of approval, the FDA may require an applicant to develop a risk evaluation and mitigation strategy, or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w:t>
      </w:r>
    </w:p>
    <w:p>
      <w:pPr>
        <w:spacing w:after="0" w:line="145"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Fast Track, Breakthrough Therapy, and Priority Review</w:t>
      </w:r>
    </w:p>
    <w:p>
      <w:pPr>
        <w:spacing w:after="0" w:line="93"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The FDA has a number of programs intended to facilitate and expedite development and review of investigational drugs if they are intended to address an unmet medical need in the treatment of a serious or life-threatening disease or condition. Three of these programs are referred to as Fast Track Designation, Breakthrough Therapy Designation, and priority review designation.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159"/>
          </w:cols>
          <w:pgMar w:left="300" w:top="386"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First, the FDA may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disease or condition. For Fast Track product candidates, sponsors may have greater interactions with the FDA and the FDA may initiate review of sections of a Fast Track product candidate’s application before the application is complete. This rolling review may be available if the FDA determines, after preliminary evaluation of clinical data submitted by the sponsor, that a Fast Track product candidate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49"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Second, a product candidate may be designated as a Breakthrough Therapy if it is intended, either alone or in combination with one or more other drugs products,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includes all of the benefits associated with Fast Track Designation, including the potential for rolling review of an NDA submission. In addition,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45" w:lineRule="exact"/>
        <w:rPr>
          <w:sz w:val="20"/>
          <w:szCs w:val="20"/>
          <w:color w:val="auto"/>
        </w:rPr>
      </w:pPr>
    </w:p>
    <w:p>
      <w:pPr>
        <w:ind w:left="1360" w:right="259" w:firstLine="343"/>
        <w:spacing w:after="0" w:line="278" w:lineRule="auto"/>
        <w:rPr>
          <w:sz w:val="20"/>
          <w:szCs w:val="20"/>
          <w:color w:val="auto"/>
        </w:rPr>
      </w:pPr>
      <w:r>
        <w:rPr>
          <w:rFonts w:ascii="Times New Roman" w:cs="Times New Roman" w:eastAsia="Times New Roman" w:hAnsi="Times New Roman"/>
          <w:sz w:val="13"/>
          <w:szCs w:val="13"/>
          <w:color w:val="auto"/>
        </w:rPr>
        <w:t>Third, the FDA may designate an NDA review for a priority review if it is for a product candidate that treats a serious or life-threatening disease or condition and, if approved, would provide a significant improvement in safety or effectiveness compared to available therapies. The FDA determines, on a case-by-case basis, whether the product candidate may represent a significant improvement when compared with other available therapies. Significant improvement may be illustrated, among other things,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Accelerated Approval Pathway</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FDA may grant accelerated approval to a product candidate intended to treat a serious or life-threatening condition that provides meaningful therapeutic advantage to patients over existing treatments based upon a determination that the product candidate has an effect on a surrogate endpoint that is reasonably likely to predict clinical benefit or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4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0159"/>
          </w:cols>
          <w:pgMar w:left="300" w:top="386"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The accelerated approval pathway is often used in settings in which the course of a disease is long and an extended period of time is required to measure the intended clinical benefit of a product, even if the effect on the surrogate or intermediate clinical endpoint occurs rapidly.</w:t>
      </w:r>
    </w:p>
    <w:p>
      <w:pPr>
        <w:spacing w:after="0" w:line="125"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accelerated approval pathway is typically contingent on a sponsor’s agreement to conduct, in a diligent manner, additional post-approval confirmatory studies to verify and describe the product’s anticipated clinical benefit. As a result, a product candidate approved on this basis is subject to rigorous post-marketing compliance requirements, including the completion of Phase 4 or other post-approval clinical trials to verify and describe the anticipated the effect on the clinical endpoint. Under the Food and Drug Omnibus Reform Act of 2022, or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FDA’s Decision on an NDA</w:t>
      </w:r>
    </w:p>
    <w:p>
      <w:pPr>
        <w:spacing w:after="0" w:line="93"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On the basis of the FDA’s evaluation of the NDA and accompanying information, including the results of any inspections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9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p>
    <w:p>
      <w:pPr>
        <w:spacing w:after="0" w:line="14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In addition, drug manufacturers and other entities involved in the manufacture and distribution of approved drugs, and those supplying products, ingredients, and components of them are required to register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0159"/>
          </w:cols>
          <w:pgMar w:left="300" w:top="386"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78" w:lineRule="auto"/>
        <w:rPr>
          <w:sz w:val="20"/>
          <w:szCs w:val="20"/>
          <w:color w:val="auto"/>
        </w:rPr>
      </w:pPr>
      <w:r>
        <w:rPr>
          <w:rFonts w:ascii="Times New Roman" w:cs="Times New Roman" w:eastAsia="Times New Roman" w:hAnsi="Times New Roman"/>
          <w:sz w:val="13"/>
          <w:szCs w:val="13"/>
          <w:color w:val="auto"/>
        </w:rPr>
        <w:t>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w:t>
      </w:r>
    </w:p>
    <w:p>
      <w:pPr>
        <w:spacing w:after="0" w:line="13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0" w:lineRule="exact"/>
        <w:rPr>
          <w:sz w:val="20"/>
          <w:szCs w:val="20"/>
          <w:color w:val="auto"/>
        </w:rPr>
      </w:pPr>
    </w:p>
    <w:p>
      <w:pPr>
        <w:ind w:left="2120" w:right="379" w:hanging="345"/>
        <w:spacing w:after="0" w:line="283" w:lineRule="auto"/>
        <w:tabs>
          <w:tab w:leader="none" w:pos="21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complete withdrawal of the product from the market, or voluntary product recalls;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or untitled letters or holds on post-approval clinical trials;</w:t>
      </w:r>
    </w:p>
    <w:p>
      <w:pPr>
        <w:spacing w:after="0" w:line="10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applications or supplements to approved applications, or suspension or revocation of product approvals;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4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Hatch-Waxman Amendments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companies to perform additional</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0159"/>
          </w:cols>
          <w:pgMar w:left="300" w:top="386"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 xml:space="preserve">studies or measurements, including clinical trials, to support the change from the approved branded reference drug. The FDA may then approve the new product candidate for all, or some, of the labeled indications for which the branded reference drug has been approved, as well as for any new indication sought by the 505(b)(2) applicant.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or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or other testing.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Non-Patent Exclusivity</w:t>
      </w:r>
    </w:p>
    <w:p>
      <w:pPr>
        <w:spacing w:after="0" w:line="9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4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p>
    <w:p>
      <w:pPr>
        <w:spacing w:after="0" w:line="144"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Hatch-Waxman Patent Certification and the 30-Month Stay</w:t>
      </w:r>
    </w:p>
    <w:p>
      <w:pPr>
        <w:spacing w:after="0" w:line="93"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In seeking approval of an NDA or a supplement thereto, NDA sponsors are required to list with the FDA each patent with claims that cover the applicant’s product or an approved method of using the product. Upon approval of an NDA, each of the patents listed in the application for the drug is published in the FDA’s Approved Drug Products with Therapeutic Equivalence Evaluations, commonly known as the Orange Book. Upon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0159"/>
          </w:cols>
          <w:pgMar w:left="300" w:top="386"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submission of an ANDA or 505(b)(2) NDA, an applicant is required to certify to the FDA concerning any patents listed for the RLD in the Orange Book that:</w:t>
      </w:r>
    </w:p>
    <w:p>
      <w:pPr>
        <w:spacing w:after="0" w:line="51" w:lineRule="exact"/>
        <w:rPr>
          <w:sz w:val="20"/>
          <w:szCs w:val="20"/>
          <w:color w:val="auto"/>
        </w:rPr>
      </w:pPr>
    </w:p>
    <w:p>
      <w:pPr>
        <w:ind w:left="2120" w:hanging="345"/>
        <w:spacing w:after="0"/>
        <w:tabs>
          <w:tab w:leader="none" w:pos="21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patent information on the drug product that is the subject of the application has been submitted to the FDA;</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patent has expired;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such patent expires; or</w:t>
      </w:r>
    </w:p>
    <w:p>
      <w:pPr>
        <w:spacing w:after="0" w:line="10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patent is invalid, unenforceable, or will not be infringed upon by the manufacture, use, or sale of the drug product for which the application is submitted.</w:t>
      </w:r>
    </w:p>
    <w:p>
      <w:pPr>
        <w:spacing w:after="0" w:line="125"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Patent Term Restoration and Extension</w:t>
      </w:r>
    </w:p>
    <w:p>
      <w:pPr>
        <w:spacing w:after="0" w:line="9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or USPTO, reviews and approves the application for any patent term extension or restoration in consultation with the FDA.</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 Drug Enforcement Administration Regulation</w:t>
      </w:r>
    </w:p>
    <w:p>
      <w:pPr>
        <w:spacing w:after="0" w:line="93"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Certain of our product candidates have the potential to be regulated as controlled substances by the U.S. Drug Enforcement Administration, or DEA. The Controlled Substances Act of 1970, or CSA, establishes registration, security, recordkeeping, reporting, storage, distribution, and other requirements administered by the DEA. The DEA</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0159"/>
          </w:cols>
          <w:pgMar w:left="300" w:top="386"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is concerned with the control of handlers of controlled substances, and with the equipment and raw materials used in their manufacture and packaging, in order to prevent loss and diversion into illicit channels of commerce.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44"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Reports must also be made for thefts or losses of any controlled substance, and authorization must be obtained to destroy any controlled substance. In addition, special authorization and notification requirements apply to imports and exports.</w:t>
      </w:r>
    </w:p>
    <w:p>
      <w:pPr>
        <w:spacing w:after="0" w:line="149"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To meet its responsibilities, the DEA conducts periodic inspections of registered establishments that handle controlled substances. Failure to maintain compliance with applicable requirements, particularly as manifested in loss or diversion, can result in enforcement action. The DEA may seek civil penalties, refuse to renew necessary registrations, or initiate proceedings to revoke those registrations. In certain circumstances, violations can lead to criminal prosecution. Individual states also regulate controlled substances, and manufacturers are also subject to state regulation on distribution of these products.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 of the World Regulation</w:t>
      </w:r>
    </w:p>
    <w:p>
      <w:pPr>
        <w:spacing w:after="0" w:line="9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For other countries outside of the United States, such as those in Europe, Latin America, or Asia, the requirements governing product development, the conduct of clinical trials, product marketing, product licensing, pricing and reimbursement can vary from country to country. Failure to comply with applicable foreign regulatory requirements may subject sponsors, manufacturers, or marketers of pharmaceutical products to, among other things, fines, suspension, or withdrawal of regulatory authorizations and approvals, product recalls, seizure of products, operating restrictions and criminal prosecution.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Medicinal Products in the European Union</w:t>
      </w:r>
    </w:p>
    <w:p>
      <w:pPr>
        <w:spacing w:after="0" w:line="93"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obtaining marketing authorization, or MA,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 application, or MAA, and granting of an MA by these authorities before the product can be marketed and sold in the EU.</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Non-clinical Studies and Clinical Trials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Similarly to the United States, the various phases of non-clinical and clinical research in the EU are subject to significant regulatory controls.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386"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These GLP standards reflect the Organization for Economic Co-operation and Development requirements.</w:t>
      </w:r>
    </w:p>
    <w:p>
      <w:pPr>
        <w:spacing w:after="0" w:line="141"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44"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The regulatory landscape related to clinical trials in the EU has been subject to recent changes. The EU Clinical Trials Regulation, or CTR, which was adopted in April 2014 and repealed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44"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While the EU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allowed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49"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Medicines used in clinical trials must be manufactured in accordance with Good Manufacturing Practice, or GMP. Other national and EU-wide regulatory requirements may also apply.</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Marketing Authorization</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In order to market our product candidates in the EU and many other foreign jurisdictions, we must obtain separate regulatory approvals. More concretely, in the EU, medicinal product candidates can only be commercialized after obtaining an MA. To obtain an MA, an applicant must submit an MAA either under a centralized procedure administered by the European Medicines Agency, or EMA, or one of the procedures administered by competent authorities in the EU member states (decentralized procedure or mutual recognition procedure) for obtaining an MA in multiple EU Member States.</w:t>
      </w:r>
    </w:p>
    <w:p>
      <w:pPr>
        <w:spacing w:after="0" w:line="144"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“Centralized MAs” are issued by the European Commission through the centralized procedure based on the opinion of the Committee for Medicinal Products for Human Use, or CHMP, of the European Medicines Agency, or EMA, and are valid throughout the EU. Pursuant to Regulation (EC) No 726/2004, the centralized procedure is compulsory for specific products, including for medicines produced by certain biotechnological processes, products designated as orphan medicinal products, advanced therapy medicinal products (gene therapy, somatic cell therapy and tissue-engineered products) and products with a new active substance indicated for the treatment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386"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36" w:lineRule="exact"/>
        <w:rPr>
          <w:sz w:val="20"/>
          <w:szCs w:val="20"/>
          <w:color w:val="auto"/>
        </w:rPr>
      </w:pPr>
    </w:p>
    <w:p>
      <w:pPr>
        <w:ind w:left="1360" w:right="339" w:firstLine="343"/>
        <w:spacing w:after="0" w:line="277" w:lineRule="auto"/>
        <w:rPr>
          <w:sz w:val="20"/>
          <w:szCs w:val="20"/>
          <w:color w:val="auto"/>
        </w:rPr>
      </w:pPr>
      <w:r>
        <w:rPr>
          <w:rFonts w:ascii="Times New Roman" w:cs="Times New Roman" w:eastAsia="Times New Roman" w:hAnsi="Times New Roman"/>
          <w:sz w:val="13"/>
          <w:szCs w:val="13"/>
          <w:color w:val="auto"/>
        </w:rPr>
        <w:t>Under the centralized procedure, the maximum timeframe for the evaluation of an MAA by the EMA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w:t>
      </w:r>
    </w:p>
    <w:p>
      <w:pPr>
        <w:spacing w:after="0" w:line="13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Periods of Authorization and Renewals</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A MA has an initial validity of five years. The MA may be renewed after five years on the basis of a re-evaluation of the risk-benefit balance by the EMA or by the competent authority of the relevant EU member state for a nationally authorized product. To this end, the MA holder must provide the EMA or the competent authority with a consolidated version of the file in respect of quality, safety, and efficacy, including all variations introduced since the MA was granted, at least nine months before the MA ceases to be valid. Once renewed, the MA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Data and Market Exclusivity</w:t>
      </w:r>
    </w:p>
    <w:p>
      <w:pPr>
        <w:spacing w:after="0" w:line="9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In the EU, innovative medicinal products approved on the basis of a complete and independent data package generally receive eight years of data exclusivity and an additional two years of market exclusivity upon grant of an MA. The data exclusivity period prevents applicants for authorization of generics or biosimilars of these innovative products from referencing the innovator’s preclinical and clinical trial data contained in the dossier of the reference product when applying for a generic or biosimilar (abbreviated) MA,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0159"/>
          </w:cols>
          <w:pgMar w:left="300" w:top="386"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an MA based on an MAA with a complete and independent data package of pharmaceutical tests, preclinical tests and clinical trials.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Orphan Medicinal Products</w:t>
      </w:r>
    </w:p>
    <w:p>
      <w:pPr>
        <w:spacing w:after="0" w:line="93"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An orphan designation provides a number of benefits, including fee reductions, regulatory assistance, and the possibility to apply for a centralized EU MA. Upon grant of an MA, orphan medicinal products are entitled to a ten-year period of market exclusivity, which means that the EMA and the competent authorities of the EU member states cannot accept another MAA, or grant an MA, or accept an application to extend an MA for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is extended by two years for orphan medicinal products that have also complied with an agreed pediatric investigation plan, or PIP. No extension to any supplementary protection certificate, or SPC, can be granted on the basis of pediatric studies for orphan indications. Orphan designation does not convey any advantage in, or shorten the duration of, the regulatory review and approval process.</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an MA may be granted to a similar product for the same indication as an authorized orphan product at any time if (i) a second applicant can establish that its product, although similar to the authorized orphan product, is safer, more effective or otherwise clinically superior; (ii) the MA holder for the authorized orphan product consents to a second medicinal product application; or (iii) the MA holder for the authorized product cannot supply enough orphan medicinal product.</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Pediatric Development</w:t>
      </w:r>
    </w:p>
    <w:p>
      <w:pPr>
        <w:spacing w:after="0" w:line="9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Regulation (EC) No 1901/2006 provides that prior to obtaining an MA in the EU, applicants have to demonstrate compliance with all measures included in a pediatric investigation plan, or PIP, agreed with the EMA’s Pediatric Committee, or PDCO, and covering all subsets of the pediatric population, unless the PDCO has granted (1) a product-specific waiver, (2) a class waiver, or (3) a deferral for one or more of the measures included in the PIP. The PIP sets out the timing and measures proposed to generate data to support a pediatric indication of the product for which an MA is being sought. Products that are granted an MA with the results of the pediatric clinical trials conducted in accordance with the PIP are eligible for a six-month extension of the protection under a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38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Post-Approval Requirements</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44"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All new MAA must include a risk management plan, or RMP, describing the risk management system that the company will put in place and documenting measures to prevent or minimize the risks associated with the product.</w:t>
      </w:r>
    </w:p>
    <w:p>
      <w:pPr>
        <w:spacing w:after="0" w:line="125"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36"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in the EU.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44"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aforementioned EU rules are generally applicable in the European Economic Area, or EEA, which consists of the EU member states plus Norway, Liechtenstein, and Iceland.</w:t>
      </w:r>
    </w:p>
    <w:p>
      <w:pPr>
        <w:spacing w:after="0" w:line="125"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Reform of the Regulatory Framework in the European Union</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Brexit and the Regulatory Framework in the United Kingdom</w:t>
      </w:r>
    </w:p>
    <w:p>
      <w:pPr>
        <w:spacing w:after="0" w:line="93"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Following the end of the Brexit transition period on January 1, 2021 and the implementation of the Windsor Framework on January 1, 2025, the United Kingdom, or UK, is not generally subject to EU laws in respect of medicines. The EU laws that have been transposed into UK law through secondary legislation remain applicable in the UK however, new legislation such as the (EU) CTR is not applicable in the UK.</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386"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Under the Medicines and Medical Devices Act 2021, the Secretary of State or an ‘appropriate authority’ have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41"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As of January 1, 2021, the Medicines and Healthcare products Regulatory Agency, or MHRA, is the UK’s standalone medicines and medical devices regulator. As a result of the Ireland/Northern Ireland protocol, different rules applied in Northern Ireland than in England, Wales, and Scotland (together, “Great Britain”, or GB), which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p>
    <w:p>
      <w:pPr>
        <w:spacing w:after="0" w:line="143" w:lineRule="exact"/>
        <w:rPr>
          <w:sz w:val="20"/>
          <w:szCs w:val="20"/>
          <w:color w:val="auto"/>
        </w:rPr>
      </w:pPr>
    </w:p>
    <w:p>
      <w:pPr>
        <w:ind w:left="1360" w:right="459" w:firstLine="343"/>
        <w:spacing w:after="0" w:line="261" w:lineRule="auto"/>
        <w:rPr>
          <w:sz w:val="20"/>
          <w:szCs w:val="20"/>
          <w:color w:val="auto"/>
        </w:rPr>
      </w:pPr>
      <w:r>
        <w:rPr>
          <w:rFonts w:ascii="Times New Roman" w:cs="Times New Roman" w:eastAsia="Times New Roman" w:hAnsi="Times New Roman"/>
          <w:sz w:val="14"/>
          <w:szCs w:val="14"/>
          <w:color w:val="auto"/>
        </w:rPr>
        <w:t>The UK regulatory framework in relation to clinical trials is governed by the Medicines for Human Use (Clinical Trials) Regulations 2004, as amended, which is derived from the CTD, as implemented into UK national law through secondary legislation. In April 2025, the UK introduced the Medicines for Human Use (Clinical Trials) (Amendment) Regulations. These changes, which will take full effect from April 2026, aim to create a streamlined, risk-proportionate system that accelerates approvals while maintaining robust safety standards.</w:t>
      </w:r>
    </w:p>
    <w:p>
      <w:pPr>
        <w:spacing w:after="0" w:line="141"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In addition,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25"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MAs in the UK are governed by the Human Medicines Regulations (SI 2012/1916), as amended. All existing EU MAs for centrally authorized products were automatically converted or grandfathered into UK MAs, effective in GB (only), free of charge on January 1, 2021, unless the MA holder chose to opt-out. Under the terms of the Windsor Framework, these licenses became valid for the whole of the UK from January 1, 2025.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final decision should be received within 100 days (subject to clock-stops). In addition, since January 1, 2024, the MHRA may rely on the International Recognition Procedure, or IRP, when reviewing certain types of MAAs. Pursuant to the IRP, the MHRA will take into account the expertise and decision-making of trusted regulatory partners (e.g. the medicines regulatory authorities in Australia, Canada, Switzerland, Singapore, Japan, the U.S.A. and the EMA in the EU). The MHRA will conduct a targeted assessment of IRP applications but retain the authority to reject applications if the evidence provided is considered insufficiently robust. Applications should be decided within a maximum of 60 days if there are no major objections identified that cannot be resolved within such 60 day period and the approval from the trusted regulatory partner selected has been granted within the previous 2 years. If there are such major objections identified or such approval hasn’t been granted within the previous 2 years, then the relevant timeframe for the MHRA decision is within 110 days. Applicants can submit initial MAAs to the IRP but the procedure can also be used throughout the lifecycle of a product for post-authorization procedures including line extensions, variations, and renewals.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386"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medicine on the market in the UK (or GB, if the MA is only valid in GB) within three (3) years shall cease to be in force.</w:t>
      </w:r>
    </w:p>
    <w:p>
      <w:pPr>
        <w:spacing w:after="0" w:line="136" w:lineRule="exact"/>
        <w:rPr>
          <w:sz w:val="20"/>
          <w:szCs w:val="20"/>
          <w:color w:val="auto"/>
        </w:rPr>
      </w:pPr>
    </w:p>
    <w:p>
      <w:pPr>
        <w:ind w:left="1360" w:right="459" w:firstLine="343"/>
        <w:spacing w:after="0" w:line="261" w:lineRule="auto"/>
        <w:rPr>
          <w:sz w:val="20"/>
          <w:szCs w:val="20"/>
          <w:color w:val="auto"/>
        </w:rPr>
      </w:pPr>
      <w:r>
        <w:rPr>
          <w:rFonts w:ascii="Times New Roman" w:cs="Times New Roman" w:eastAsia="Times New Roman" w:hAnsi="Times New Roman"/>
          <w:sz w:val="14"/>
          <w:szCs w:val="14"/>
          <w:color w:val="auto"/>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w:t>
      </w:r>
    </w:p>
    <w:p>
      <w:pPr>
        <w:spacing w:after="0" w:line="9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 laws that may affect our ability to operate, and our proposed sales, marketing, and distribution strategies, include, but are not limited to:</w:t>
      </w:r>
    </w:p>
    <w:p>
      <w:pPr>
        <w:spacing w:after="0" w:line="62" w:lineRule="exact"/>
        <w:rPr>
          <w:sz w:val="20"/>
          <w:szCs w:val="20"/>
          <w:color w:val="auto"/>
        </w:rPr>
      </w:pPr>
    </w:p>
    <w:p>
      <w:pPr>
        <w:ind w:left="2120" w:right="279" w:hanging="345"/>
        <w:spacing w:after="0" w:line="254" w:lineRule="auto"/>
        <w:tabs>
          <w:tab w:leader="none" w:pos="21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FCA (discussed below);</w:t>
      </w:r>
    </w:p>
    <w:p>
      <w:pPr>
        <w:spacing w:after="0" w:line="75" w:lineRule="exact"/>
        <w:rPr>
          <w:rFonts w:ascii="Times New Roman" w:cs="Times New Roman" w:eastAsia="Times New Roman" w:hAnsi="Times New Roman"/>
          <w:sz w:val="14"/>
          <w:szCs w:val="14"/>
          <w:color w:val="auto"/>
        </w:rPr>
      </w:pPr>
    </w:p>
    <w:p>
      <w:pPr>
        <w:ind w:left="2120" w:right="259" w:hanging="345"/>
        <w:spacing w:after="0" w:line="255" w:lineRule="auto"/>
        <w:tabs>
          <w:tab w:leader="none" w:pos="21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and criminal false claims laws, including the FCA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1" w:lineRule="exact"/>
        <w:rPr>
          <w:rFonts w:ascii="Times New Roman" w:cs="Times New Roman" w:eastAsia="Times New Roman" w:hAnsi="Times New Roman"/>
          <w:sz w:val="14"/>
          <w:szCs w:val="14"/>
          <w:color w:val="auto"/>
        </w:rPr>
      </w:pPr>
    </w:p>
    <w:p>
      <w:pPr>
        <w:ind w:left="2120" w:right="299" w:hanging="345"/>
        <w:spacing w:after="0" w:line="256" w:lineRule="auto"/>
        <w:tabs>
          <w:tab w:leader="none" w:pos="21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w:t>
      </w:r>
    </w:p>
    <w:p>
      <w:pPr>
        <w:spacing w:after="0" w:line="69"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failing to take appropriate steps to keep consumers’ personal information secure could constitute an unfair act or practice in or affecting commerce in violation of Section 5(a) of the Federal Trade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10159"/>
          </w:cols>
          <w:pgMar w:left="300" w:top="386"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59"/>
        <w:spacing w:after="0" w:line="261" w:lineRule="auto"/>
        <w:rPr>
          <w:sz w:val="20"/>
          <w:szCs w:val="20"/>
          <w:color w:val="auto"/>
        </w:rPr>
      </w:pPr>
      <w:r>
        <w:rPr>
          <w:rFonts w:ascii="Times New Roman" w:cs="Times New Roman" w:eastAsia="Times New Roman" w:hAnsi="Times New Roman"/>
          <w:sz w:val="14"/>
          <w:szCs w:val="14"/>
          <w:color w:val="auto"/>
        </w:rPr>
        <w:t>Commission Act, 15 U.S.C. § 45(a) or similar state laws. The Federal Trade Commission, or FTC, and state regulators expect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67" w:lineRule="exact"/>
        <w:rPr>
          <w:sz w:val="20"/>
          <w:szCs w:val="20"/>
          <w:color w:val="auto"/>
        </w:rPr>
      </w:pPr>
    </w:p>
    <w:p>
      <w:pPr>
        <w:ind w:left="2120" w:right="339" w:hanging="345"/>
        <w:spacing w:after="0" w:line="255" w:lineRule="auto"/>
        <w:tabs>
          <w:tab w:leader="none" w:pos="21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created under the Patient Protection and Affordable Care Act, as amended by the Health Care and Education Reconciliation Act, or collectively, the ACA, and its implementing regulations requires manufacturers of drugs, devices, biologicals, and medical supplies for which payment is available under Medicare, Medicaid or the Children’s Health Insurance Program (with certain exceptions) to report annually to the Department of Health and Human Services, or HHS, information related to payments or other transfers of value made to physicians (defined to include doctors, dentists, optometrists, podiatrists, and chiropractors), certain other licensed healthcare professionals (i.e., physician assistants, nurse practitioners, clinical nurse specialists, anesthesiologist assistants, certified registered nurse anesthetists, and certified nurse midwives), and teaching hospitals, as well as ownership and investment interests held by physicians and their immediate family members;</w:t>
      </w:r>
    </w:p>
    <w:p>
      <w:pPr>
        <w:spacing w:after="0" w:line="7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government price reporting laws, which require manufacturers to calculate and report complex pricing metrics in an accurate and timely manner to government programs;</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 and</w:t>
      </w:r>
    </w:p>
    <w:p>
      <w:pPr>
        <w:spacing w:after="0" w:line="51" w:lineRule="exact"/>
        <w:rPr>
          <w:rFonts w:ascii="Times New Roman" w:cs="Times New Roman" w:eastAsia="Times New Roman" w:hAnsi="Times New Roman"/>
          <w:sz w:val="14"/>
          <w:szCs w:val="14"/>
          <w:color w:val="auto"/>
        </w:rPr>
      </w:pPr>
    </w:p>
    <w:p>
      <w:pPr>
        <w:ind w:left="2120" w:right="259" w:hanging="345"/>
        <w:spacing w:after="0" w:line="254" w:lineRule="auto"/>
        <w:tabs>
          <w:tab w:leader="none" w:pos="21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49"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Federal, state, and foreign enforcement bodies are continuing to increase their scrutiny of interactions between healthcare companies and healthcare providers, which has led to a number of investigations, prosecutions, convictions, and settlements in the healthcare industry. If our operations are found to be in violation of any of such laws or any other governmental regulations that apply, we may be subject to significant penalties, including, without limitation, administrative, civil, and criminal penalties, damages, fines, disgorgement, contractual damages, the curtailment or restructuring of operations, integrity oversight and reporting obligations, exclusion from participation in federal and state healthcare programs, reputational harm, diminished profits and future earnings, and individual imprisonment.</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Privacy and Data Security</w:t>
      </w:r>
    </w:p>
    <w:p>
      <w:pPr>
        <w:spacing w:after="0" w:line="93" w:lineRule="exact"/>
        <w:rPr>
          <w:sz w:val="20"/>
          <w:szCs w:val="20"/>
          <w:color w:val="auto"/>
        </w:rPr>
      </w:pPr>
    </w:p>
    <w:p>
      <w:pPr>
        <w:ind w:left="1360" w:right="459" w:firstLine="343"/>
        <w:spacing w:after="0" w:line="258" w:lineRule="auto"/>
        <w:rPr>
          <w:sz w:val="20"/>
          <w:szCs w:val="20"/>
          <w:color w:val="auto"/>
        </w:rPr>
      </w:pPr>
      <w:r>
        <w:rPr>
          <w:rFonts w:ascii="Times New Roman" w:cs="Times New Roman" w:eastAsia="Times New Roman" w:hAnsi="Times New Roman"/>
          <w:sz w:val="14"/>
          <w:szCs w:val="14"/>
          <w:color w:val="auto"/>
        </w:rPr>
        <w:t>In the ordinary course of business, we and the third parties upon which we rely collect, receive, store, or otherwise process personal data, including information we may collect about participants in our clinical trials. This personal data can also include data that is considered “sensitive” personal data under privacy laws, policies, or agreements to which we are subject. Accordingly, we are, or may be become, subject to numerous, evolving privacy and data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0159"/>
          </w:cols>
          <w:pgMar w:left="300" w:top="386"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(e.g., the Federal Trade Commission Act).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Additionally, a smaller number of states have passed or are considering laws governing the privacy of consumer health data. While existing state consumer privacy laws provide exemptions for data processed in the context of clinical trials, the continued development of complex requirements at the state level may further complicate compliance efforts and may impact our business activities, including our identification of research subjects, relationships with business partners and ultimately the marketing and distribution of our products, and are examples of the increasingly stringent and evolving regulatory frameworks related to personal data processing, as more fully discussed in the section titled “Risk Factors.”.</w:t>
      </w:r>
    </w:p>
    <w:p>
      <w:pPr>
        <w:spacing w:after="0" w:line="144"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Additionally, to the extent we collect personal data outside of the United States, through clinical trials or otherwise, we are, or may become, subject to foreign data and data security laws, such as the European Union’s General Data Protection Regulation 2016/679, or EU GDPR, and other national data protection legislation in force in relevant EEA Member States, and the EU GDPR as it forms part UK law by virtue of section 3 of the European Union (Withdrawal) Act 2018, or UK GDPR. Foreign privacy and data security laws impose significant and complex compliance obligations on entities that are subject to those laws and may impose significant sanctions for non-compliance (including fines of up to the greater of 20 million Euros (17.5 million GBP for the UK) or 4% of worldwide annual revenue), as more fully discussed in the section titled “Risk Factors.”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the United States and markets in other countries, patients who are prescribed treatments for their conditions and providers performing the prescribed services generally rely on third-party payors to reimburse all or part of the costs associated with their prescription. Therefore, adequate coverage and reimbursement from such third-party payors are critical to new and ongoing product acceptance.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Factors payors consider in determining coverage and reimbursement are based on whether the product is:</w:t>
      </w:r>
    </w:p>
    <w:p>
      <w:pPr>
        <w:spacing w:after="0" w:line="69" w:lineRule="exact"/>
        <w:rPr>
          <w:sz w:val="20"/>
          <w:szCs w:val="20"/>
          <w:color w:val="auto"/>
        </w:rPr>
      </w:pPr>
    </w:p>
    <w:p>
      <w:pPr>
        <w:ind w:left="2120" w:hanging="345"/>
        <w:spacing w:after="0"/>
        <w:tabs>
          <w:tab w:leader="none" w:pos="21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75" w:lineRule="exact"/>
        <w:rPr>
          <w:sz w:val="20"/>
          <w:szCs w:val="20"/>
          <w:color w:val="auto"/>
        </w:rPr>
      </w:pPr>
    </w:p>
    <w:p>
      <w:pPr>
        <w:ind w:left="1360" w:right="239" w:firstLine="343"/>
        <w:spacing w:after="0" w:line="278" w:lineRule="auto"/>
        <w:rPr>
          <w:sz w:val="20"/>
          <w:szCs w:val="20"/>
          <w:color w:val="auto"/>
        </w:rPr>
      </w:pPr>
      <w:r>
        <w:rPr>
          <w:rFonts w:ascii="Times New Roman" w:cs="Times New Roman" w:eastAsia="Times New Roman" w:hAnsi="Times New Roman"/>
          <w:sz w:val="13"/>
          <w:szCs w:val="13"/>
          <w:color w:val="auto"/>
        </w:rPr>
        <w:t>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A third-party payor’s decision to provide coverage for a product does not imply that an adequate reimbursement rate will be approved. Therefore, even if coverage is provided, the approved reimbursement amount may not be high enough to allow us to establish or maintain pricing sufficient to realize a return on our investment.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10159"/>
          </w:cols>
          <w:pgMar w:left="300" w:top="386"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Third-party payors are increasingly challenging the prices charged, examining the medical necessity, and reviewing the cost- effectiveness of medical products and services and imposing controls to manage costs.</w:t>
      </w:r>
    </w:p>
    <w:p>
      <w:pPr>
        <w:spacing w:after="0" w:line="125"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as the process of determining coverage and reimbursement is often time consuming and costly. 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Moreover, coverage may be more limited than the purposes for which the product is approved by FDA or regulatory authorities in other countries. Additionally, companies may also need to provide discounts to purchasers, private health plans, or government healthcare programs. Third-party payors may limit coverage to specific products on an approved list, also known as a formulary, which might not include all of the approved products for a particular indication. Third-party payors could determine that our product candidates are not medically necessary or cost effective. A decision by a third-party payor not to cover a product could reduce physician utilization once the product is approved and have a material adverse effect on sales, results of operations and our financial condition.</w:t>
      </w:r>
    </w:p>
    <w:p>
      <w:pPr>
        <w:spacing w:after="0" w:line="149"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including the relaxation of laws that presently restrict imports of drugs from countries where they may be sold at lower prices than in the United States.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45"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color w:val="auto"/>
        </w:rPr>
        <w:t>Further, third-party payors are increasingly reducing reimbursements for drugs and services and implementing measures to control utilization of drugs (such as requiring prior authorization or step therapy for coverage, among other things).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Even if favorable coverage and reimbursement status is attained for one or more products for which we receive regulatory approval, less favorable coverage policies and reimbursement rates may be implemented in the future. Moreover, payment methodologies may be subject to changes in healthcare legislation and regulatory initiatives. For example, the U.S. Centers for Medicare &amp; Medicaid Services, or CMS, may develop new payment and delivery models, such as bundled payment models. In addition, recently there has been heightened governmental scrutiny over the manner in which manufacturers set prices for their commercial products, which has resulted in several U.S.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50"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44" w:lineRule="exact"/>
        <w:rPr>
          <w:sz w:val="20"/>
          <w:szCs w:val="20"/>
          <w:color w:val="auto"/>
        </w:rPr>
      </w:pPr>
    </w:p>
    <w:p>
      <w:pPr>
        <w:ind w:left="1360" w:right="1159" w:firstLine="343"/>
        <w:spacing w:after="0" w:line="283" w:lineRule="auto"/>
        <w:rPr>
          <w:sz w:val="20"/>
          <w:szCs w:val="20"/>
          <w:color w:val="auto"/>
        </w:rPr>
      </w:pPr>
      <w:r>
        <w:rPr>
          <w:rFonts w:ascii="Times New Roman" w:cs="Times New Roman" w:eastAsia="Times New Roman" w:hAnsi="Times New Roman"/>
          <w:sz w:val="14"/>
          <w:szCs w:val="14"/>
          <w:color w:val="auto"/>
        </w:rPr>
        <w:t>Outside the United States, ensuring coverage and adequate payment for a product also involves challenges. Pricing of prescription pharmaceuticals is subject to government control in many countries. Pricing negotiations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0159"/>
          </w:cols>
          <w:pgMar w:left="300" w:top="38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36"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Current and Future Healthcare Reform</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In the United States, there have been, and continue to be, a number of legislative and regulatory changes to the healthcare system that could impact our ability to sell our products profitably. For example, in March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 among other things:</w:t>
      </w:r>
    </w:p>
    <w:p>
      <w:pPr>
        <w:spacing w:after="0" w:line="70" w:lineRule="exact"/>
        <w:rPr>
          <w:sz w:val="20"/>
          <w:szCs w:val="20"/>
          <w:color w:val="auto"/>
        </w:rPr>
      </w:pPr>
    </w:p>
    <w:p>
      <w:pPr>
        <w:ind w:left="2120" w:right="539" w:hanging="345"/>
        <w:spacing w:after="0" w:line="283" w:lineRule="auto"/>
        <w:tabs>
          <w:tab w:leader="none" w:pos="21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the minimum level of Medicaid rebates payable by manufacturers of brand name drugs from 15.1% to 23.1% of the average manufacturer price;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collection of rebates for drugs paid by Medicaid managed care organizations;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manufacturers to participate in a coverage gap discount program, under which they must agree to offer 50% point-of-sale discount off negotiated prices of applicable brand drugs to eligible beneficiaries during their coverage gap period, as a condition for the manufacturer’s outpatient drugs to be covered under Medicare Part D (later increased to 70%); and</w:t>
      </w:r>
    </w:p>
    <w:p>
      <w:pPr>
        <w:spacing w:after="0" w:line="6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imposed a non-deductible annual fee on pharmaceutical manufacturers or importers who sell “branded prescription drugs” to specified federal government programs.</w:t>
      </w:r>
    </w:p>
    <w:p>
      <w:pPr>
        <w:spacing w:after="0" w:line="125"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Since its enactment, there have been judicial, administrative, executive, and legislative challenges to certain aspects of the ACA as well as executive orders related to the ACA’s implementation. It is unclear how healthcare reform measures of the current presidential administration or other efforts, if any, to challenge repeal or replace the ACA, will impact our business.</w:t>
      </w:r>
    </w:p>
    <w:p>
      <w:pPr>
        <w:spacing w:after="0" w:line="136"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These changes included aggregate reductions to Medicare payments to providers and health plans (including Part D prescription drug plans) of up to 2% per fiscal year, effective April 1, 2013, and which will stay</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10159"/>
          </w:cols>
          <w:pgMar w:left="300" w:top="386"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in effect through 2032, unless Congress takes additional action. Additionally, American Taxpayer Relief Act of 2012, which, among other things, reduced Medicare payments to several providers, and increased the statute of limitations period for the government to recover overpayments to providers from three to five years. Moreover, the One Big Beautiful Bill Act, which was enacted in July 2025, imposes significant reductions in the funding of the Medicaid program. Such reductions are expected to decrease the number of persons enrolled in Medicaid and reduce the services covered by Medicaid. These new laws and regulatory changes may result in additional reductions in Medicare and other healthcare funding, which could have a material adverse effect on prescribers of our drugs, if approved, and accordingly, our financial operations.</w:t>
      </w:r>
    </w:p>
    <w:p>
      <w:pPr>
        <w:spacing w:after="0" w:line="143"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as of January 1, 2024, the American Rescue Plan Act of 2021 eliminated the statutory Medicaid drug rebate cap of 100% of a drug’s average manufacturer price, for single source and innovator multiple source drugs. More recently, the Inflation Reduction Act of 2022, or IRA, among other things, directed HHS to negotiate the price of certain high-expenditure, single-source drugs and biologics covered under Medicare, and created civil monetary penalties and an excise tax for manufacturers that fail to comply with the drug price negotiation requirements. The IRA also imposed rebates for certain drugs and biologics covered under Medicare Part B or Medicare Part D to penalize price increases that outpace inflation, and, beginning in 2025, replaced the Part D coverage gap discount program with a new discounting program. The IRA permits HHS to implement many of these provisions through guidance, as opposed to regulation, for the initial years. On August 15, 2024, HHS announced the negotiated prices for the first ten drugs that will be subject to price negotiations, and on January 17, 2025, HHS announced 15 additional drugs subject to negotiations. The Medicare drug price negotiation program is currently subject to multiple legal challenges. The impact of these challenges, as well as any other future challenges, is uncertain, and it is unclear how the IRA will be implemented but is likely to have a significant impact on the pharmaceutical industry.</w:t>
      </w:r>
    </w:p>
    <w:p>
      <w:pPr>
        <w:spacing w:after="0" w:line="147"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In addition, 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w:t>
      </w:r>
    </w:p>
    <w:p>
      <w:pPr>
        <w:spacing w:after="0" w:line="149"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2020, FDA released its implementing regulations regarding section 804 Importation Programs under the Medicare Prescription Drug Improvement and Modernization Act of 2003, which create a pathway for states to submit proposals to import certain drugs from Canada. On January 5, 2024, the FDA authorized a Florida program to import prescription drugs from Canada for a period of two years to help reduce drug costs, provided that Florida’s Agency for Health Care Administration meets the requirements set forth by the FDA. If broadly implemented, importation of drugs under this program from Canada may materially and adversely affect the price we receive for any of our product candidates. Additionally, it is unclear what steps the current presidential administration will take with respect to increasing importation of drugs at the state or federal level.</w:t>
      </w:r>
    </w:p>
    <w:p>
      <w:pPr>
        <w:spacing w:after="0" w:line="14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Individual states have also been increasingly active in passing legislation and implementing regulations designed to control pharmaceutical and biological product pricing, including price or patient reimbursement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10159"/>
          </w:cols>
          <w:pgMar w:left="300" w:top="386"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spacing w:after="0" w:line="14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Although a number of these and other proposed measures may require authorization through additional legislation to become effective, and the current presidential administration may reverse or otherwise change these measures, both the current presidential administration and Congress have indicated that they will continue to seek new legislative measures to control drug costs.</w:t>
      </w:r>
    </w:p>
    <w:p>
      <w:pPr>
        <w:spacing w:after="0" w:line="136"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46"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41" w:lineRule="exact"/>
        <w:rPr>
          <w:sz w:val="20"/>
          <w:szCs w:val="20"/>
          <w:color w:val="auto"/>
        </w:rPr>
      </w:pPr>
    </w:p>
    <w:p>
      <w:pPr>
        <w:ind w:left="1360" w:right="479" w:firstLine="343"/>
        <w:spacing w:after="0" w:line="287" w:lineRule="auto"/>
        <w:rPr>
          <w:sz w:val="20"/>
          <w:szCs w:val="20"/>
          <w:color w:val="auto"/>
        </w:rPr>
      </w:pPr>
      <w:r>
        <w:rPr>
          <w:rFonts w:ascii="Times New Roman" w:cs="Times New Roman" w:eastAsia="Times New Roman" w:hAnsi="Times New Roman"/>
          <w:sz w:val="13"/>
          <w:szCs w:val="13"/>
          <w:color w:val="auto"/>
        </w:rPr>
        <w:t>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26"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10159"/>
          </w:cols>
          <w:pgMar w:left="300" w:top="386"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67" w:lineRule="auto"/>
        <w:rPr>
          <w:sz w:val="20"/>
          <w:szCs w:val="20"/>
          <w:color w:val="auto"/>
        </w:rPr>
      </w:pPr>
      <w:r>
        <w:rPr>
          <w:rFonts w:ascii="Times New Roman" w:cs="Times New Roman" w:eastAsia="Times New Roman" w:hAnsi="Times New Roman"/>
          <w:sz w:val="14"/>
          <w:szCs w:val="14"/>
          <w:color w:val="auto"/>
        </w:rPr>
        <w:t>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maintain a physical corporate office for administrative purposes and a small non-GxP lab space, which we do not view as material.</w:t>
      </w:r>
    </w:p>
    <w:p>
      <w:pPr>
        <w:spacing w:after="0" w:line="175"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believe our existing facilities arrangements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3"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As of April 1, 2026, we had 58 full-time employees. Within our workforce, 39 employees are engaged in research and development and 19 are engaged in business development, finance, legal, and general management and administration. Our human capital resources objectives include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 None of our employees is represented by a labor union or covered by a collective bargaining agreement. We consider our relationship with our employees to be good.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3"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10159"/>
          </w:cols>
          <w:pgMar w:left="300" w:top="386"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directors as of the date of this prospectus: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4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Age</w:t>
            </w:r>
          </w:p>
        </w:tc>
        <w:tc>
          <w:tcPr>
            <w:tcW w:w="200" w:type="dxa"/>
            <w:vAlign w:val="bottom"/>
          </w:tcPr>
          <w:p>
            <w:pPr>
              <w:spacing w:after="0"/>
              <w:rPr>
                <w:sz w:val="12"/>
                <w:szCs w:val="12"/>
                <w:color w:val="auto"/>
              </w:rPr>
            </w:pPr>
          </w:p>
        </w:tc>
        <w:tc>
          <w:tcPr>
            <w:tcW w:w="3940" w:type="dxa"/>
            <w:vAlign w:val="bottom"/>
          </w:tcPr>
          <w:p>
            <w:pPr>
              <w:ind w:left="178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Executive Officers:</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Daphne Zohar</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 Chen, Ph.D.</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Chief Scientific Officer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Lana Gladstein, J.D.</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General Counsel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Antony Loebel, M.D.</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Chief Medical Officer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Lauren A. White</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4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Non-Employee Directors:</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Steven M. Paul, M.D.</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 and Board Chair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Eric Elenko, Ph.D.</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James I. Healy, M.D., Ph.D. </w:t>
            </w:r>
            <w:r>
              <w:rPr>
                <w:rFonts w:ascii="Times New Roman" w:cs="Times New Roman" w:eastAsia="Times New Roman" w:hAnsi="Times New Roman"/>
                <w:sz w:val="19"/>
                <w:szCs w:val="19"/>
                <w:color w:val="auto"/>
                <w:vertAlign w:val="superscript"/>
              </w:rPr>
              <w:t>(3)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Robert J. Hombach </w:t>
            </w:r>
            <w:r>
              <w:rPr>
                <w:rFonts w:ascii="Times New Roman" w:cs="Times New Roman" w:eastAsia="Times New Roman" w:hAnsi="Times New Roman"/>
                <w:sz w:val="19"/>
                <w:szCs w:val="19"/>
                <w:color w:val="auto"/>
                <w:vertAlign w:val="superscript"/>
              </w:rPr>
              <w:t>(3)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Robert Nelsen</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Sandra E. Peterson </w:t>
            </w:r>
            <w:r>
              <w:rPr>
                <w:rFonts w:ascii="Times New Roman" w:cs="Times New Roman" w:eastAsia="Times New Roman" w:hAnsi="Times New Roman"/>
                <w:sz w:val="19"/>
                <w:szCs w:val="19"/>
                <w:color w:val="auto"/>
                <w:vertAlign w:val="superscript"/>
              </w:rPr>
              <w:t>(1)(2)</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Jason Pitts, Ph.D. </w:t>
            </w:r>
            <w:r>
              <w:rPr>
                <w:rFonts w:ascii="Times New Roman" w:cs="Times New Roman" w:eastAsia="Times New Roman" w:hAnsi="Times New Roman"/>
                <w:sz w:val="19"/>
                <w:szCs w:val="19"/>
                <w:color w:val="auto"/>
                <w:vertAlign w:val="superscript"/>
              </w:rPr>
              <w:t>(1)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Denice Torres, J.D. </w:t>
            </w:r>
            <w:r>
              <w:rPr>
                <w:rFonts w:ascii="Times New Roman" w:cs="Times New Roman" w:eastAsia="Times New Roman" w:hAnsi="Times New Roman"/>
                <w:sz w:val="19"/>
                <w:szCs w:val="19"/>
                <w:color w:val="auto"/>
                <w:vertAlign w:val="superscript"/>
              </w:rPr>
              <w:t>(1)(2)(3)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David Wheadon, M.D. </w:t>
            </w:r>
            <w:r>
              <w:rPr>
                <w:rFonts w:ascii="Times New Roman" w:cs="Times New Roman" w:eastAsia="Times New Roman" w:hAnsi="Times New Roman"/>
                <w:sz w:val="19"/>
                <w:szCs w:val="19"/>
                <w:color w:val="auto"/>
                <w:vertAlign w:val="superscript"/>
              </w:rPr>
              <w:t>(2)</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Lyne LLB</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hanging="345"/>
        <w:spacing w:after="0"/>
        <w:tabs>
          <w:tab w:leader="none" w:pos="17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2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p>
      <w:pPr>
        <w:spacing w:after="0" w:line="91"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Daphne Zohar. </w:t>
      </w:r>
      <w:r>
        <w:rPr>
          <w:rFonts w:ascii="Times New Roman" w:cs="Times New Roman" w:eastAsia="Times New Roman" w:hAnsi="Times New Roman"/>
          <w:sz w:val="14"/>
          <w:szCs w:val="14"/>
          <w:color w:val="auto"/>
        </w:rPr>
        <w:t>Ms. Zohar was our founder and has served as our President and Chief Executive Officer and as a member of our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since April 2024. Prior to joining us, Ms. Zohar served as Founder, Chief Executive Officer and as a member of the board of directors of PureTech (Nasdaq/LSE: PRTC), since its formation in June 2015 to April 2024, and since 2005 at PureTech’s predecessor entity. A successful entrepreneur, Ms. Zohar created PureTech, assembling a leading team and scientific network to help implement her vision for the company, and was a key participant in fundraising, business development and establishing the underlying programs and platforms that have resulted in PureTech’s substantial pipeline of products and product candidates. She also co-founded PureTech’s entities, including Karuna Therapeutics, Inc. (formerly Nasdaq: KRTX), which developed the groundbreaking antipsychotic drug, Cobenfy (KarXT). The FDA approval of Cobenfy in September 2024 marked the first new schizophrenia mechanism in 70 years. Following FDA approval of Cobenfy (invented by PureTech), Karuna was acquired by Bristol Myers Squibb for $14 billion. Ms. Zohar was a key driver in PureTech’s productive R&amp;D engine, which led to 28 new medicines and a clinical success rate at PureTech and founded entities that was around six times better than the industry average during her tenure. Ms. Zohar is a founder &amp; co-host of the weekly podcast “Biotech Hangout.” Ms. Zohar received a B.S. from Northeastern University. Our board of directors believes that Ms. Zohar is qualified to serve as a member of our board of directors because of her extensive experience and leadership in the biopharmaceutical industry and her role as our company’s founder and chief executive officer.</w:t>
      </w:r>
    </w:p>
    <w:p>
      <w:pPr>
        <w:spacing w:after="0" w:line="149" w:lineRule="exact"/>
        <w:rPr>
          <w:sz w:val="20"/>
          <w:szCs w:val="20"/>
          <w:color w:val="auto"/>
        </w:rPr>
      </w:pPr>
    </w:p>
    <w:p>
      <w:pPr>
        <w:ind w:left="1360" w:right="2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Michael C. Chen, Ph.D. </w:t>
      </w:r>
      <w:r>
        <w:rPr>
          <w:rFonts w:ascii="Times New Roman" w:cs="Times New Roman" w:eastAsia="Times New Roman" w:hAnsi="Times New Roman"/>
          <w:sz w:val="14"/>
          <w:szCs w:val="14"/>
          <w:color w:val="auto"/>
        </w:rPr>
        <w:t>Dr. Chen has served as our Chief Scientific Officer since May 2024. Prior to joining us, Dr. Chen served various roles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PureTech from 2016 to May 2024, most recently as Head of</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10159"/>
          </w:cols>
          <w:pgMar w:left="300" w:top="386"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39"/>
        <w:spacing w:after="0" w:line="258" w:lineRule="auto"/>
        <w:rPr>
          <w:sz w:val="20"/>
          <w:szCs w:val="20"/>
          <w:color w:val="auto"/>
        </w:rPr>
      </w:pPr>
      <w:r>
        <w:rPr>
          <w:rFonts w:ascii="Times New Roman" w:cs="Times New Roman" w:eastAsia="Times New Roman" w:hAnsi="Times New Roman"/>
          <w:sz w:val="14"/>
          <w:szCs w:val="14"/>
          <w:color w:val="auto"/>
        </w:rPr>
        <w:t>Innovation from 2016 to May 2024, where he oversaw the rapid advancement of the neuropsychiatric medicines that led to our launch. From 2016 to 2019, Dr. Chen was also co-founder and Head of Research and Strategy at Sonde Health, Inc., a company developing vocal biomarkers for depression and other neuropsychiatric disorders. He was a postdoctoral fellow at Beth Israel Deaconess Medical Center and Harvard Medical School, Department of Neurology. Dr. Chen completed his Ph.D. at Stanford University, focusing on the neurobiological mechanisms of depression and sleep disorders. He received a B.A. from Yale University.</w:t>
      </w:r>
    </w:p>
    <w:p>
      <w:pPr>
        <w:spacing w:after="0" w:line="142"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Lana Gladstein, J.D. </w:t>
      </w:r>
      <w:r>
        <w:rPr>
          <w:rFonts w:ascii="Times New Roman" w:cs="Times New Roman" w:eastAsia="Times New Roman" w:hAnsi="Times New Roman"/>
          <w:sz w:val="14"/>
          <w:szCs w:val="14"/>
          <w:color w:val="auto"/>
        </w:rPr>
        <w:t>Ms. Gladstein has served as our General Counsel since June 2024. Prior to joining us, she served as the Group General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Counsel at APRINOIA Therapeutics, Inc. (Nasdaq: APRI) from May 2023 to June 2024. From June 2022 to May 2023, she also served as Chief Legal Officer of Recipharm AB North America from June 2022 to May 2023, Chief Legal Officer and General Counsel of Arranta Bio (acquired by Recipharm) from November 2019 to May 2023 and Executive Vice President and General Counsel of Brammer Bio (acquired by Thermo Fisher Scientific) from March 2017 to October 2019. Prior to that, Ms. Gladstein was a partner at the law firm of Nutter McClennen &amp; Fish LLP and Pepper Hamilton LLP. Ms. Gladstein holds a J.D. from Northeastern University School of Law and a B.A. in Biology from Brandeis University.</w:t>
      </w:r>
    </w:p>
    <w:p>
      <w:pPr>
        <w:spacing w:after="0" w:line="143" w:lineRule="exact"/>
        <w:rPr>
          <w:sz w:val="20"/>
          <w:szCs w:val="20"/>
          <w:color w:val="auto"/>
        </w:rPr>
      </w:pPr>
    </w:p>
    <w:p>
      <w:pPr>
        <w:ind w:left="1360" w:right="39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Antony Loebel, M.D. </w:t>
      </w:r>
      <w:r>
        <w:rPr>
          <w:rFonts w:ascii="Times New Roman" w:cs="Times New Roman" w:eastAsia="Times New Roman" w:hAnsi="Times New Roman"/>
          <w:sz w:val="14"/>
          <w:szCs w:val="14"/>
          <w:color w:val="auto"/>
        </w:rPr>
        <w:t>Dr. Loebel has served as our Chief Medical Officer and President of Clinical Development since June 2024. He was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the President and Chief Executive Officer of Sunovion Pharmaceuticals Inc. from April 2019 to June 2023, and served as Chief Medical Officer from 2011 to March 2019. During his tenure at Sunovion, Dr. Loebel played a key role in the company’s growth to over $3.5 billion in total revenue and was instrumental in the development and commercialization of Latuda for the treatment of bipolar depression and schizophrenia. Prior to his time at Sunovion, he held senior roles in research and development and medical affairs at Dainippon Sumitomo Pharma America and Pfizer Inc. (NYSE: PFE). Dr. Loebel earned his M.D. from the University of Washington in Seattle, completed his psychiatry residency at the Zucker Hillside Hospital in New York, and is board certified in psychiatry.</w:t>
      </w:r>
    </w:p>
    <w:p>
      <w:pPr>
        <w:spacing w:after="0" w:line="144"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Lauren A. White. </w:t>
      </w:r>
      <w:r>
        <w:rPr>
          <w:rFonts w:ascii="Times New Roman" w:cs="Times New Roman" w:eastAsia="Times New Roman" w:hAnsi="Times New Roman"/>
          <w:sz w:val="14"/>
          <w:szCs w:val="14"/>
          <w:color w:val="auto"/>
        </w:rPr>
        <w:t>Ms. White has served as our Chief Financial Officer since November 2024. Prior to joining us, Ms. White served as the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Officer and Treasurer of ImmunoGen, Inc. (formerly Nasdaq: IMGN), or ImmunoGen, from September 2023 to June 2024 prior to its acquisition by AbbVie. Prior to that, she served as Chief Financial Officer, Treasurer, and Principal Accounting Officer at C4 Therapeutics, Inc. (Nasdaq: CCC) from June 2021 to September 2023, and held roles of increasing responsibility at Novartis AG (NYSE: NVS), most recently as Vice President, Finance, and Global Head of Business Planning and Analysis at Novartis Institutes for BioMedical Research from July 2017 to June 2021. Ms. White earned an M.B.A. from Harvard Business School and a B.S. from the Carroll School of Management at Boston College.</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91"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Steven M. Paul, M.D. </w:t>
      </w:r>
      <w:r>
        <w:rPr>
          <w:rFonts w:ascii="Times New Roman" w:cs="Times New Roman" w:eastAsia="Times New Roman" w:hAnsi="Times New Roman"/>
          <w:sz w:val="14"/>
          <w:szCs w:val="14"/>
          <w:color w:val="auto"/>
        </w:rPr>
        <w:t>Dr. Paul has been a member and chair of our board of directors since April 2024. Dr. Paul was one of our founders and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served as our senior advisor since February 2024. From August 2018 to January 2024, Dr. Paul served in senior leadership roles at Karuna Therapeutics, Inc. (Nasdaq: KRTX, prior to its recent acquisition by Bristol Myers Squibb Company), including as Chief Scientific Officer and President of Research and Development from January 2023 to January 2024, and President, Chief Executive Officer, and Chairman of the board of directors from August 2018 to January 2023. Dr. Paul has also served as a Venture Partner at Third Rock Ventures since 2010. Dr. Paul is also board certified by the American Board of Psychiatry and Neurology. Dr. Paul has served on the board of directors of Rapport Therapeutics, Inc. (Nasdaq: RAPP) since December 2022 and Sage Therapeutics, Inc. (Nasdaq: SAGE) from September 2011 until June 2024 and is also the chairman of the board of directors of the Foundation for the National Institutes of Health (FNIH). Previously, Dr. Paul served on the boards of directors of Alnylam Pharmaceuticals, Inc. (Nasdaq: ALNY) from September 2010 to April 2022, Voyager Therapeutics, Inc. (Nasdaq: VYGR) from September 2014 to June 2022 and Karuna Therapeutics, Inc. from March 2018 to March 2024. Dr. Paul also previously spent 17 years at Eli Lilly and Company (NYSE: LLY), during which time he held several leadership roles, including Executive Vice President for Science and Technology, and President of the Lilly Research Laboratories. Prior to Lilly, Dr. Paul</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59"/>
          </w:cols>
          <w:pgMar w:left="300" w:top="386"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spent 18 years at the National Institute of Mental Health (NIMH) where he served as Scientific Director. Dr. Paul received a Bachelor of Arts degree in biology and psychology from Tulane University and Master of Science and Doctor of Medicine degrees from the Tulane University School of Medicine. Our board of directors believes that Dr. Paul is qualified to serve on our board of directors due to his numerous leadership roles and experience in the pharmaceutical industry and his expertise in neuroscience.</w:t>
      </w:r>
    </w:p>
    <w:p>
      <w:pPr>
        <w:spacing w:after="0" w:line="139"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James I. Healy, M.D., Ph.D. </w:t>
      </w:r>
      <w:r>
        <w:rPr>
          <w:rFonts w:ascii="Times New Roman" w:cs="Times New Roman" w:eastAsia="Times New Roman" w:hAnsi="Times New Roman"/>
          <w:sz w:val="14"/>
          <w:szCs w:val="14"/>
          <w:color w:val="auto"/>
        </w:rPr>
        <w:t>Dr. Healy has been a member of our board of directors since April 2024. Dr. Healy has served as Managing Partner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Sofinnova Investments, Inc. since June 2000. Dr. Healy has served on the boards of directors of Rapport Therapeutics, Inc. (Nasdaq: RAPP) since August 2023, ArriVent Biopharma, Inc. (Nasdaq: AVBP) since March 2023 and BioAge Labs, Inc. (Nasdaq: BIOA) since February of 2024. Previously, Dr. Healy served on numerous public company boards of directors including Bolt Biotherapeutics, Inc. (Nasdaq: BOLT) from January 2021 until September 2024, Natera, Inc. (Nasdaq: NTRA) from November 2014 until June 2025, Y-mAbs Therapeutics, Inc. (Nasdaq: YMAB) from November 2017 until September 2025, Ascendis Pharma A/S (Nasdaq: ASND) from November 2014 to May 2022, Amarin Corporation PLC (Nasdaq: AMRN) from May 2008 to December 2016, CinCor Pharma, Inc. (Nasdaq: CINC, prior to its recent acquisition by AstraZeneca PLC) from May 2019 to February 2023, Coherus BioSciences, Inc. (Nasdaq: CHRS) from February 2014 to February 2022, Karuna Therapeutics, Inc. (Nasdaq: KRTX, prior to its recent acquisition by Bristol Myers Squibb Company) from June 2019 to March 2024, Iterum Therapeutics plc (Nasdaq: ITRM) from November 2015 to February 2020, ObsEva SA (Nasdaq: OBSEF) from August 2013 to May 2021, and NuCana PLC (Nasdaq: NCNA) from March 2014 to April 2022. He also previously served as a director on the Board of the National Venture Capital Association (NVCA) and the Board of the Biotechnology Industry Organization (BIO). Dr. Healy holds Bachelor of Arts degrees in molecular biology and Scandinavian studies from the University of California, Berkeley, and Doctor of Medicine and Doctor of Philosophy degrees in immunology from Stanford University School of Medicine. Our board of directors believes that Dr. Healy is qualified to serve on our board of directors due to his extensive experience and leadership roles in the biopharmaceutical industry and expertise in healthcare investing.</w:t>
      </w:r>
    </w:p>
    <w:p>
      <w:pPr>
        <w:spacing w:after="0" w:line="146"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Robert J. Hombach. </w:t>
      </w:r>
      <w:r>
        <w:rPr>
          <w:rFonts w:ascii="Times New Roman" w:cs="Times New Roman" w:eastAsia="Times New Roman" w:hAnsi="Times New Roman"/>
          <w:sz w:val="14"/>
          <w:szCs w:val="14"/>
          <w:color w:val="auto"/>
        </w:rPr>
        <w:t>Mr. Hombach has been a member of our board of directors since March 2025. Mr. Hombach served as the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Chief Financial Officer and Chief Operations Officer of Baxalta (NYSE: BXLT), a global biopharmaceutical company, until it was acquired by Shire plc. in 2016. Mr. Homach has served on the board of directors of Henry Schein Inc (Nasdaq: HSIC) since February, 2025, BioMarin Pharmaceutical Inc (Nasdaq: BMRN) since September 2017, Embecta Corp. (Nasdaq: EMBC) since April, 2022, Aptinyx Inc. from April, 2018 to December, 2023, CarMax Inc, (NYSE: KMX) from March, 2018 to June, 2022. He was instrumental in Baxalta’s successful spin off from its parent company, Baxter (NYSE: BAX), where he previously served as Corporate Vice President and Chief Financial Officer. In addition to his board positions at BioMarin and Henry Schein, Mr. Hombach is the Chair of the Audit Committee at Embecta, a global diabetes care company spun out of Becton Dickinson, and has held previous board positions at several other companies including Naurex, Inc., which was acquired by Allergan in 2015.</w:t>
      </w:r>
    </w:p>
    <w:p>
      <w:pPr>
        <w:spacing w:after="0" w:line="5" w:lineRule="exact"/>
        <w:rPr>
          <w:sz w:val="20"/>
          <w:szCs w:val="20"/>
          <w:color w:val="auto"/>
        </w:rPr>
      </w:pPr>
    </w:p>
    <w:p>
      <w:pPr>
        <w:ind w:left="1360" w:right="419"/>
        <w:spacing w:after="0" w:line="256" w:lineRule="auto"/>
        <w:rPr>
          <w:sz w:val="20"/>
          <w:szCs w:val="20"/>
          <w:color w:val="auto"/>
        </w:rPr>
      </w:pPr>
      <w:r>
        <w:rPr>
          <w:rFonts w:ascii="Times New Roman" w:cs="Times New Roman" w:eastAsia="Times New Roman" w:hAnsi="Times New Roman"/>
          <w:sz w:val="14"/>
          <w:szCs w:val="14"/>
          <w:color w:val="auto"/>
        </w:rPr>
        <w:t>Mr. Hombach received an MBA from Northwestern University’s J.L. Kellogg Graduate School of Management, and a BS in Finance cum laude from the University of Colorado. Our board of directors believes that Mr. Hombach is qualified to serve on our board of directors due to his significant leadership experience in the biopharmaceutical industry.</w:t>
      </w:r>
    </w:p>
    <w:p>
      <w:pPr>
        <w:spacing w:after="0" w:line="14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Robert Nelsen. </w:t>
      </w:r>
      <w:r>
        <w:rPr>
          <w:rFonts w:ascii="Times New Roman" w:cs="Times New Roman" w:eastAsia="Times New Roman" w:hAnsi="Times New Roman"/>
          <w:sz w:val="14"/>
          <w:szCs w:val="14"/>
          <w:color w:val="auto"/>
        </w:rPr>
        <w:t>Mr. Nelsen has been a member of our board of directors since April 2024. Mr. Nelsen co-founded ARCH Venture Partners, L.P.,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venture capital firm focused on early-stage technology companies, in 1986 and has served as a Managing Director of ARCH Venture Partners or its affiliated entities since 1994. Mr. Nelsen has served on the board of directors of Prime Medicine, Inc. (Nasdaq: PRME) since September 2020, and Sana Biotechnology, Inc. (Nasdaq: SANA) since October 2018, each a U.S. publicly traded biotechnology company. Mr. Nelsen has served as the Chairman and as a member of the board of directors of Hua Medicine, Inc., a Hong Kong publicly listed drug development company, since April 2010 and currently serves on the board of directors of a number of private companies. Mr. Nelsen previously served on the board of directors of a number of public biotechnology companies, including Vir Biotechnology, Inc. from 2016 to 2025, Lyell Immunopharma, Inc. from 2018 to 2025, Brii Biosciences, Inc., from 2018 to 2024, Revolution Healthcare</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0159"/>
          </w:cols>
          <w:pgMar w:left="300" w:top="386"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Acquisition Corp. from 2021 to 2022, Denali Therapeutics Inc. from 2015 to 2022, Unity Biotechnology, Inc. from 2015 to December 2020, Agios Pharmaceuticals, Inc. from 2007 to June 2017, Syros Pharmaceuticals, Inc. from 2012 to June 2018, Juno Therapeutics, Inc. (acquired by Celgene Corporation in January 2018) from 2013 to March 2018, Sienna Biopharmaceuticals, Inc. from 2015 to September 2018 and Gossamer Bio, Inc. from 2017 to December 2018 (prior to its initial public offering). Mr. Nelsen received his M.B.A. from the University of Chicago and his B.S. from the University of Puget Sound in Economics and Biology. Our board of directors believes that Mr. Nelsen is qualified to serve on the Board due to his significant venture capital experience as a director and investor in the biotechnology industry.</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Sandra E. Peterson. </w:t>
      </w:r>
      <w:r>
        <w:rPr>
          <w:rFonts w:ascii="Times New Roman" w:cs="Times New Roman" w:eastAsia="Times New Roman" w:hAnsi="Times New Roman"/>
          <w:sz w:val="14"/>
          <w:szCs w:val="14"/>
          <w:color w:val="auto"/>
        </w:rPr>
        <w:t>Ms. Peterson has been a member of our board of directors since November 2024. She has served as an Operating Partner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Clayton Dubilier &amp; Rice, or CD&amp;R, a private investment firm, since April 2019 where she invests in life sciences and consumer companies and oversees technology initiatives to enhance performance of the firm’s portfolio companies. Prior to joining CD&amp;R, Ms. Peterson was the Group Worldwide Chair for Johnson &amp; Johnson, or J&amp;J, where she led J&amp;J’s consumer and medical devices businesses and was responsible for global operating infrastructure, technology, supply chain, quality, and key strategic initiatives from 2012 to 2018. Ms. Peterson currently serves as Lead Independent Director of Microsoft Corp. (Nasdaq: MSFT) since March 2023 and a member of its board of directors since December 2015. She also serves as Executive Chairwoman of the board of directors of Volastra Therapeutics since October 2019. Ms. Peterson received her M.P.A. from Princeton University and a B.A. from Cornell University. Our board of directors believes that Ms. Peterson is qualified to serve on our board of directors due to her extensive knowledge of strategy and business development in the life sciences industry and her wide-ranging experience in leadership positions.</w:t>
      </w:r>
    </w:p>
    <w:p>
      <w:pPr>
        <w:spacing w:after="0" w:line="146"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Denice Torres, J.D. </w:t>
      </w:r>
      <w:r>
        <w:rPr>
          <w:rFonts w:ascii="Times New Roman" w:cs="Times New Roman" w:eastAsia="Times New Roman" w:hAnsi="Times New Roman"/>
          <w:sz w:val="14"/>
          <w:szCs w:val="14"/>
          <w:color w:val="auto"/>
        </w:rPr>
        <w:t>Ms. Torres has been a member of our board of directors since May 2024. Ms. Torres is the founder and Chief Executive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Officer of The Ignited Company, a consulting firm she founded in November 2017, and is also the founder of The Mentoring Place, a nonprofit organization established in 2017. From December 2004 to December 2017, Ms. Torres served in senior leadership roles at Johnson &amp; Johnson, including President of J&amp;J Neuroscience, President of J&amp;J Consumer Health, and Chief Strategy and Transformation Officer of the J&amp;J Medical Device Sector. Prior to that, from 1990 to 2004, Ms. Torres held various leadership positions at Eli Lilly and Company, including Executive Director of Global Neuroscience and Director of U.S. Women’s Health. Ms. Torres currently serves on the board of directors of Celldex Therapeutics Inc. (Nasdaq: CLDX), Glaukos Corp. (Nasdaq: GKOS), National Resilience Inc., and ByHeart Inc. Ms. Torres previously served on the boards of Karuna Therapeutics, Inc., 2seventy bio, Inc., Thirty Madison, bluebird bio, Inc., and Surface Oncology, Inc. Ms. Torres holds an M.B.A. from the University of Michigan, a J.D. from Indiana University School of Law, a B.S. in Psychology from Ball State University, and an M.A. in the Study of Happiness from Centenary University. She is currently pursuing a Ph.D. in Happiness Studies at Centenary University. Our board of directors believes that Ms. Torres is qualified to serve on our board of directors due to her extensive leadership experience in the pharmaceutical, biotechnology, and consumer health industries and her expertise in neuroscience, strategy, and business operations.</w:t>
      </w:r>
    </w:p>
    <w:p>
      <w:pPr>
        <w:spacing w:after="0" w:line="150"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David Wheadon, M.D. </w:t>
      </w:r>
      <w:r>
        <w:rPr>
          <w:rFonts w:ascii="Times New Roman" w:cs="Times New Roman" w:eastAsia="Times New Roman" w:hAnsi="Times New Roman"/>
          <w:sz w:val="14"/>
          <w:szCs w:val="14"/>
          <w:color w:val="auto"/>
        </w:rPr>
        <w:t>Dr. Wheadon has been a member of our board of directors since July 2024. He served as Senior Vice President, Global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Regulatory Affairs, Patient Safety, and Quality Assurance for AstraZeneca Pharmaceuticals from 2014 to 2019 and as Executive Vice President, Research and Advocacy at the Juvenile Diabetes Research Foundation from 2013 to 2014. From 2009 to 2013, Dr. Wheadon served as Senior Vice President, Scientific and Regulatory Affairs and as a member of the Management Committee of the Pharmaceutical Research and Manufacturers of America, or PhRMA. Prior to his joining PhRMA, Dr. Wheadon held senior regulatory and clinical development leader roles at Abbott Laboratories and GlaxoSmithKline plc. Dr. Wheadon began his career as a clinical research physician in neuroscience at Eli Lilly &amp; Company. Dr. Wheadon has served on the board of directors of Indivior, PLC (Nasdaq: INDV) since June 2024, Vaxart, Inc. (Nasdaq: VXRT) since April 2021, and Sotera Health, Inc. (Nasdaq: SHC) since May 2021. He formerly served on the board of directors of Assertio Holdings, Inc. (formerly Assertio Therapeutics, Inc.), Karuna Therapeutics, Inc., and Chemocentryx, Inc. Dr. Wheadon holds an A.B. from Harvard College and an M.D. from Johns Hopkins University School of Medicine. He completed his fellowship training in Psychiatry at the Tufts, New England Medical Center. Our board of directors believes that</w:t>
      </w:r>
    </w:p>
    <w:p>
      <w:pPr>
        <w:spacing w:after="0" w:line="2" w:lineRule="exact"/>
        <w:rPr>
          <w:sz w:val="20"/>
          <w:szCs w:val="20"/>
          <w:color w:val="auto"/>
        </w:rPr>
      </w:pP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Dr. Wheadon is qualified to serve as a member of the board of directors due to his leadership roles in the pharmaceutical industry and his extensive experience in regulatory affairs.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0159"/>
          </w:cols>
          <w:pgMar w:left="300" w:top="386"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Eric Elenko, Ph.D. </w:t>
      </w:r>
      <w:r>
        <w:rPr>
          <w:rFonts w:ascii="Times New Roman" w:cs="Times New Roman" w:eastAsia="Times New Roman" w:hAnsi="Times New Roman"/>
          <w:sz w:val="14"/>
          <w:szCs w:val="14"/>
          <w:color w:val="auto"/>
        </w:rPr>
        <w:t>Dr. Elenko has been a member of our board of directors since April 2024. Dr. Elenko is the co-founder of PureTech Health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(Nasdaq: PRTC) where he has served as the President since April 2024. Prior to his current role, Dr. Elenko previously served as PureTech Health’s Chief Innovation Officer from June 2015 through April 2024. Prior to serving as Chief Innovation Officer, Dr. Elenko held multiple other leadership roles within PureTech. Prior to joining PureTech Health, Dr. Elenko was a consultant with McKinsey and Company. Dr. Elenko has served on the Board of Directors of multiple PureTech portfolio companies during his tenure with PureTech. Dr. Elenko received his Ph.D. in biomedical sciences from the University of California, San Diego and his B.A. in biology from Swarthmore College. Our board of directors believes that Dr. Elenko is qualified to serve on our board of directors because of his extensive understanding of the biotechnology and pharmaceutical industries and his senior management experience.</w:t>
      </w:r>
    </w:p>
    <w:p>
      <w:pPr>
        <w:spacing w:after="0" w:line="145"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Jason Pitts, Ph.D. </w:t>
      </w:r>
      <w:r>
        <w:rPr>
          <w:rFonts w:ascii="Times New Roman" w:cs="Times New Roman" w:eastAsia="Times New Roman" w:hAnsi="Times New Roman"/>
          <w:sz w:val="14"/>
          <w:szCs w:val="14"/>
          <w:color w:val="auto"/>
        </w:rPr>
        <w:t>Dr. Pitts has been a member of our board of directors since October 2024. Dr. Pitts has served as Principal at General Atlantic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since December 2024, and prior to such role served in various roles, including Vice President, since March 2021 at General Atlantic, and focuses on investments in the life sciences sector. Prior to joining General Atlantic, he was a Principal at Sofinnova Investments focused on therapeutics investments from June 2019 to January 2021. Dr. Pitts has also served as a board member of Solve Therapeutics since December 2024, CinCor Pharma, Inc. from October 2021 to February 2023 and Bolt Biotherapeutics, Inc. from July 2020 to January 2021. He received his Ph.D. in neuroscience from The Rockefeller University and a B.S. in neuroscience from Cornell University. Our board of directors believes that Dr. Pitts is qualified to serve on our board of directors due to his extensive expertise in healthcare investing and experience as a board member of other biotechnology companies.</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Robert Lyne, LLB. </w:t>
      </w:r>
      <w:r>
        <w:rPr>
          <w:rFonts w:ascii="Times New Roman" w:cs="Times New Roman" w:eastAsia="Times New Roman" w:hAnsi="Times New Roman"/>
          <w:sz w:val="14"/>
          <w:szCs w:val="14"/>
          <w:color w:val="auto"/>
        </w:rPr>
        <w:t>Mr. Lyne is the chief executive officer and board member at PureTech. Mr. Lyne is a seasoned executive with deep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in life sciences, including his prior role as Chief Executive Officer at Arix Bioscience plc, a transatlantic venture capital company focused on investing in innovative biotechnology companies from April 2021 to December 2023. Mr. Lyne brings more than a decade of experience leading London-listed life science companies and portfolio management, with a strong track record in governance and executive team leadership. Mr. Lyne began his career as a lawyer at international law firm Bird &amp; Bird LLP in London before moving to Touchstone Innovations, a London listed biotech and technology investor, which was acquired in 2017. Mr. Lyne has a BA from the University of Oxford and an LLB from Oxford Brookes University. Our board of directors believes that Mr. Lyne is qualified to serve as a member of the board of directors due to his extensive experience and leadership roles in the pharmaceutical industry.</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There are no family relationships among any of our executive officers or directors.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Composition of Our Board of Directors</w:t>
      </w:r>
    </w:p>
    <w:p>
      <w:pPr>
        <w:spacing w:after="0" w:line="93" w:lineRule="exact"/>
        <w:rPr>
          <w:sz w:val="20"/>
          <w:szCs w:val="20"/>
          <w:color w:val="auto"/>
        </w:rPr>
      </w:pPr>
    </w:p>
    <w:p>
      <w:pPr>
        <w:jc w:val="both"/>
        <w:ind w:left="1360" w:right="739" w:firstLine="343"/>
        <w:spacing w:after="0" w:line="267"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which currently consists of ten members. The primary responsibilities of our board of directors are to provide oversight, strategic guidance, counseling and direction to our management. Our board of directors meets on a regular basis and additionally as required.</w:t>
      </w:r>
    </w:p>
    <w:p>
      <w:pPr>
        <w:spacing w:after="0" w:line="136" w:lineRule="exact"/>
        <w:rPr>
          <w:sz w:val="20"/>
          <w:szCs w:val="20"/>
          <w:color w:val="auto"/>
        </w:rPr>
      </w:pPr>
    </w:p>
    <w:p>
      <w:pPr>
        <w:ind w:left="1360" w:right="379" w:firstLine="343"/>
        <w:spacing w:after="0" w:line="257" w:lineRule="auto"/>
        <w:rPr>
          <w:sz w:val="20"/>
          <w:szCs w:val="20"/>
          <w:color w:val="auto"/>
        </w:rPr>
      </w:pPr>
      <w:r>
        <w:rPr>
          <w:rFonts w:ascii="Times New Roman" w:cs="Times New Roman" w:eastAsia="Times New Roman" w:hAnsi="Times New Roman"/>
          <w:sz w:val="14"/>
          <w:szCs w:val="14"/>
          <w:color w:val="auto"/>
        </w:rPr>
        <w:t>Certain members of our board of directors were elected under the provisions of our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0159"/>
          </w:cols>
          <w:pgMar w:left="300" w:top="386"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Staggered Board</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70" w:lineRule="exact"/>
        <w:rPr>
          <w:sz w:val="20"/>
          <w:szCs w:val="20"/>
          <w:color w:val="auto"/>
        </w:rPr>
      </w:pPr>
    </w:p>
    <w:p>
      <w:pPr>
        <w:ind w:left="2120" w:right="819" w:hanging="345"/>
        <w:spacing w:after="0" w:line="283" w:lineRule="auto"/>
        <w:tabs>
          <w:tab w:leader="none" w:pos="21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will be Daphne Zohar, James Healy and Jason Pitts, and their terms will expire at our first annual meeting of stockholders following this offering, to be held in 2027;</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will be Denice Torres, Sandra Peterson and David Wheadon, and their terms will expire at our second annual meeting of stockholders following this offering, to be held in 2028; and</w:t>
      </w:r>
    </w:p>
    <w:p>
      <w:pPr>
        <w:spacing w:after="0" w:line="5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will be Steven Paul and Robert Hombach, and their terms will expire at our third annual meeting of stockholders following this offering, to be held in 2029.</w:t>
      </w:r>
    </w:p>
    <w:p>
      <w:pPr>
        <w:spacing w:after="0" w:line="125" w:lineRule="exact"/>
        <w:rPr>
          <w:sz w:val="20"/>
          <w:szCs w:val="20"/>
          <w:color w:val="auto"/>
        </w:rPr>
      </w:pPr>
    </w:p>
    <w:p>
      <w:pPr>
        <w:jc w:val="both"/>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Under the listing standards, requirements and rules of The Nasdaq Stock Market LLC, or the Nasdaq Listing Rules, independent directors must comprise a majority of our board of directors as a listed company within one year of the listing date.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0159"/>
          </w:cols>
          <w:pgMar w:left="300" w:top="386"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company or any of its subsidiaries, other than compensation for board service; or (ii) be an affiliated person of the listed company or any of its subsidiaries. In order to be considered independent for purposes of Rule 10C-1 under of the Exchange Act,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4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each of James Healy, Robert Hombach, Jason Pitts, Sandra Peterson, Denice Torres and David Wheadon does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Daphne Zohar and Steven Paul are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Policies</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In connection with this offering, we have adopted policies and procedures for director candidates for our nominating and corporate governance committee, which will provide that factors, such as a candidate’s character, judgment, skills, education, expertise, and absence of conflicts of interest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Leadership Structure and Board’s Role in Risk Oversight</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Currently, the role of chair of our board of directors is separated from the role of chief executive officer. We believe that separating these positions allows our chief executive officer to focus on our day-to-day business, while allowing the chairman of our board to lead the board of directors in its fundamental role of providing advice to and independent oversight of management. Our board of directors recognizes the time, effort and energy that the chief executive officer is required to devote to her position in the current business environment, as well as the commitment required to serve as our chair of our board of directors, particularly as the board of directors’ oversight responsibilities continue to grow. While our amended and restated bylaws and corporate governance guidelines will not require that our board chair and chief executive officer positions be separate, our board of directors believes that having separate positions is the appropriate leadership structure for us at this time and demonstrates our commitment to good corporate governance. Our board of directors has adopted, effective prior to the completion of this offering, corporate governance guidelines that will provide that the board of directors may appoint a lead independent director. The lead independent director will be responsible for calling and presiding over separate meetings of the independent directors. The lead independent director will preside over periodic meetings of independent directors, serve as a liaison between the chair and the independent directors and perform such additional duties as the board of directors may otherwise determine and delegate.</w:t>
      </w:r>
    </w:p>
    <w:p>
      <w:pPr>
        <w:spacing w:after="0" w:line="144"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Risk is inherent with every business, and how well a business manages risk can ultimately determine its success. We face a number of risks, including risks relating to our financial condition, development,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0159"/>
          </w:cols>
          <w:pgMar w:left="300" w:top="386"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commercialization activities, operations, strategic direction, and intellectual property as more fully discussed in the section titled “Risk Factors.”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Committees of Our Board of Directors</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Our board of directors will establish upon the completion of this offering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will operate under a written charter that satisfies the application rules and regulation of the SEC and the Nasdaq Listing Rules, which we will post to our website at </w:t>
      </w:r>
      <w:r>
        <w:rPr>
          <w:rFonts w:ascii="Times New Roman" w:cs="Times New Roman" w:eastAsia="Times New Roman" w:hAnsi="Times New Roman"/>
          <w:sz w:val="14"/>
          <w:szCs w:val="14"/>
          <w:i w:val="1"/>
          <w:iCs w:val="1"/>
          <w:color w:val="auto"/>
        </w:rPr>
        <w:t xml:space="preserve">www.seaporttx.com </w:t>
      </w:r>
      <w:r>
        <w:rPr>
          <w:rFonts w:ascii="Times New Roman" w:cs="Times New Roman" w:eastAsia="Times New Roman" w:hAnsi="Times New Roman"/>
          <w:sz w:val="14"/>
          <w:szCs w:val="14"/>
          <w:color w:val="auto"/>
        </w:rPr>
        <w:t>upon the completion of this offering.</w:t>
      </w:r>
    </w:p>
    <w:p>
      <w:pPr>
        <w:spacing w:after="0" w:line="144"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Our board of directors has also established a science and technology committee of the board of directors which operates under a charter duly adopted by the board of directors.</w:t>
      </w:r>
    </w:p>
    <w:p>
      <w:pPr>
        <w:spacing w:after="0" w:line="12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Information contained on, or accessible through, our website is not a part of this prospectus, and the inclusion of our website address in this prospectus is only an inactive textual reference. Our board of directors may establish other committees as it deems necessary or appropriate from time to time.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Upon the completion of this offering, our audit committee will consist of Robert Hombach, Denice Torres and James Healy, and the chair of our audit committee will be Robert Hombach.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Robert Hombach is an “audit committee financial expert” within the meaning of SEC regulations. In arriving at these determinations, our board of directors has examined each audit committee member’s scope of experience and the nature of their employment in the corporate finance sector.</w:t>
      </w:r>
    </w:p>
    <w:p>
      <w:pPr>
        <w:spacing w:after="0" w:line="14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primary purpose of the audit committee will be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will include:</w:t>
      </w:r>
    </w:p>
    <w:p>
      <w:pPr>
        <w:spacing w:after="0" w:line="62" w:lineRule="exact"/>
        <w:rPr>
          <w:sz w:val="20"/>
          <w:szCs w:val="20"/>
          <w:color w:val="auto"/>
        </w:rPr>
      </w:pPr>
    </w:p>
    <w:p>
      <w:pPr>
        <w:ind w:left="2120" w:hanging="345"/>
        <w:spacing w:after="0"/>
        <w:tabs>
          <w:tab w:leader="none" w:pos="21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our board of directors oversee our corporate accounting and financial reporting processes;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the oversight and reviewing the adequacy of our internal control over financial reporting;</w:t>
      </w:r>
    </w:p>
    <w:p>
      <w:pPr>
        <w:spacing w:after="0" w:line="10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selection, engagement, qualifications, independence, and performance of a qualified firm to serve as the independent registered public accounting firm to audit our financial statements;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0159"/>
          </w:cols>
          <w:pgMar w:left="300" w:top="386"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99" w:hanging="345"/>
        <w:spacing w:after="0" w:line="283" w:lineRule="auto"/>
        <w:tabs>
          <w:tab w:leader="none" w:pos="21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the scope and results of the audit with the independent registered public accounting firm, and reviewing, with management and the independent accountants, our interim and year-end operating results;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procedures for employees to submit concerns anonymously about questionable accounting or audit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person transactions;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insurance coverage for our officers and directors;</w:t>
      </w:r>
    </w:p>
    <w:p>
      <w:pPr>
        <w:spacing w:after="0" w:line="101" w:lineRule="exact"/>
        <w:rPr>
          <w:rFonts w:ascii="Times New Roman" w:cs="Times New Roman" w:eastAsia="Times New Roman" w:hAnsi="Times New Roman"/>
          <w:sz w:val="14"/>
          <w:szCs w:val="14"/>
          <w:color w:val="auto"/>
        </w:rPr>
      </w:pPr>
    </w:p>
    <w:p>
      <w:pPr>
        <w:ind w:left="2120" w:right="619" w:hanging="345"/>
        <w:spacing w:after="0" w:line="267" w:lineRule="auto"/>
        <w:tabs>
          <w:tab w:leader="none" w:pos="21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preparation of our annual proxy statement, reviewing with management our financial statements to be included in our quarterly reports to be filed with the SEC, and reviewing with management the “Risk Factors” and “Management’s Discussion and Analysis of Financial Condition and Results of Operations” disclosures in our periodic reports filed with the SEC;</w:t>
      </w:r>
    </w:p>
    <w:p>
      <w:pPr>
        <w:spacing w:after="0" w:line="6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permitted, pre-approving, audit and permissible non-audit services to be performed by the independent registered public accounting firm;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major risk exposures, including financial, operational, cybersecurity, competition, legal, and regulatory exposures.</w:t>
      </w:r>
    </w:p>
    <w:p>
      <w:pPr>
        <w:spacing w:after="0" w:line="17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Our audit committee will operate under a written charter, which will be effective upon the completion of this offering, that satisfies the applicable Nasdaq Listing Rules.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Upon the completion of this offering, our compensation committee will consist of Denice Torres, Sandra Peterson and Jason Pitts, and the chair of our compensation committee will be Denice Torres. Our board of directors has determined that each member of the compensation committee is independent under the Nasdaq Listing Rules and is a “non-employee director” as defined in Rule 16b-3 promulgated under the Exchange Act.</w:t>
      </w:r>
    </w:p>
    <w:p>
      <w:pPr>
        <w:spacing w:after="0" w:line="136"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The primary purpose of our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will include:</w:t>
      </w:r>
    </w:p>
    <w:p>
      <w:pPr>
        <w:spacing w:after="0" w:line="62" w:lineRule="exact"/>
        <w:rPr>
          <w:sz w:val="20"/>
          <w:szCs w:val="20"/>
          <w:color w:val="auto"/>
        </w:rPr>
      </w:pPr>
    </w:p>
    <w:p>
      <w:pPr>
        <w:ind w:left="2120" w:hanging="345"/>
        <w:spacing w:after="0"/>
        <w:tabs>
          <w:tab w:leader="none" w:pos="21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of our chief executive officer, other executive officers, and senior management;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our board of directors the compensation paid to our directors;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arrangements with our executive officers and other senior management;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 incentive plans and other benefit programs;</w:t>
      </w:r>
    </w:p>
    <w:p>
      <w:pPr>
        <w:spacing w:after="0" w:line="101" w:lineRule="exact"/>
        <w:rPr>
          <w:rFonts w:ascii="Times New Roman" w:cs="Times New Roman" w:eastAsia="Times New Roman" w:hAnsi="Times New Roman"/>
          <w:sz w:val="14"/>
          <w:szCs w:val="14"/>
          <w:color w:val="auto"/>
        </w:rPr>
      </w:pPr>
    </w:p>
    <w:p>
      <w:pPr>
        <w:ind w:left="2120" w:right="539" w:hanging="345"/>
        <w:spacing w:after="0" w:line="267" w:lineRule="auto"/>
        <w:tabs>
          <w:tab w:leader="none" w:pos="21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evaluating, and recommending to our board of directors succession plans for our executive officers; and</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including our overall compensation philosophy.</w:t>
      </w:r>
    </w:p>
    <w:p>
      <w:pPr>
        <w:spacing w:after="0" w:line="125"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Our compensation committee will operate under a written charter, which will be effective upon the completion of this offering, that satisfies the applicable Nasdaq Listing Rules.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0159"/>
          </w:cols>
          <w:pgMar w:left="300" w:top="386"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Upon the completion of this offering, our nominating and corporate governance committee will consist of Sandra Peterson, Denice Torres and David Wheadon, and the chair of our nominating and corporate governance committee will be Sandra Peterson.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primary purpose of the nominating and corporate governance committee will be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will include:</w:t>
      </w:r>
    </w:p>
    <w:p>
      <w:pPr>
        <w:spacing w:after="0" w:line="62" w:lineRule="exact"/>
        <w:rPr>
          <w:sz w:val="20"/>
          <w:szCs w:val="20"/>
          <w:color w:val="auto"/>
        </w:rPr>
      </w:pPr>
    </w:p>
    <w:p>
      <w:pPr>
        <w:ind w:left="2120" w:right="559" w:hanging="345"/>
        <w:spacing w:after="0" w:line="283" w:lineRule="auto"/>
        <w:tabs>
          <w:tab w:leader="none" w:pos="21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evaluating candidates, including the nomination of incumbent directors for reelection and nominees recommended by stockholders, to serve on our board of directors;</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our board of directors regarding the composition and chairmanship of the committees of our board of directors;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plans or programs for the continuing education of our board of directors and orientation of new directors;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our board of directors regarding corporate governance guidelines and matters;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periodic evaluations of the board of directors’ performance, including committees of the board of directors and management.</w:t>
      </w:r>
    </w:p>
    <w:p>
      <w:pPr>
        <w:spacing w:after="0" w:line="175"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Our nominating and corporate governance committee will operate under a written charter, which will be effective upon the completion of this offering, that satisfies the applicable Nasdaq Listing Rules.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Science and Technology Committee</w:t>
      </w:r>
    </w:p>
    <w:p>
      <w:pPr>
        <w:spacing w:after="0" w:line="9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science and technology committee, which is chaired by Steven Paul, supports board oversight of our research and development, manufacturing and supply activities, by providing a forum for review of strategic considerations and issues in such areas, as well as to evaluate relevant emerging technology and advances in the field.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In connection with this offering, 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Times New Roman" w:cs="Times New Roman" w:eastAsia="Times New Roman" w:hAnsi="Times New Roman"/>
          <w:sz w:val="14"/>
          <w:szCs w:val="14"/>
          <w:i w:val="1"/>
          <w:iCs w:val="1"/>
          <w:color w:val="auto"/>
        </w:rPr>
        <w:t>www.seaporttx.com</w:t>
      </w:r>
      <w:r>
        <w:rPr>
          <w:rFonts w:ascii="Times New Roman" w:cs="Times New Roman" w:eastAsia="Times New Roman" w:hAnsi="Times New Roman"/>
          <w:sz w:val="14"/>
          <w:szCs w:val="14"/>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3"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None of the members of the compensation committee is currently, or has been at any time, one of our officers or employees. None of our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10159"/>
          </w:cols>
          <w:pgMar w:left="300" w:top="386"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Recovery</w:t>
      </w:r>
    </w:p>
    <w:p>
      <w:pPr>
        <w:spacing w:after="0" w:line="93"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this offering, we have adopted a compensation recovery policy that is compliant with the Nasdaq Listing Rules, as required by the Dodd-Frank Act, to be effective in connection with the effectiveness of the registration statement of which this prospectus forms a part.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Agreements</w:t>
      </w:r>
    </w:p>
    <w:p>
      <w:pPr>
        <w:spacing w:after="0" w:line="93" w:lineRule="exact"/>
        <w:rPr>
          <w:sz w:val="20"/>
          <w:szCs w:val="20"/>
          <w:color w:val="auto"/>
        </w:rPr>
      </w:pPr>
    </w:p>
    <w:p>
      <w:pPr>
        <w:ind w:left="1360" w:right="379" w:firstLine="343"/>
        <w:spacing w:after="0" w:line="257" w:lineRule="auto"/>
        <w:rPr>
          <w:sz w:val="20"/>
          <w:szCs w:val="20"/>
          <w:color w:val="auto"/>
        </w:rPr>
      </w:pPr>
      <w:r>
        <w:rPr>
          <w:rFonts w:ascii="Times New Roman" w:cs="Times New Roman" w:eastAsia="Times New Roman" w:hAnsi="Times New Roman"/>
          <w:sz w:val="14"/>
          <w:szCs w:val="14"/>
          <w:color w:val="auto"/>
        </w:rPr>
        <w:t>As permitted by Delaware law, provisions in our amended and restated certificate of incorporation and amended and restated bylaws, which will become effective immediately prior to the completion of this offering and upon the effectiveness of the registration statement of which this prospectus forms a part, respectively, limit or eliminate the personal liability of directors and officers for a breach of their fiduciary duty of care as a director or officer. The duty of care generally requires that, when acting on behalf of the corporation, a director and,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p>
    <w:p>
      <w:pPr>
        <w:spacing w:after="0" w:line="69" w:lineRule="exact"/>
        <w:rPr>
          <w:sz w:val="20"/>
          <w:szCs w:val="20"/>
          <w:color w:val="auto"/>
        </w:rPr>
      </w:pPr>
    </w:p>
    <w:p>
      <w:pPr>
        <w:ind w:left="2120" w:hanging="345"/>
        <w:spacing w:after="0"/>
        <w:tabs>
          <w:tab w:leader="none" w:pos="21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 or officer’s duty of loyalty to us or our stockholders;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10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unlawful payments of dividends or unlawful stock repurchases, or redemptions as provided in Section 174 of the Delaware General Corporation Law, or DGCL;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derived an improper personal benefit.</w:t>
      </w:r>
    </w:p>
    <w:p>
      <w:pPr>
        <w:spacing w:after="0" w:line="17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amended and restated certificate of incorporation that will become effective upon the closing of this offering also will authorize us to indemnify our officers, directors, and other agents to the fullest extent permitted under Delaware law.</w:t>
      </w:r>
    </w:p>
    <w:p>
      <w:pPr>
        <w:spacing w:after="0" w:line="141"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As permitted by Delaware law, our amended and restated bylaws to be effective immediately upon effectiveness of the registration statement will provide that:</w:t>
      </w:r>
    </w:p>
    <w:p>
      <w:pPr>
        <w:spacing w:after="0" w:line="51" w:lineRule="exact"/>
        <w:rPr>
          <w:sz w:val="20"/>
          <w:szCs w:val="20"/>
          <w:color w:val="auto"/>
        </w:rPr>
      </w:pPr>
    </w:p>
    <w:p>
      <w:pPr>
        <w:ind w:left="2120" w:hanging="345"/>
        <w:spacing w:after="0"/>
        <w:tabs>
          <w:tab w:leader="none" w:pos="21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employees, and other agents to the fullest extent permitted by law;</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advance expenses to our directors and officers, and may advance expenses to our employees and other agents, in connection with a legal proceeding to the fullest extent permitted by law;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provided in our amended and restated bylaws are not exclusive.</w:t>
      </w:r>
    </w:p>
    <w:p>
      <w:pPr>
        <w:spacing w:after="0" w:line="175"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intend to obtain such insurance.</w:t>
      </w:r>
    </w:p>
    <w:p>
      <w:pPr>
        <w:spacing w:after="0" w:line="144" w:lineRule="exact"/>
        <w:rPr>
          <w:sz w:val="20"/>
          <w:szCs w:val="20"/>
          <w:color w:val="auto"/>
        </w:rPr>
      </w:pPr>
    </w:p>
    <w:p>
      <w:pPr>
        <w:jc w:val="both"/>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10159"/>
          </w:cols>
          <w:pgMar w:left="300" w:top="386"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44"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36"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6"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194</w:t>
      </w:r>
    </w:p>
    <w:p>
      <w:pPr>
        <w:sectPr>
          <w:pgSz w:w="11900" w:h="16838" w:orient="portrait"/>
          <w:cols w:equalWidth="0" w:num="1">
            <w:col w:w="10159"/>
          </w:cols>
          <w:pgMar w:left="300" w:top="386"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7"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the programs as summarized in this discussion.</w:t>
      </w:r>
    </w:p>
    <w:p>
      <w:pPr>
        <w:spacing w:after="0" w:line="136"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As an emerging growth company and a smaller reporting company, we have opted to comply with the executive compensation disclosure rules applicable to “smaller reporting companies,” as such terms are defined in the rules promulgated under the Securities Act. The compensation provided to our named executive officers for the fiscal year ended December 31, 2025, or Fiscal Year 2025, is detailed in the 2025 Summary Compensation Table and accompanying footnotes and narrative that follow.</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named executive officers for Fiscal Year 2025 are:</w:t>
      </w:r>
    </w:p>
    <w:p>
      <w:pPr>
        <w:spacing w:after="0" w:line="102" w:lineRule="exact"/>
        <w:rPr>
          <w:sz w:val="20"/>
          <w:szCs w:val="20"/>
          <w:color w:val="auto"/>
        </w:rPr>
      </w:pPr>
    </w:p>
    <w:p>
      <w:pPr>
        <w:ind w:left="2120" w:hanging="345"/>
        <w:spacing w:after="0"/>
        <w:tabs>
          <w:tab w:leader="none" w:pos="21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Daphne Zohar, our Founder, Chief Executive Officer, President and Board Member;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Chen, Ph.D., our Co-Founder and Chief Scientific Officer;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Antony Loebel, M.D., our Chief Medical Officer and President of Clinical Development.</w:t>
      </w:r>
    </w:p>
    <w:p>
      <w:pPr>
        <w:spacing w:after="0" w:line="17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To date, the compensation of our named executive officers has consisted of a combination of base salary, cash incentive compensation, and long-term incentive compensation, as more fully described below. Our executive officers, like all full-time employees, are eligible to participate in our health, welfare, and retirement benefit plans. As we transition from a private company to a publicly traded company, we intend to evaluate our compensation values and philosophy and compensation plans and arrangements as circumstances require.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2025 Summary Compensation Table</w:t>
      </w:r>
    </w:p>
    <w:p>
      <w:pPr>
        <w:spacing w:after="0" w:line="93"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shows the total compensation earned by, or paid to, our named executive officers for services rendered to us in all capacities during Fiscal Year 2025.</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2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20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2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6"/>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2580" w:type="dxa"/>
            <w:vAlign w:val="bottom"/>
            <w:vMerge w:val="restart"/>
          </w:tcPr>
          <w:p>
            <w:pPr>
              <w:spacing w:after="0"/>
              <w:rPr>
                <w:sz w:val="10"/>
                <w:szCs w:val="10"/>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700" w:type="dxa"/>
            <w:vAlign w:val="bottom"/>
            <w:gridSpan w:val="2"/>
            <w:vMerge w:val="continue"/>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8"/>
                <w:szCs w:val="8"/>
                <w:b w:val="1"/>
                <w:bCs w:val="1"/>
                <w:color w:val="auto"/>
              </w:rPr>
              <w:t>(1)</w:t>
            </w:r>
          </w:p>
        </w:tc>
        <w:tc>
          <w:tcPr>
            <w:tcW w:w="10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Compensation </w:t>
            </w:r>
            <w:r>
              <w:rPr>
                <w:rFonts w:ascii="Times New Roman" w:cs="Times New Roman" w:eastAsia="Times New Roman" w:hAnsi="Times New Roman"/>
                <w:sz w:val="8"/>
                <w:szCs w:val="8"/>
                <w:b w:val="1"/>
                <w:bCs w:val="1"/>
                <w:color w:val="auto"/>
              </w:rPr>
              <w:t>(2)</w:t>
            </w:r>
          </w:p>
        </w:tc>
        <w:tc>
          <w:tcPr>
            <w:tcW w:w="1220" w:type="dxa"/>
            <w:vAlign w:val="bottom"/>
            <w:gridSpan w:val="3"/>
          </w:tcPr>
          <w:p>
            <w:pPr>
              <w:jc w:val="right"/>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Compensation </w:t>
            </w:r>
            <w:r>
              <w:rPr>
                <w:rFonts w:ascii="Times New Roman" w:cs="Times New Roman" w:eastAsia="Times New Roman" w:hAnsi="Times New Roman"/>
                <w:sz w:val="8"/>
                <w:szCs w:val="8"/>
                <w:b w:val="1"/>
                <w:bCs w:val="1"/>
                <w:color w:val="auto"/>
              </w:rPr>
              <w:t>(3)</w:t>
            </w: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80" w:type="dxa"/>
            <w:vAlign w:val="bottom"/>
            <w:tcBorders>
              <w:bottom w:val="single" w:sz="8" w:color="auto"/>
            </w:tcBorders>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00" w:type="dxa"/>
            <w:vAlign w:val="bottom"/>
          </w:tcPr>
          <w:p>
            <w:pPr>
              <w:jc w:val="right"/>
              <w:ind w:right="116"/>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5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2"/>
          </w:tcPr>
          <w:p>
            <w:pPr>
              <w:jc w:val="center"/>
              <w:ind w:left="136"/>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2"/>
          </w:tcPr>
          <w:p>
            <w:pPr>
              <w:jc w:val="right"/>
              <w:ind w:right="284"/>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620" w:type="dxa"/>
            <w:vAlign w:val="bottom"/>
          </w:tcPr>
          <w:p>
            <w:pPr>
              <w:jc w:val="right"/>
              <w:ind w:right="176"/>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6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Daphne Zohar</w:t>
            </w: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Founder, Chief Executive Officer, President and Board Member</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768,922</w:t>
            </w:r>
          </w:p>
        </w:tc>
        <w:tc>
          <w:tcPr>
            <w:tcW w:w="200" w:type="dxa"/>
            <w:vAlign w:val="bottom"/>
          </w:tcPr>
          <w:p>
            <w:pPr>
              <w:spacing w:after="0"/>
              <w:rPr>
                <w:sz w:val="14"/>
                <w:szCs w:val="1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5"/>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Chen, Ph.D.</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Co-Founder and Chief Scientific Officer</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414,000</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Antony Loebel, M.D.</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Medical Officer and President of Clinical Development</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465,750</w:t>
            </w:r>
          </w:p>
        </w:tc>
        <w:tc>
          <w:tcPr>
            <w:tcW w:w="200" w:type="dxa"/>
            <w:vAlign w:val="bottom"/>
          </w:tcPr>
          <w:p>
            <w:pPr>
              <w:spacing w:after="0"/>
              <w:rPr>
                <w:sz w:val="16"/>
                <w:szCs w:val="16"/>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5"/>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55880</wp:posOffset>
            </wp:positionV>
            <wp:extent cx="5943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96" w:lineRule="exact"/>
        <w:rPr>
          <w:sz w:val="20"/>
          <w:szCs w:val="20"/>
          <w:color w:val="auto"/>
        </w:rPr>
      </w:pPr>
    </w:p>
    <w:p>
      <w:pPr>
        <w:ind w:left="1700" w:right="239" w:hanging="345"/>
        <w:spacing w:after="0" w:line="254" w:lineRule="auto"/>
        <w:tabs>
          <w:tab w:leader="none" w:pos="17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the aggregate grant date fair value of a stock option award granted to Dr. Chen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10 of our consolidated financial statements for Fiscal Year 2025, included elsewhere in this prospectus. The amounts reported in this column reflect the accounting cost for these option awards and do not correspond to the actual economic value that may be received by Dr. Chen upon the exercise of the option awards or any sale of the underlying securities.</w:t>
      </w:r>
    </w:p>
    <w:p>
      <w:pPr>
        <w:spacing w:after="0" w:line="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incentive bonuses for performance during Fiscal Year 2025.</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401(k) employer matching contributions made by us.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195</w:t>
      </w:r>
    </w:p>
    <w:p>
      <w:pPr>
        <w:sectPr>
          <w:pgSz w:w="11900" w:h="16838" w:orient="portrait"/>
          <w:cols w:equalWidth="0" w:num="1">
            <w:col w:w="10159"/>
          </w:cols>
          <w:pgMar w:left="300" w:top="386"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Narrative Disclosure to the 2025 Summary Compensation Table</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2025 Base Salaries</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Our named executive officers each receive a base salary to compensate them for services rendered to us. Base salaries are intended to provide a fixed component of compensation reflecting the executive’s skill set, experience, role, and responsibilities. Base salaries are expected to be reviewed annually, typically in connection with our annual performance review process, approved by our board of directors or the compensation committee of the board of directors, and may be adjusted from time to time to realign salaries with market levels after taking into account individual responsibilities, performance, and experience.</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Fiscal Year 2025, the base salaries for Ms. Zohar, Dr. Chen, and Dr. Loebel were $768,922, $414,000 and $465,750, respectively.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2025 Cash Bonuses</w:t>
      </w:r>
    </w:p>
    <w:p>
      <w:pPr>
        <w:spacing w:after="0" w:line="93"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Our named executive officers are eligible to receive annual performance-based cash bonuses, which are designed to provide appropriate incentives to our executives to achieve corporate performance goals and to reward our executives for individual achievement towards these goals. For Fiscal Year 2025, each of the named executive officers was eligible to earn an annual performance bonus based on the achievement of certain corporate performance and individual performance goals, with any such bonus expected to be paid in February 2026. For Fiscal Year 2025, the target annual bonus for Ms. Zohar, Dr. Chen, and Dr. Loebel was 50%, 35% and 35% of base salary, respectively.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Compensation</w:t>
      </w:r>
    </w:p>
    <w:p>
      <w:pPr>
        <w:spacing w:after="0" w:line="93"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Although we do not yet have a formal policy with respect to the grant of equity incentive awards to our executive officers, we believe equity grants provide our executives with a strong link to our long-term performance, create an ownership culture, and help to align the interests of our executives and our stockholders. In addition, we believe equity grants promote executive retention because they incentivize our executive officers to remain in our service during the vesting period.</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During Fiscal Year 2024, we granted each of our named executive officers options to purchase common stock of the Company under our 2024 Equity Incentive Plan, as amended from time to time, or the 2024 Plan. In addition, Ms. Zohar received a grant of 3,750,000 shares of restricted stock, which vested in full in conjunction with our Series B Convertible Preferred Stock Financing in October 2024, and she paid $1.8 million to cover the tax liability associated with such grant.</w:t>
      </w:r>
    </w:p>
    <w:p>
      <w:pPr>
        <w:spacing w:after="0" w:line="141"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During Fiscal Year 2025, we granted Dr. Chen an option to purchase common stock of the Company under the 2024 Plan, but none of our other named executive officers received any equity awards in Fiscal Year 2025. For additional information regarding outstanding equity awards held by our named executive officers as of December 31, 2025, see the “</w:t>
      </w:r>
      <w:r>
        <w:rPr>
          <w:rFonts w:ascii="Times New Roman" w:cs="Times New Roman" w:eastAsia="Times New Roman" w:hAnsi="Times New Roman"/>
          <w:sz w:val="14"/>
          <w:szCs w:val="14"/>
          <w:i w:val="1"/>
          <w:iCs w:val="1"/>
          <w:color w:val="auto"/>
        </w:rPr>
        <w:t>Outstanding Equity Awards at 2025 Fiscal Year End</w:t>
      </w:r>
      <w:r>
        <w:rPr>
          <w:rFonts w:ascii="Times New Roman" w:cs="Times New Roman" w:eastAsia="Times New Roman" w:hAnsi="Times New Roman"/>
          <w:sz w:val="14"/>
          <w:szCs w:val="14"/>
          <w:color w:val="auto"/>
        </w:rPr>
        <w:t>” table below.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401(k) Plan and Health and Welfare Benefits</w:t>
      </w:r>
    </w:p>
    <w:p>
      <w:pPr>
        <w:spacing w:after="0" w:line="93" w:lineRule="exact"/>
        <w:rPr>
          <w:sz w:val="20"/>
          <w:szCs w:val="20"/>
          <w:color w:val="auto"/>
        </w:rPr>
      </w:pPr>
    </w:p>
    <w:p>
      <w:pPr>
        <w:ind w:left="1360" w:right="459" w:firstLine="343"/>
        <w:spacing w:after="0" w:line="257" w:lineRule="auto"/>
        <w:rPr>
          <w:sz w:val="20"/>
          <w:szCs w:val="20"/>
          <w:color w:val="auto"/>
        </w:rPr>
      </w:pPr>
      <w:r>
        <w:rPr>
          <w:rFonts w:ascii="Times New Roman" w:cs="Times New Roman" w:eastAsia="Times New Roman" w:hAnsi="Times New Roman"/>
          <w:sz w:val="14"/>
          <w:szCs w:val="14"/>
          <w:color w:val="auto"/>
        </w:rPr>
        <w:t>We currently maintain a tax-qualified 401(k) retirement savings plan, or the 401(k)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 treatment under Section 401(a) of the Code and contains a cash or deferred feature that is intended to meet the requirements of Section 401(k) of the Code. We provide nondiscretionary contributions under the 401(k) Plan of 3% of the employee’s annual eligible compensation, subject to the safe harbor limit. We believe that providing a vehicle for tax-deferred retirement savings though our 401(k) Plan adds to the overall desirability of our executive compensation package and further incentivizes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196</w:t>
      </w:r>
    </w:p>
    <w:p>
      <w:pPr>
        <w:sectPr>
          <w:pgSz w:w="11900" w:h="16838" w:orient="portrait"/>
          <w:cols w:equalWidth="0" w:num="1">
            <w:col w:w="10159"/>
          </w:cols>
          <w:pgMar w:left="300" w:top="386"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our employees, including our named executive officers, in accordance with our compensation policies. Other than the 401(k) plan, we do not provide any qualified or non-qualified retirement or deferred compensation benefits to our employees, including our named executive officers.</w:t>
      </w:r>
    </w:p>
    <w:p>
      <w:pPr>
        <w:spacing w:after="0" w:line="125"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All of our full-time employees, including our named executive officers, are eligible to participate in our health and welfare plans, including medical dental, and vision benefits, short-term and long-term disability insurance, and basic life and AD&amp;D insurance.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Employment Arrangements for Named Executive Officers</w:t>
      </w:r>
    </w:p>
    <w:p>
      <w:pPr>
        <w:spacing w:after="0" w:line="9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We entered into offer letters with each of our named executive officers in connection with their commencement of employment, which set forth the terms and conditions of their employment, including base salary, target annual bonus opportunity, initial equity awards and eligibility to participate in our employee benefit plans generally offered to our employees.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Daphne Zohar</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On April 8, 2024, we entered into an offer letter with Ms. Zohar for the position of Chief Executive Officer, which provides for Ms. Zohar’s at-will employment. Ms. Zohar’s offer letter was amended on September 13, 2024. We refer to the offer letter with Ms. Zohar, as amended, as the Zohar Offer Letter. Pursuant to the Zohar Offer Letter, Ms. Zohar is eligible to receive an annual base salary, subject to annual review for merit increases at the sole discretion of our board of directors, and an annual performance bonus, as determined by our board of directors based on her individual performance and the performance of the Company. Ms. Zohar is also eligible to participate in the employee benefit plans generally available to our employees, subject to the terms of those plans.</w:t>
      </w:r>
    </w:p>
    <w:p>
      <w:pPr>
        <w:spacing w:after="0" w:line="14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Additionally, Ms. Zohar received an initial equity award in the form of an option to purchase a number of shares of our common stock equal to 7.5% of then fully diluted capitalization of the Company. 1/18th of the shares subject to this option vested on April 16, 2024, with the remaining shares vesting in 34 equal monthly installments thereafter. 50% of the then-unvested shares subject to this option accelerated and became fully vested upon the first closing of the Series B preferred stock financing, which occurred on October 18, 2024. The remaining 50% of the unvested shares subject to this option will further accelerate and become fully vested upon the closing of this offering, subject to Ms. Zohar’s continued service relationship as our Chief Executive Officer through such closing. In addition, for so long as Ms. Zohar remains our Chief Executive Officer up to and including our initial public offering (but excluding any shares issued pursuant to any over-allotment option), Ms. Zohar shall be entitled to receive additional equity grants (either in the form of stock options or restricted stock) so that her share ownership shall remain at 7.5% of the fully diluted capitalization of the Company.</w:t>
      </w:r>
    </w:p>
    <w:p>
      <w:pPr>
        <w:spacing w:after="0" w:line="149"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Pursuant to the Zohar Offer Letter, in the event that Ms. Zohar’s employment is terminated by us without “cause” or by Ms. Zohar for “good reason” (each as defined in the Zohar Offer Letter), subject to Ms. Zohar’s execution of a general release of claims in favor of us and our affiliates, Ms. Zohar is entitled to receive (i) continuation of her then-current base salary for a period of 12 months, (ii) up to 12 months of COBRA premium payments at the same rate we pay for active and similarly-situated employees, (iii) a prorated portion of her annual performance bonus based on actual performance, or the Prorated Bonus; and (iv) an extension of the exercise period for Ms. Zohar’s outstanding stock options granted pursuant to the Zohar Offer Letter to the one-year anniversary of the termination date.</w:t>
      </w:r>
    </w:p>
    <w:p>
      <w:pPr>
        <w:spacing w:after="0" w:line="14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In addition, in the event that Ms. Zohar’s employment is terminated by us without cause or by Ms. Zohar for good reason, in each case, within 12 months following a “sale event” (as defined in the Zohar Offer Letter), Ms. Zohar shall be entitled to the same payments and benefits set forth above, except that in lieu of the Prorated Bonus, Ms. Zohar shall be entitled to receive a lump sum payment of 100% of her annual performance bonus for the year in which the termination occurs.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197</w:t>
      </w:r>
    </w:p>
    <w:p>
      <w:pPr>
        <w:sectPr>
          <w:pgSz w:w="11900" w:h="16838" w:orient="portrait"/>
          <w:cols w:equalWidth="0" w:num="1">
            <w:col w:w="10159"/>
          </w:cols>
          <w:pgMar w:left="300" w:top="386"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In addition, the Zohar Offer Letter provides that if any executive officer enters into an employment agreement that provides for any termination or severance benefits that are more favorable, the Company shall seek to amend the Zohar Offer Letter to provide the more favorable benefits.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Michael Chen</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On April 29, 2024, we entered into an offer letter with Dr. Chen for the position of Chief Scientific Officer, which provides for Dr. Chen’s at-will employment. We refer to the offer letter with Dr. Chen, as the Chen Offer Letter. Pursuant to the Chen Offer Letter, Dr. Chen is eligible to receive an annual base salary, subject to annual review for merit increases at the sole discretion of our board of directors, and an annual performance bonus, as determined by our board of directors based on his individual performance and the performance of the Company. Dr. Chen is also eligible to participate in the employee benefit plans generally available to our employees, subject to the terms of those plans.</w:t>
      </w:r>
    </w:p>
    <w:p>
      <w:pPr>
        <w:spacing w:after="0" w:line="144"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Additionally, Dr. Chen received an initial equity award in the form of an option to purchase 1,258,222 shares of our common stock. 25% of Dr. Chen’s initial equity award vested on April 9, 2025, with the remaining shares vesting in 36 equal monthly installments thereafter.</w:t>
      </w:r>
    </w:p>
    <w:p>
      <w:pPr>
        <w:spacing w:after="0" w:line="12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Pursuant to the Chen Offer Letter, in the event that Dr. Chen’s employment is terminated by us without “cause” or by Dr. Chen for “good reason” (each as defined in the Chen Offer Letter), subject to Dr. Chen’s execution of a general release of claims in favor of us and our affiliates, Dr. Chen is entitled to receive (i) continuation of his then-current base salary for a period of 6 months, and (ii) up to six months of COBRA premium payments at the same rate we pay for active and similarly-situated employees.</w:t>
      </w:r>
    </w:p>
    <w:p>
      <w:pPr>
        <w:spacing w:after="0" w:line="141"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In addition, in the event that Dr. Chen’s employment is terminated by us without cause or by Dr. Chen for good reason, in each case, within 12 months following a “change in control” (as defined in the Chen Offer Letter), in lieu of the above benefits, Dr. Chen is entitled to receive (i) continuation of his then-current base salary for a period of 12 months, (ii) up to 12 months of COBRA premium payments at the same rate we pay for active and similarly-situated employees, and (iii) accelerated vesting of the initial equity award.</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Antony Loebel, M.D.</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On June 11, 2024, we entered into an offer letter with Dr. Loebel, or the Loebel Offer Letter, for the position of Chief Medical Officer and President of Clinical Development, which provides for Dr. Loebel’s at-will employment. Pursuant to the Loebel Offer Letter, Dr. Loebel is eligible to receive an annual base salary, subject to annual review for merit increases at the sole discretion of our board of directors, and an annual performance bonus, as determined by our board of directors based on his individual performance and the performance of our Company. Dr. Loebel is also eligible to participate in the employee benefit plans generally available to our employees, subject to the terms of those plans.</w:t>
      </w:r>
    </w:p>
    <w:p>
      <w:pPr>
        <w:spacing w:after="0" w:line="144"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Additionally, Dr. Loebel received an initial equity award in the form of an option to purchase 1,693,760 shares of our common stock. 25% of Dr. Loebel’s initial equity award vested on July 18, 2025, with the remaining shares vesting in 36 equal monthly installments thereafter.</w:t>
      </w:r>
    </w:p>
    <w:p>
      <w:pPr>
        <w:spacing w:after="0" w:line="12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Pursuant to the Loebel Offer Letter, in the event that Dr. Loebel’s employment is terminated by us without “cause” or by Dr. Loebel for “good reason” (each as defined in the Loebel Offer Letter), subject to Dr. Loebel’s execution of a general release of claims in favor of us and our affiliates, Dr. Loebel is entitled to receive (i) continuation of his then-current base salary for a period of 12 months, (ii) up to 12 months of COBRA premium payments at the same rate we pay for active and similarly-situated employees, (iii) a prorated portion of his annual performance bonus, and (iv) if the termination occurs after the first anniversary of his start date and on or prior to the second anniversary of his start date (or 12 months if such termination occurs after the first anniversary of his start date), accelerated vesting of his initial equity award such that he will vest in the portion of</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10159"/>
          </w:cols>
          <w:pgMar w:left="300" w:top="38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award that would have vested during the six months following his termination date, or, if the termination occurs after the second anniversary of his start date, accelerated vesting of his initial equity award such that he will vest in the portion of the award that would have vested during the nine months following the termination date, in each case as if he had remained employed through such date.</w:t>
      </w:r>
    </w:p>
    <w:p>
      <w:pPr>
        <w:spacing w:after="0" w:line="136"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In addition, in the event that Dr. Loebel’s employment is terminated by us without cause or by Dr. Loebel for good reason occurs on or within 12 months following a “change in control” (as defined in the Loebel Offer Letter), subject to Dr. Loebel’s execution of a general release of claims in favor of us and our affiliates, in lieu of the above benefits, Dr. Loebel is entitled to receive (i) 12 months of his then-current base salary, (ii) 12 months of COBRA premium payments at the same rate we pay for active and similarly-situated employees, (iii) a lump sum payment of 100% of his annual performance bonus, and (iv) accelerated vesting of Dr. Loebel’s initial equity grant.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Outstanding Equity Awards at 2025 Fiscal Year-End</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information concerning outstanding equity awards held by each of our named executive officers as of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2025.</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 xml:space="preserve">Option Awards </w:t>
            </w:r>
            <w:r>
              <w:rPr>
                <w:rFonts w:ascii="Times New Roman" w:cs="Times New Roman" w:eastAsia="Times New Roman" w:hAnsi="Times New Roman"/>
                <w:sz w:val="8"/>
                <w:szCs w:val="8"/>
                <w:b w:val="1"/>
                <w:bCs w:val="1"/>
                <w:color w:val="auto"/>
              </w:rPr>
              <w:t>(1)</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2"/>
          </w:tcPr>
          <w:p>
            <w:pPr>
              <w:jc w:val="center"/>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Equity</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3"/>
              </w:rPr>
              <w:t>Plan</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640" w:type="dxa"/>
            <w:vAlign w:val="bottom"/>
            <w:gridSpan w:val="2"/>
            <w:vMerge w:val="continue"/>
          </w:tcPr>
          <w:p>
            <w:pPr>
              <w:spacing w:after="0"/>
              <w:rPr>
                <w:sz w:val="10"/>
                <w:szCs w:val="10"/>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6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3320" w:type="dxa"/>
            <w:vAlign w:val="bottom"/>
            <w:vMerge w:val="restart"/>
          </w:tcPr>
          <w:p>
            <w:pPr>
              <w:spacing w:after="0"/>
              <w:rPr>
                <w:sz w:val="10"/>
                <w:szCs w:val="10"/>
                <w:color w:val="auto"/>
              </w:rPr>
            </w:pPr>
          </w:p>
        </w:tc>
        <w:tc>
          <w:tcPr>
            <w:tcW w:w="1020" w:type="dxa"/>
            <w:vAlign w:val="bottom"/>
            <w:gridSpan w:val="2"/>
            <w:vMerge w:val="restart"/>
          </w:tcPr>
          <w:p>
            <w:pPr>
              <w:jc w:val="right"/>
              <w:ind w:right="367"/>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6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2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6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76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vMerge w:val="continue"/>
          </w:tcPr>
          <w:p>
            <w:pPr>
              <w:spacing w:after="0"/>
              <w:rPr>
                <w:sz w:val="12"/>
                <w:szCs w:val="12"/>
                <w:color w:val="auto"/>
              </w:rPr>
            </w:pPr>
          </w:p>
        </w:tc>
        <w:tc>
          <w:tcPr>
            <w:tcW w:w="33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4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Exercisable</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Unexercisable</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4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2"/>
                <w:szCs w:val="12"/>
                <w:color w:val="auto"/>
              </w:rPr>
            </w:pPr>
          </w:p>
        </w:tc>
        <w:tc>
          <w:tcPr>
            <w:tcW w:w="7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49"/>
        </w:trPr>
        <w:tc>
          <w:tcPr>
            <w:tcW w:w="360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Daphne Zohar</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6/4/2024</w:t>
            </w:r>
          </w:p>
        </w:tc>
        <w:tc>
          <w:tcPr>
            <w:tcW w:w="340" w:type="dxa"/>
            <w:vAlign w:val="bottom"/>
            <w:tcBorders>
              <w:top w:val="single" w:sz="8" w:color="CCEEFF"/>
            </w:tcBorders>
            <w:shd w:val="clear" w:color="auto" w:fill="CCEEFF"/>
          </w:tcPr>
          <w:p>
            <w:pPr>
              <w:jc w:val="right"/>
              <w:ind w:right="167"/>
              <w:spacing w:after="0" w:line="118" w:lineRule="exact"/>
              <w:rPr>
                <w:sz w:val="20"/>
                <w:szCs w:val="20"/>
                <w:color w:val="auto"/>
              </w:rPr>
            </w:pPr>
            <w:r>
              <w:rPr>
                <w:rFonts w:ascii="Times New Roman" w:cs="Times New Roman" w:eastAsia="Times New Roman" w:hAnsi="Times New Roman"/>
                <w:sz w:val="11"/>
                <w:szCs w:val="11"/>
                <w:color w:val="auto"/>
                <w:w w:val="77"/>
              </w:rPr>
              <w:t>(2)</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5,847,504</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1,411,468</w:t>
            </w:r>
          </w:p>
        </w:tc>
        <w:tc>
          <w:tcPr>
            <w:tcW w:w="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0.97</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6/3/2034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20" w:type="dxa"/>
            <w:vAlign w:val="bottom"/>
            <w:gridSpan w:val="2"/>
          </w:tcPr>
          <w:p>
            <w:pPr>
              <w:jc w:val="right"/>
              <w:ind w:right="167"/>
              <w:spacing w:after="0"/>
              <w:rPr>
                <w:sz w:val="20"/>
                <w:szCs w:val="20"/>
                <w:color w:val="auto"/>
              </w:rPr>
            </w:pPr>
            <w:r>
              <w:rPr>
                <w:rFonts w:ascii="Times New Roman" w:cs="Times New Roman" w:eastAsia="Times New Roman" w:hAnsi="Times New Roman"/>
                <w:sz w:val="14"/>
                <w:szCs w:val="14"/>
                <w:color w:val="auto"/>
                <w:w w:val="97"/>
              </w:rPr>
              <w:t>12/29/2024</w:t>
            </w:r>
            <w:r>
              <w:rPr>
                <w:rFonts w:ascii="Times New Roman" w:cs="Times New Roman" w:eastAsia="Times New Roman" w:hAnsi="Times New Roman"/>
                <w:sz w:val="21"/>
                <w:szCs w:val="21"/>
                <w:color w:val="auto"/>
                <w:w w:val="97"/>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461,687</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111,444</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12/28/2034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Chen, Ph.D.</w:t>
            </w:r>
          </w:p>
        </w:tc>
        <w:tc>
          <w:tcPr>
            <w:tcW w:w="1020" w:type="dxa"/>
            <w:vAlign w:val="bottom"/>
            <w:gridSpan w:val="2"/>
            <w:shd w:val="clear" w:color="auto" w:fill="CCEEFF"/>
          </w:tcPr>
          <w:p>
            <w:pPr>
              <w:jc w:val="right"/>
              <w:ind w:right="167"/>
              <w:spacing w:after="0" w:line="168" w:lineRule="exact"/>
              <w:rPr>
                <w:sz w:val="20"/>
                <w:szCs w:val="20"/>
                <w:color w:val="auto"/>
              </w:rPr>
            </w:pPr>
            <w:r>
              <w:rPr>
                <w:rFonts w:ascii="Times New Roman" w:cs="Times New Roman" w:eastAsia="Times New Roman" w:hAnsi="Times New Roman"/>
                <w:sz w:val="13"/>
                <w:szCs w:val="13"/>
                <w:color w:val="auto"/>
              </w:rPr>
              <w:t>6/4/2024</w:t>
            </w:r>
            <w:r>
              <w:rPr>
                <w:rFonts w:ascii="Times New Roman" w:cs="Times New Roman" w:eastAsia="Times New Roman" w:hAnsi="Times New Roman"/>
                <w:sz w:val="19"/>
                <w:szCs w:val="19"/>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524,259</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733,963</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gridSpan w:val="2"/>
          </w:tcPr>
          <w:p>
            <w:pPr>
              <w:jc w:val="right"/>
              <w:ind w:right="167"/>
              <w:spacing w:after="0" w:line="168" w:lineRule="exact"/>
              <w:rPr>
                <w:sz w:val="20"/>
                <w:szCs w:val="20"/>
                <w:color w:val="auto"/>
              </w:rPr>
            </w:pPr>
            <w:r>
              <w:rPr>
                <w:rFonts w:ascii="Times New Roman" w:cs="Times New Roman" w:eastAsia="Times New Roman" w:hAnsi="Times New Roman"/>
                <w:sz w:val="13"/>
                <w:szCs w:val="13"/>
                <w:color w:val="auto"/>
              </w:rPr>
              <w:t>12/24/2024</w:t>
            </w:r>
            <w:r>
              <w:rPr>
                <w:rFonts w:ascii="Times New Roman" w:cs="Times New Roman" w:eastAsia="Times New Roman" w:hAnsi="Times New Roman"/>
                <w:sz w:val="19"/>
                <w:szCs w:val="19"/>
                <w:color w:val="auto"/>
                <w:vertAlign w:val="superscript"/>
              </w:rPr>
              <w:t>(4)</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12/23/2034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7"/>
              <w:spacing w:after="0" w:line="168" w:lineRule="exact"/>
              <w:rPr>
                <w:sz w:val="20"/>
                <w:szCs w:val="20"/>
                <w:color w:val="auto"/>
              </w:rPr>
            </w:pPr>
            <w:r>
              <w:rPr>
                <w:rFonts w:ascii="Times New Roman" w:cs="Times New Roman" w:eastAsia="Times New Roman" w:hAnsi="Times New Roman"/>
                <w:sz w:val="13"/>
                <w:szCs w:val="13"/>
                <w:color w:val="auto"/>
              </w:rPr>
              <w:t>01/26/2025</w:t>
            </w:r>
            <w:r>
              <w:rPr>
                <w:rFonts w:ascii="Times New Roman" w:cs="Times New Roman" w:eastAsia="Times New Roman" w:hAnsi="Times New Roman"/>
                <w:sz w:val="19"/>
                <w:szCs w:val="19"/>
                <w:color w:val="auto"/>
                <w:vertAlign w:val="superscript"/>
              </w:rPr>
              <w:t>(5)</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270,940</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01/25/2035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Antony Loebel, M.D.</w:t>
            </w:r>
          </w:p>
        </w:tc>
        <w:tc>
          <w:tcPr>
            <w:tcW w:w="1020" w:type="dxa"/>
            <w:vAlign w:val="bottom"/>
            <w:gridSpan w:val="2"/>
          </w:tcPr>
          <w:p>
            <w:pPr>
              <w:jc w:val="right"/>
              <w:ind w:right="167"/>
              <w:spacing w:after="0"/>
              <w:rPr>
                <w:sz w:val="20"/>
                <w:szCs w:val="20"/>
                <w:color w:val="auto"/>
              </w:rPr>
            </w:pPr>
            <w:r>
              <w:rPr>
                <w:rFonts w:ascii="Times New Roman" w:cs="Times New Roman" w:eastAsia="Times New Roman" w:hAnsi="Times New Roman"/>
                <w:sz w:val="14"/>
                <w:szCs w:val="14"/>
                <w:color w:val="auto"/>
              </w:rPr>
              <w:t>8/12/2024</w:t>
            </w:r>
            <w:r>
              <w:rPr>
                <w:rFonts w:ascii="Times New Roman" w:cs="Times New Roman" w:eastAsia="Times New Roman" w:hAnsi="Times New Roman"/>
                <w:sz w:val="21"/>
                <w:szCs w:val="21"/>
                <w:color w:val="auto"/>
                <w:vertAlign w:val="superscript"/>
              </w:rPr>
              <w:t>(6)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599,873</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1,093,887</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8/11/2034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7"/>
              <w:spacing w:after="0" w:line="168" w:lineRule="exact"/>
              <w:rPr>
                <w:sz w:val="20"/>
                <w:szCs w:val="20"/>
                <w:color w:val="auto"/>
              </w:rPr>
            </w:pPr>
            <w:r>
              <w:rPr>
                <w:rFonts w:ascii="Times New Roman" w:cs="Times New Roman" w:eastAsia="Times New Roman" w:hAnsi="Times New Roman"/>
                <w:sz w:val="13"/>
                <w:szCs w:val="13"/>
                <w:color w:val="auto"/>
              </w:rPr>
              <w:t>12/24/2024</w:t>
            </w:r>
            <w:r>
              <w:rPr>
                <w:rFonts w:ascii="Times New Roman" w:cs="Times New Roman" w:eastAsia="Times New Roman" w:hAnsi="Times New Roman"/>
                <w:sz w:val="19"/>
                <w:szCs w:val="19"/>
                <w:color w:val="auto"/>
                <w:vertAlign w:val="superscript"/>
              </w:rPr>
              <w:t>(4)</w:t>
            </w: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12/23/2034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hanging="345"/>
        <w:spacing w:after="0"/>
        <w:tabs>
          <w:tab w:leader="none" w:pos="17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option awards were granted under our 2024 Plan, described below.</w:t>
      </w:r>
    </w:p>
    <w:p>
      <w:pPr>
        <w:spacing w:after="0" w:line="21" w:lineRule="exact"/>
        <w:rPr>
          <w:rFonts w:ascii="Times New Roman" w:cs="Times New Roman" w:eastAsia="Times New Roman" w:hAnsi="Times New Roman"/>
          <w:sz w:val="14"/>
          <w:szCs w:val="14"/>
          <w:color w:val="auto"/>
        </w:rPr>
      </w:pPr>
    </w:p>
    <w:p>
      <w:pPr>
        <w:ind w:left="1700" w:right="239" w:hanging="345"/>
        <w:spacing w:after="0" w:line="250" w:lineRule="auto"/>
        <w:tabs>
          <w:tab w:leader="none" w:pos="17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stock option vest as follows: 1/18th of the shares vested on April 16, 2024, and the remaining shares vest in 34 equal monthly installments thereafter. Additionally, 50% of the then-unvested shares would accelerate and become fully vested upon the first closing of the Series B preferred stock financing, which occurred on October 18, 2024. The remaining 50% of the unvested shares will further accelerate and become fully vested upon the closing of this offering, subject to Ms. Zohar’s continued service relationship as our Chief Executive Officer through such closing.</w:t>
      </w:r>
    </w:p>
    <w:p>
      <w:pPr>
        <w:spacing w:after="0" w:line="2" w:lineRule="exact"/>
        <w:rPr>
          <w:rFonts w:ascii="Times New Roman" w:cs="Times New Roman" w:eastAsia="Times New Roman" w:hAnsi="Times New Roman"/>
          <w:sz w:val="14"/>
          <w:szCs w:val="14"/>
          <w:color w:val="auto"/>
        </w:rPr>
      </w:pPr>
    </w:p>
    <w:p>
      <w:pPr>
        <w:ind w:left="1700" w:right="479" w:hanging="345"/>
        <w:spacing w:after="0" w:line="270" w:lineRule="auto"/>
        <w:tabs>
          <w:tab w:leader="none" w:pos="170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stock option award vest as follows: 25% of the shares vested on April 9, 2025, and the remaining 75% of the shares vest in 36 equal monthly installments thereafter, subject to Dr. Chen’s continued service relationship through the applicable vesting date.</w:t>
      </w:r>
    </w:p>
    <w:p>
      <w:pPr>
        <w:ind w:left="1700" w:right="279" w:hanging="345"/>
        <w:spacing w:after="0" w:line="277" w:lineRule="auto"/>
        <w:tabs>
          <w:tab w:leader="none" w:pos="170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underlying this stock option award vest as follows: 1/3rd of the shares will vest and become exercisable in 2026 based on annual performance metrics (starting with the 2025 annual Company goals) as determined by our Chief Executive Officer in consultation with the Compensation Committee and the remaining shares will vest and become exercisable in 1/3rd increments upon each of the two subsequent annual performance metrics (based on the annual Company goals) as determined by our Chief Executive Officer in consultation with the Compensation Committee. For accounting purposes, this stock option award is not considered granted under FASB ASC Topic 718 as of the date hereof.</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199</w:t>
      </w:r>
    </w:p>
    <w:p>
      <w:pPr>
        <w:sectPr>
          <w:pgSz w:w="11900" w:h="16838" w:orient="portrait"/>
          <w:cols w:equalWidth="0" w:num="1">
            <w:col w:w="10159"/>
          </w:cols>
          <w:pgMar w:left="300" w:top="386"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519" w:hanging="345"/>
        <w:spacing w:after="0" w:line="258" w:lineRule="auto"/>
        <w:tabs>
          <w:tab w:leader="none" w:pos="17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stock option award vest as follows: 25% of the shares vest on the first anniversary of January 26, 2025, and the remaining 75% of the shares vest in 36 equal monthly installments thereafter, subject to Dr. Chen’s continued service relationship through the applicable vesting date.</w:t>
      </w:r>
    </w:p>
    <w:p>
      <w:pPr>
        <w:ind w:left="1700" w:right="299" w:hanging="345"/>
        <w:spacing w:after="0" w:line="256" w:lineRule="auto"/>
        <w:tabs>
          <w:tab w:leader="none" w:pos="17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this stock option award vest as follows: 25% of the shares vested on the first anniversary of July 18, 2024, and the remaining 75% of the shares vest in 36 equal monthly installments thereafter, subject to the executive’s continued service relationship through the applicable vesting date.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Employee Benefit and Equity Compensation Plans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Executive Severance Plan</w:t>
      </w:r>
    </w:p>
    <w:p>
      <w:pPr>
        <w:spacing w:after="0" w:line="9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On April 7, 2026, our board of directors adopted the Executive Severance Plan (the “Severance Plan”), subject to the effectiveness of the registration statement of which this prospectus forms a part, in which our currently employed named executive officers and certain other executives are expected to participate. The benefits provided in the Severance Plan will replace any severance for which such named executive officer may be eligible under their existing agreements (unless otherwise specified).</w:t>
      </w:r>
    </w:p>
    <w:p>
      <w:pPr>
        <w:spacing w:after="0" w:line="141" w:lineRule="exact"/>
        <w:rPr>
          <w:sz w:val="20"/>
          <w:szCs w:val="20"/>
          <w:color w:val="auto"/>
        </w:rPr>
      </w:pPr>
    </w:p>
    <w:p>
      <w:pPr>
        <w:ind w:left="1360" w:right="259" w:firstLine="343"/>
        <w:spacing w:after="0" w:line="252" w:lineRule="auto"/>
        <w:rPr>
          <w:sz w:val="20"/>
          <w:szCs w:val="20"/>
          <w:color w:val="auto"/>
        </w:rPr>
      </w:pPr>
      <w:r>
        <w:rPr>
          <w:rFonts w:ascii="Times New Roman" w:cs="Times New Roman" w:eastAsia="Times New Roman" w:hAnsi="Times New Roman"/>
          <w:sz w:val="14"/>
          <w:szCs w:val="14"/>
          <w:color w:val="auto"/>
        </w:rPr>
        <w:t>The Severance Plan provides that upon a termination by us for any reason other than for Cause, death or Disability, or resignation for Good Reason, each as defined in the Severance Plan (a “Qualifying Termination”), in each case outside of the period commencing three months prior to and ending on the first month anniversary following a Change in Control, as defined in the Severance Plan (the “Change in Control Period”), eligible participants will be entitled to receive, subject to the execution and delivery of a release of claims in favor of the company and continued compliance with all applicable restrictive covenants, (a) 12 months of continued base salary (or the annual base salary in effect for the year immediately prior to the year in which the date of termination occurs) (“Base Salary”) for the Chief Executive Officer and the Chief Medical Officer, and nine months for each other chief executive other than the Chief Executive Officer and the Chief Medical Officer, (b) an amount equal to the monthly employer contribution that we would have made to provide health insurance for the applicable participant if he or she had remained employed by us while receiving payments of Base Salary, (c) a pro-rated annual bonus and (d) for all outstanding and unvested equity awards of the company that are subject to time based vesting held by (i) the Chief Executive Officer, full accelerated vesting of such awards with an additional 12 months for the exercise period and (ii) the Chief Medical Officer, nine months acceleration on vesting of such awards. The Severance Plan also provides that upon a Qualifying Termination within the Change in Control Period, an eligible participant will be entitled to receive, in lieu of the payments and benefits above and subject to the execution and delivery of a release of claims in favor of the company and continued compliance with all applicable restrictive covenants, (a) a lump sum payment equal to the sum of (i) 18 months’ Base Salary for the Chief Executive Officer, 12 months’ Base Salary and bonus for each chief executive other than the Chief Executive Officer (such periods, the “CIC Periods”) and (ii) 1.5 times the target annual bonus in effect immediately prior to the date of termination (or immediately prior to the change in control if higher) for the Chief Executive Officer, 1.0 times for each chief executive other than the Chief Executive Officer, (b) an amount equal to the monthly employer contribution, based on the premiums as of the date of termination, that we would have made to provide health insurance for the applicable participant if he or she had remained employed by us for the duration of the applicable CIC Period and (c) for all outstanding and unvested equity awards of the company that are subject to time-based vesting held by the participant, full accelerated vesting of such awards.</w:t>
      </w:r>
    </w:p>
    <w:p>
      <w:pPr>
        <w:spacing w:after="0" w:line="15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payments and benefits provided under the Severance Plan in connection with a Change in Control may not be eligible for a federal income tax deduction by us pursuant to Section 280G of the Code. These payments and benefits may also subject an eligible participant, including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participant.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200</w:t>
      </w:r>
    </w:p>
    <w:p>
      <w:pPr>
        <w:sectPr>
          <w:pgSz w:w="11900" w:h="16838" w:orient="portrait"/>
          <w:cols w:equalWidth="0" w:num="1">
            <w:col w:w="10159"/>
          </w:cols>
          <w:pgMar w:left="300" w:top="386"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Senior Executive Cash Incentive Bonus Plan</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On April 7, 2026, our board of directors adopted the Senior Executive Cash Incentive Bonus Plan (the Bonus Plan). The Bonus Plan provides for cash bonus payments based upon company and individual performance targets established by our compensation committee. The payment targets will be related to financial and operational measures or objectives with respect to our company, or the corporate performance goals, as well as individual performance objectives.</w:t>
      </w:r>
    </w:p>
    <w:p>
      <w:pPr>
        <w:spacing w:after="0" w:line="141" w:lineRule="exact"/>
        <w:rPr>
          <w:sz w:val="20"/>
          <w:szCs w:val="20"/>
          <w:color w:val="auto"/>
        </w:rPr>
      </w:pPr>
    </w:p>
    <w:p>
      <w:pPr>
        <w:ind w:left="1360" w:right="319" w:firstLine="343"/>
        <w:spacing w:after="0" w:line="254" w:lineRule="auto"/>
        <w:rPr>
          <w:sz w:val="20"/>
          <w:szCs w:val="20"/>
          <w:color w:val="auto"/>
        </w:rPr>
      </w:pPr>
      <w:r>
        <w:rPr>
          <w:rFonts w:ascii="Times New Roman" w:cs="Times New Roman" w:eastAsia="Times New Roman" w:hAnsi="Times New Roman"/>
          <w:sz w:val="14"/>
          <w:szCs w:val="14"/>
          <w:color w:val="auto"/>
        </w:rPr>
        <w:t>Our compensation committee may select corporate performance goals from among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licenses, collaborations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as compared to any incremental increase, (B) measured in terms of growth, as compared to results of a peer group, (C) measured against the market as a whole, compared to applicable market indices and/or measured on a pre-tax or post-tax basis.</w:t>
      </w:r>
    </w:p>
    <w:p>
      <w:pPr>
        <w:spacing w:after="0" w:line="14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shall be required to be employed by us on the bonus payment date to be eligible to receive a bonus payment under the Bonus Plan. The Bonus Plan also permits the compensation committee to approve additional bonuses to executive officers in its sole discretion.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2024 Equity Incentive Plan</w:t>
      </w:r>
    </w:p>
    <w:p>
      <w:pPr>
        <w:spacing w:after="0" w:line="9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The 2024 Plan, was approved by the Company’s subsidiary’s Board and Stockholders and became effective for the Company in April 2024 and was subsequently amended in April 2024 and October 2024 to increase the number of shares reserved for issuance thereunder. Under the 2024 Plan, as amended, we have reserved for issuance an aggregate of 38,607,011 shares of our common stock. These numbers are subject to adjustment in the event of a stock dividend, stock split, spin-off, recapitalization, or other similar equity restructuring. Our board of directors has determined not to issue any further awards under the 2024 Plan following the closing of this offering, but all outstanding awards under the 2024 Plan will continue to be governed by their existing terms. In connection with this offering, we intend to adopt a new incentive equity plan under which we will grant equity-based awards following this offering, as described below under “</w:t>
      </w:r>
      <w:r>
        <w:rPr>
          <w:rFonts w:ascii="Times New Roman" w:cs="Times New Roman" w:eastAsia="Times New Roman" w:hAnsi="Times New Roman"/>
          <w:sz w:val="14"/>
          <w:szCs w:val="14"/>
          <w:i w:val="1"/>
          <w:iCs w:val="1"/>
          <w:color w:val="auto"/>
        </w:rPr>
        <w:t>2026 Equity Incentive Plan</w:t>
      </w:r>
      <w:r>
        <w:rPr>
          <w:rFonts w:ascii="Times New Roman" w:cs="Times New Roman" w:eastAsia="Times New Roman" w:hAnsi="Times New Roman"/>
          <w:sz w:val="14"/>
          <w:szCs w:val="14"/>
          <w:color w:val="auto"/>
        </w:rPr>
        <w:t>.” The following summary describes the material terms of the 2024 Plan. This summary is not a complete description of all provisions of the 2024 Plan and is qualified in its entirety by reference to the 2024 Plan, which is filed as an exhibit to the registration statement of which this prospectus is a part.</w:t>
      </w:r>
    </w:p>
    <w:p>
      <w:pPr>
        <w:spacing w:after="0" w:line="149" w:lineRule="exact"/>
        <w:rPr>
          <w:sz w:val="20"/>
          <w:szCs w:val="20"/>
          <w:color w:val="auto"/>
        </w:rPr>
      </w:pPr>
    </w:p>
    <w:p>
      <w:pPr>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The shares of common stock underlying any awards that are expired, lapsed, terminated, surrendered, cancelled without having been fully exercised, or is forfeited in whole or in part (including repurchased by us at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201</w:t>
      </w:r>
    </w:p>
    <w:p>
      <w:pPr>
        <w:sectPr>
          <w:pgSz w:w="11900" w:h="16838" w:orient="portrait"/>
          <w:cols w:equalWidth="0" w:num="1">
            <w:col w:w="10159"/>
          </w:cols>
          <w:pgMar w:left="300" w:top="386"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or below the original issuance price), and shares that are withheld upon exercise of an option or settlement of an award to cover the exercise price or tax withholding under our 2024 Plan are currently added back to the shares of common stock available for issuance under our 2024 Plan (and, following the completion of this offering, will be added back to the shares of common stock available for issuance under the 2026 Equity Incentive Plan, or the 2026 Plan).</w:t>
      </w:r>
    </w:p>
    <w:p>
      <w:pPr>
        <w:spacing w:after="0" w:line="14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Our board of directors has acted as administrator of the 2024 Plan. The administrator has full power to, among other things, select, from among the individuals eligible for awards, determine the specific terms and conditions of each award, and accelerate at any time the exercisability or vesting of any award, subject to the provisions of the 2024 Plan. Persons eligible to participate in our 2024 Plan are our employees, consultants and directors.</w:t>
      </w:r>
    </w:p>
    <w:p>
      <w:pPr>
        <w:spacing w:after="0" w:line="13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2024 Plan permits the granting of (1) options to purchase common stock intended to qualify as incentive stock options under Section 422 of the Code and (2) options that do not so qualify. The option exercise price of each option is determined by the administrator but may not be less than 100% of the fair market value of the common stock on the date of grant or, in the case of an incentive stock option granted to a 10% owner, the exercise price shall not be less than 110% of the fair market value of our common stock on the date of grant. The term of each option is fixed by the administrator and may not exceed ten years from the date of grant (or five years in the case of certain incentive stock option grants). The administrator determines at what time or times each option may be exercised.</w:t>
      </w:r>
    </w:p>
    <w:p>
      <w:pPr>
        <w:spacing w:after="0" w:line="143"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The administrator of the 2024 Plan may award restricted shares of common stock and restricted stock units subject to such conditions and restrictions as it determines.</w:t>
      </w:r>
    </w:p>
    <w:p>
      <w:pPr>
        <w:spacing w:after="0" w:line="125"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The administrator of the 2024 Plan may also grant other stock-based awards to be delivered in the future. The awards may be paid in shares of common stock, cash, or other forms of property, as determined by the administrator.</w:t>
      </w:r>
    </w:p>
    <w:p>
      <w:pPr>
        <w:spacing w:after="0" w:line="125" w:lineRule="exact"/>
        <w:rPr>
          <w:sz w:val="20"/>
          <w:szCs w:val="20"/>
          <w:color w:val="auto"/>
        </w:rPr>
      </w:pPr>
    </w:p>
    <w:p>
      <w:pPr>
        <w:ind w:left="1360" w:right="579" w:firstLine="343"/>
        <w:spacing w:after="0" w:line="261" w:lineRule="auto"/>
        <w:rPr>
          <w:sz w:val="20"/>
          <w:szCs w:val="20"/>
          <w:color w:val="auto"/>
        </w:rPr>
      </w:pPr>
      <w:r>
        <w:rPr>
          <w:rFonts w:ascii="Times New Roman" w:cs="Times New Roman" w:eastAsia="Times New Roman" w:hAnsi="Times New Roman"/>
          <w:sz w:val="14"/>
          <w:szCs w:val="14"/>
          <w:color w:val="auto"/>
        </w:rPr>
        <w:t>In the event of certain equity restructuring, including stock dividend, stock split, spin-off, recapitalization or other similar change to the Company’s capital structure, the administrator of the 2024 Plan shall make appropriate adjustments to the maximum number of shares reserved for issuance under the 2024 Plan, the number and type of securities subject to outstanding awards under the 2024 Plan, and the exercise price of any outstanding awards under the 2024 Plan.</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2024 Plan provides that in the event of a “change in control” (as defined in the 2024 Plan), the administrator is authorized to take various actions, including, but not limited to: (i) canceling any award in exchange for cash or property, (ii) accelerating the vesting of any award, (iii) providing for the assumption or substitution of awards by the successor entity, (iv) adjusting the number and type of shares subject to outstanding awards, (v) replacing the award with other rights or property selected by the administrator, and (vi) terminating the award.</w:t>
      </w:r>
    </w:p>
    <w:p>
      <w:pPr>
        <w:spacing w:after="0" w:line="14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Our board of directors may amend, suspend or terminate the 2024 Plan at any time, subject to stockholder approval where required by applicable law. The administrator of the 2024 Plan may also amend, modify or terminate any outstanding award. The participant’s consent to such action will be required unless (i) the administrator determines that the action would not materially and adversely affect the participant, or (ii) the change is permitted under the 2024 Plan.</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No awards may be granted under our 2024 Plan after the date that is ten years from the date our 2024 Plan was adopted by our board of directors.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As described above, our board of directors has determined not to issue any further awards under our 2024 Plan following the completion of this offering.</w:t>
      </w:r>
    </w:p>
    <w:p>
      <w:pPr>
        <w:spacing w:after="0" w:line="172"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2025, options to purchase up to 27,633,144 shares of common stock at a weighted average exercise price of $1.52 per share and 6,250,000 shares of restricted stock were outstanding under the 2024 Plan.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202</w:t>
      </w:r>
    </w:p>
    <w:p>
      <w:pPr>
        <w:sectPr>
          <w:pgSz w:w="11900" w:h="16838" w:orient="portrait"/>
          <w:cols w:equalWidth="0" w:num="1">
            <w:col w:w="10159"/>
          </w:cols>
          <w:pgMar w:left="300" w:top="386"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2026 Equity Incentive Plan</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2026 Plan was adopted by our board of directors on April 7, 2026, approved by our stockholders on         , 2026 and will become effective on the date immediately preceding the date on which the registration statement of which this prospectus is a part is declared effective by the SEC. The 2026 Plan will allow us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will be filed as an exhibit to the registration statement of which this prospectus is a part.</w:t>
      </w:r>
    </w:p>
    <w:p>
      <w:pPr>
        <w:spacing w:after="0" w:line="142"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Authorized Shares</w:t>
      </w:r>
      <w:r>
        <w:rPr>
          <w:rFonts w:ascii="Times New Roman" w:cs="Times New Roman" w:eastAsia="Times New Roman" w:hAnsi="Times New Roman"/>
          <w:sz w:val="14"/>
          <w:szCs w:val="14"/>
          <w:color w:val="auto"/>
        </w:rPr>
        <w:t>. We have initially reserved        shares of our common stock for the issuance of awards under the 2026 Plan, or the Initial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Limit. The 2026 Plan provides that the number of shares reserved and available for issuance under the 2026 Plan will automatically increase on January 1, 2027 and each January thereafter during the term of the 2026 Plan, by  % of the outstanding number of shares of our common stock on the immediately preceding December 31 or such lesser number of shares as determined by our compensation committee, or the Annual Increase. The number of shares reserved for issuance under the 2026 Plan will be subject to adjustment in the event of a stock split, stock dividend, or other change in our capitalization.</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shares we issue under the 2026 Plan will be authorized but unissued shares or shares that we reacquire. The shares of common stock underlying any awards under the 2026 Plan and the 2024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2026 Plan. The maximum number of shares of common stock that may be issued pursuant to incentive stock options shall not exceed the Initial Limit, cumulatively increased on January 1, 2027 and on each January 1 thereafter by the lesser of the Annual Increase for such year or        shares of common stock.</w:t>
      </w:r>
    </w:p>
    <w:p>
      <w:pPr>
        <w:spacing w:after="0" w:line="141"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Non-Employee Director Limit</w:t>
      </w:r>
      <w:r>
        <w:rPr>
          <w:rFonts w:ascii="Times New Roman" w:cs="Times New Roman" w:eastAsia="Times New Roman" w:hAnsi="Times New Roman"/>
          <w:sz w:val="14"/>
          <w:szCs w:val="14"/>
          <w:color w:val="auto"/>
        </w:rPr>
        <w:t>. The grant date fair value of all awards under the 2026 Plan and all other cash compensation paid by us to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non-employee director during any one calendar year for services as a non-employee director may not exceed $  ; provided, however, that such amount shall be $        for the calendar year in which the applicable non-employee director is initially elected or appointed to our board of directors.</w:t>
      </w:r>
    </w:p>
    <w:p>
      <w:pPr>
        <w:spacing w:after="0" w:line="13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Plan Administration</w:t>
      </w:r>
      <w:r>
        <w:rPr>
          <w:rFonts w:ascii="Times New Roman" w:cs="Times New Roman" w:eastAsia="Times New Roman" w:hAnsi="Times New Roman"/>
          <w:sz w:val="14"/>
          <w:szCs w:val="14"/>
          <w:color w:val="auto"/>
        </w:rPr>
        <w:t>. The 2026 Plan will be administered by our compensation committee. Our compensation committee will have full power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43" w:lineRule="exact"/>
        <w:rPr>
          <w:sz w:val="20"/>
          <w:szCs w:val="20"/>
          <w:color w:val="auto"/>
        </w:rPr>
      </w:pPr>
    </w:p>
    <w:p>
      <w:pPr>
        <w:ind w:left="1360" w:right="27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Persons eligible to participate in the 2026 Plan will be those employees, non-employee directors, and consultants selected from time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by our compensation committee in its discretion.</w:t>
      </w:r>
    </w:p>
    <w:p>
      <w:pPr>
        <w:spacing w:after="0" w:line="12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14"/>
          <w:szCs w:val="14"/>
          <w:color w:val="auto"/>
        </w:rPr>
        <w:t>. The 2026 Plan permits the granting of both options to purchase common stock intended to qualify as incentive stock options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422 of the Code and options that do not so qualify. The option exercise price of each option will be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our compensation committee and may not exceed ten years from the date of grant (or five years in the case of certain incentive stock options). Our compensation committee will determine at what time or times each option may be exercised.</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203</w:t>
      </w:r>
    </w:p>
    <w:p>
      <w:pPr>
        <w:sectPr>
          <w:pgSz w:w="11900" w:h="16838" w:orient="portrait"/>
          <w:cols w:equalWidth="0" w:num="1">
            <w:col w:w="10159"/>
          </w:cols>
          <w:pgMar w:left="300" w:top="386"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Stock Appreciation Rights</w:t>
      </w:r>
      <w:r>
        <w:rPr>
          <w:rFonts w:ascii="Times New Roman" w:cs="Times New Roman" w:eastAsia="Times New Roman" w:hAnsi="Times New Roman"/>
          <w:sz w:val="14"/>
          <w:szCs w:val="14"/>
          <w:color w:val="auto"/>
        </w:rPr>
        <w:t>. Our compensation committee may award stock appreciation rights under the 2026 Plan subject to such conditions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restrictions as it determines.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44" w:lineRule="exact"/>
        <w:rPr>
          <w:sz w:val="20"/>
          <w:szCs w:val="20"/>
          <w:color w:val="auto"/>
        </w:rPr>
      </w:pPr>
    </w:p>
    <w:p>
      <w:pPr>
        <w:ind w:left="1360" w:right="25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Restricted Stock and Restricted Stock Units</w:t>
      </w:r>
      <w:r>
        <w:rPr>
          <w:rFonts w:ascii="Times New Roman" w:cs="Times New Roman" w:eastAsia="Times New Roman" w:hAnsi="Times New Roman"/>
          <w:sz w:val="14"/>
          <w:szCs w:val="14"/>
          <w:color w:val="auto"/>
        </w:rPr>
        <w:t>. Our compensation committee may award restricted shares of common stock and restricted stock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participants subject to such conditions and restrictions as it determines. These conditions and restrictions may include the achievement of certain performance goals and/or continued employment or other service relationship with us through a specified vesting period.</w:t>
      </w:r>
    </w:p>
    <w:p>
      <w:pPr>
        <w:spacing w:after="0" w:line="133" w:lineRule="exact"/>
        <w:rPr>
          <w:sz w:val="20"/>
          <w:szCs w:val="20"/>
          <w:color w:val="auto"/>
        </w:rPr>
      </w:pPr>
    </w:p>
    <w:p>
      <w:pPr>
        <w:ind w:left="1360" w:right="33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Unrestricted Stock Awards</w:t>
      </w:r>
      <w:r>
        <w:rPr>
          <w:rFonts w:ascii="Times New Roman" w:cs="Times New Roman" w:eastAsia="Times New Roman" w:hAnsi="Times New Roman"/>
          <w:sz w:val="14"/>
          <w:szCs w:val="14"/>
          <w:color w:val="auto"/>
        </w:rPr>
        <w:t>. Our compensation committee may grant shares of common stock that are free from any restrictions under the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 Unrestricted stock may be granted to participants in recognition of past services or for other valid consideration and may be issued in lieu of cash compensation due to such participant.</w:t>
      </w:r>
    </w:p>
    <w:p>
      <w:pPr>
        <w:spacing w:after="0" w:line="133" w:lineRule="exact"/>
        <w:rPr>
          <w:sz w:val="20"/>
          <w:szCs w:val="20"/>
          <w:color w:val="auto"/>
        </w:rPr>
      </w:pPr>
    </w:p>
    <w:p>
      <w:pPr>
        <w:ind w:left="1360" w:right="31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Dividend Equivalent Rights</w:t>
      </w:r>
      <w:r>
        <w:rPr>
          <w:rFonts w:ascii="Times New Roman" w:cs="Times New Roman" w:eastAsia="Times New Roman" w:hAnsi="Times New Roman"/>
          <w:sz w:val="14"/>
          <w:szCs w:val="14"/>
          <w:color w:val="auto"/>
        </w:rPr>
        <w:t>. Our compensation committee may grant dividend equivalent rights to participants that entitle the recipient to receive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credits for dividends that would be paid if the recipient had held a specified number of shares of common stock.</w:t>
      </w:r>
    </w:p>
    <w:p>
      <w:pPr>
        <w:spacing w:after="0" w:line="121" w:lineRule="exact"/>
        <w:rPr>
          <w:sz w:val="20"/>
          <w:szCs w:val="20"/>
          <w:color w:val="auto"/>
        </w:rPr>
      </w:pPr>
    </w:p>
    <w:p>
      <w:pPr>
        <w:ind w:left="1360" w:right="5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Cash-Based Awards</w:t>
      </w:r>
      <w:r>
        <w:rPr>
          <w:rFonts w:ascii="Times New Roman" w:cs="Times New Roman" w:eastAsia="Times New Roman" w:hAnsi="Times New Roman"/>
          <w:sz w:val="14"/>
          <w:szCs w:val="14"/>
          <w:color w:val="auto"/>
        </w:rPr>
        <w:t>. Our compensation committee may grant cash bonuses under the 2026 Plan to participants, subject to the achievement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performance goals.</w:t>
      </w:r>
    </w:p>
    <w:p>
      <w:pPr>
        <w:spacing w:after="0" w:line="12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Sale Event</w:t>
      </w:r>
      <w:r>
        <w:rPr>
          <w:rFonts w:ascii="Times New Roman" w:cs="Times New Roman" w:eastAsia="Times New Roman" w:hAnsi="Times New Roman"/>
          <w:sz w:val="14"/>
          <w:szCs w:val="14"/>
          <w:color w:val="auto"/>
        </w:rPr>
        <w:t>. The 2026 Plan provides that, upon the effectiveness of a “sale event” (as defined in the 2026 Plan), an acquirer or successor entity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the compensation committee,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we may make or provide for a payment, in cash or in kind, to the participants holding other awards in an amount equal to the per share consideration payable to stockholders in the sale event multiplied by the number of vested shares of common stock under such awards.</w:t>
      </w:r>
    </w:p>
    <w:p>
      <w:pPr>
        <w:spacing w:after="0" w:line="147"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Amendment</w:t>
      </w:r>
      <w:r>
        <w:rPr>
          <w:rFonts w:ascii="Times New Roman" w:cs="Times New Roman" w:eastAsia="Times New Roman" w:hAnsi="Times New Roman"/>
          <w:sz w:val="14"/>
          <w:szCs w:val="14"/>
          <w:color w:val="auto"/>
        </w:rPr>
        <w:t>. Our board of directors may amend or discontinue the 2026 Plan and our compensation committee may amend or cancel 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for purposes of satisfying changes in law or any other lawful purpose, but no such action may materially and adversely affect rights under an award without the holder’s consent. Certain amendments to the 2026 Plan require the approval of our stockholders. The compensation committee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204</w:t>
      </w:r>
    </w:p>
    <w:p>
      <w:pPr>
        <w:sectPr>
          <w:pgSz w:w="11900" w:h="16838" w:orient="portrait"/>
          <w:cols w:equalWidth="0" w:num="1">
            <w:col w:w="10159"/>
          </w:cols>
          <w:pgMar w:left="300" w:top="386"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No awards may be granted under the 2026 Plan after the date that is ten years from the effective date of the 2026 Plan. No awards have been made under the 2026 Plan prior to the date hereof.</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2026 Employee Stock Purchase Plan</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ESPP was adopted by our board of directors on April 7, 2026, approved by our stockholders on        , 2026, and will become effective on the date immediately preceding the date on which the registration statement of which this prospectus is part is declared effective by the SEC. The ESPP has two components: a component intended to qualify as an “employee stock purchase plan” within the meaning of Section 423 of the Code, or the 423 Component, and a component that is not intended to so qualify, or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42"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Authorized Shares</w:t>
      </w:r>
      <w:r>
        <w:rPr>
          <w:rFonts w:ascii="Times New Roman" w:cs="Times New Roman" w:eastAsia="Times New Roman" w:hAnsi="Times New Roman"/>
          <w:sz w:val="14"/>
          <w:szCs w:val="14"/>
          <w:color w:val="auto"/>
        </w:rPr>
        <w:t>. The ESPP initially reserves and authorizes the issuance of up to a total of       shares of our common stock to participating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The ESPP provides that the number of shares reserved and available for issuance will automatically increase on January 1, 2027 and each January 1 thereafter through January 1, 2036, by the least of (i)        % of the outstanding number of shares of our common stock on the immediately preceding December 31, (ii)        shares of common stock, or (iii) such number of shares of common stock as determined by the administrator of the ESPP. The number of shares reserved under the ESPP is subject to adjustment in the event of a stock split, stock dividend, or other change in our capitalization.</w:t>
      </w:r>
    </w:p>
    <w:p>
      <w:pPr>
        <w:spacing w:after="0" w:line="14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All individuals classified as employees on the payroll records of the Company or a “designated company” (as defined in the ESPP)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first day of the applicable offering period are eligible to participate in the ESPP, provided that the ESPP administrator may determine in advance of an offering that employees are eligible only if, as of the first day of the offering, they (a) are customarily employed by us or a designated company for more than 20 hours a week (or such lesser amount determined by the ESPP administrator), (b) are customarily employed by us or a designated company for more than five months per calendar year, (c) have completed a minimum period of employment as determined by the ESPP administrator, provided such service requirement does not exceed two years of employment, and/or (d) they are not highly compensated employees. However, any employee who owns, or as a result of participation in the ESPP would own or hold, 5% or more of the total combined voting power or value of all classes of our stock will not be eligible to purchase shares of common stock under the ESPP.</w:t>
      </w:r>
    </w:p>
    <w:p>
      <w:pPr>
        <w:spacing w:after="0" w:line="145" w:lineRule="exact"/>
        <w:rPr>
          <w:sz w:val="20"/>
          <w:szCs w:val="20"/>
          <w:color w:val="auto"/>
        </w:rPr>
      </w:pPr>
    </w:p>
    <w:p>
      <w:pPr>
        <w:ind w:left="1360" w:right="49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Offerings</w:t>
      </w:r>
      <w:r>
        <w:rPr>
          <w:rFonts w:ascii="Times New Roman" w:cs="Times New Roman" w:eastAsia="Times New Roman" w:hAnsi="Times New Roman"/>
          <w:sz w:val="14"/>
          <w:szCs w:val="14"/>
          <w:color w:val="auto"/>
        </w:rPr>
        <w:t>. We may make one or more offerings each year to our employees to purchase shares of our common stock under the ESPP, each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may consist of one or more purchase periods. Offerings will begin and end on the dates determined by the ESPP administrator, except that no offering will exceed 27 months in duration. Each eligible employee may elect to participate in any offering by submitting an enrollment form by the deadline established by the ESPP administrator.</w:t>
      </w:r>
    </w:p>
    <w:p>
      <w:pPr>
        <w:spacing w:after="0" w:line="140"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Each employee who is a participant in the ESPP may purchase shares by authorizing payroll deductions at a minimum of    % and up to a maximum of    %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our common stock on the last day of each purchase period at a price equal to 85% of the fair market value of the shares on the first day or the last day of the purchase period, whichever is lower, provided that no more than the number of shares of common stock determined by dividing $25,000 by the fair market value of our common stock on the first day of such offering period (or such other maximum number of shares as may be established by the administrator) may be purchased by any one employee during any purchase period. Under applicable tax rules, an employee may purchase no</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205</w:t>
      </w:r>
    </w:p>
    <w:p>
      <w:pPr>
        <w:sectPr>
          <w:pgSz w:w="11900" w:h="16838" w:orient="portrait"/>
          <w:cols w:equalWidth="0" w:num="1">
            <w:col w:w="10159"/>
          </w:cols>
          <w:pgMar w:left="300" w:top="386"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more than $25,000 worth of shares of our common stock, valued at the start of the offering period, under the ESPP for each calendar year during which any option granted to the employee is outstanding at any time.</w:t>
      </w:r>
    </w:p>
    <w:p>
      <w:pPr>
        <w:spacing w:after="0" w:line="125" w:lineRule="exact"/>
        <w:rPr>
          <w:sz w:val="20"/>
          <w:szCs w:val="20"/>
          <w:color w:val="auto"/>
        </w:rPr>
      </w:pPr>
    </w:p>
    <w:p>
      <w:pPr>
        <w:ind w:left="1360" w:right="279" w:firstLine="343"/>
        <w:spacing w:after="0" w:line="323" w:lineRule="auto"/>
        <w:rPr>
          <w:sz w:val="20"/>
          <w:szCs w:val="20"/>
          <w:color w:val="auto"/>
        </w:rPr>
      </w:pPr>
      <w:r>
        <w:rPr>
          <w:rFonts w:ascii="Times New Roman" w:cs="Times New Roman" w:eastAsia="Times New Roman" w:hAnsi="Times New Roman"/>
          <w:sz w:val="13"/>
          <w:szCs w:val="13"/>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00"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Sale Event. </w:t>
      </w:r>
      <w:r>
        <w:rPr>
          <w:rFonts w:ascii="Times New Roman" w:cs="Times New Roman" w:eastAsia="Times New Roman" w:hAnsi="Times New Roman"/>
          <w:sz w:val="14"/>
          <w:szCs w:val="14"/>
          <w:color w:val="auto"/>
        </w:rPr>
        <w:t>In the case of and subject to the consummation of a “sale event” (as defined in the ESPP), the administrator of the ESPP, in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discretion, and on such terms and conditions as it deems appropriate, is authorized to take any one or more of the following actions under the ESPP or with respect to any right under the ESPP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50" w:lineRule="exact"/>
        <w:rPr>
          <w:sz w:val="20"/>
          <w:szCs w:val="20"/>
          <w:color w:val="auto"/>
        </w:rPr>
      </w:pPr>
    </w:p>
    <w:p>
      <w:pPr>
        <w:ind w:left="1360" w:right="37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Amendment</w:t>
      </w:r>
      <w:r>
        <w:rPr>
          <w:rFonts w:ascii="Times New Roman" w:cs="Times New Roman" w:eastAsia="Times New Roman" w:hAnsi="Times New Roman"/>
          <w:sz w:val="14"/>
          <w:szCs w:val="14"/>
          <w:color w:val="auto"/>
        </w:rPr>
        <w:t>. The ESPP may be terminated or amended by our board of directors at any time. An amendment that increases the number of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our common stock authorized under the ESPP and certain other amendments require the approval of our stockholders.</w:t>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IPO Grants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On the effective date of the registration statement of which this prospectus forms a part, assuming we issue       shares in connection with this offering at an assumed public offering price of $      per share, which is the midpoint of the price range set forth on the cover page of this prospectus,</w:t>
      </w:r>
    </w:p>
    <w:p>
      <w:pPr>
        <w:spacing w:after="0" w:line="1" w:lineRule="exact"/>
        <w:rPr>
          <w:sz w:val="20"/>
          <w:szCs w:val="20"/>
          <w:color w:val="auto"/>
        </w:rPr>
      </w:pPr>
    </w:p>
    <w:p>
      <w:pPr>
        <w:ind w:left="1360" w:right="359"/>
        <w:spacing w:after="0" w:line="250" w:lineRule="auto"/>
        <w:rPr>
          <w:sz w:val="20"/>
          <w:szCs w:val="20"/>
          <w:color w:val="auto"/>
        </w:rPr>
      </w:pPr>
      <w:r>
        <w:rPr>
          <w:rFonts w:ascii="Times New Roman" w:cs="Times New Roman" w:eastAsia="Times New Roman" w:hAnsi="Times New Roman"/>
          <w:sz w:val="14"/>
          <w:szCs w:val="14"/>
          <w:color w:val="auto"/>
        </w:rPr>
        <w:t xml:space="preserve">we will grant certain executive officers and directors an aggregate of           options to purchase shares under the 2026 Plan, subject to continued service through such grant date. Based on an assumed fair value of $      per share, which is the midpoint of the price range set forth on the cover page of this prospectus, we estimate that the aggregate grant-date fair value of the shares to be granted in connection with this offering is $     </w:t>
      </w:r>
    </w:p>
    <w:p>
      <w:pPr>
        <w:spacing w:after="0" w:line="2" w:lineRule="exact"/>
        <w:rPr>
          <w:sz w:val="20"/>
          <w:szCs w:val="20"/>
          <w:color w:val="auto"/>
        </w:rPr>
      </w:pPr>
    </w:p>
    <w:p>
      <w:pPr>
        <w:ind w:left="1360"/>
        <w:spacing w:after="0"/>
        <w:tabs>
          <w:tab w:leader="none" w:pos="7300" w:val="left"/>
        </w:tabs>
        <w:rPr>
          <w:sz w:val="20"/>
          <w:szCs w:val="20"/>
          <w:color w:val="auto"/>
        </w:rPr>
      </w:pPr>
      <w:r>
        <w:rPr>
          <w:rFonts w:ascii="Times New Roman" w:cs="Times New Roman" w:eastAsia="Times New Roman" w:hAnsi="Times New Roman"/>
          <w:sz w:val="14"/>
          <w:szCs w:val="14"/>
          <w:color w:val="auto"/>
        </w:rPr>
        <w:t xml:space="preserve">million, which is expected to be recognized as stock-based compensation expense over a period of       </w:t>
        <w:tab/>
        <w:t>years.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206</w:t>
      </w:r>
    </w:p>
    <w:p>
      <w:pPr>
        <w:sectPr>
          <w:pgSz w:w="11900" w:h="16838" w:orient="portrait"/>
          <w:cols w:equalWidth="0" w:num="1">
            <w:col w:w="10159"/>
          </w:cols>
          <w:pgMar w:left="300" w:top="386"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2025 Director Compensation Table</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following table presents the compensation awarded to, earned by, or paid to each person who served as a non-employee member of our board of directors for their services to us during Fiscal Year 2025. During Fiscal Year 2025, Ms. Zohar served as a member of our board of directors and received no additional compensation for her service as a member of our board of directors. The compensation for Fiscal Year 2025 received by Ms. Zohar as our Founder, Chief Executive Officer, President &amp; Board Member is presented in the “</w:t>
      </w:r>
      <w:r>
        <w:rPr>
          <w:rFonts w:ascii="Times New Roman" w:cs="Times New Roman" w:eastAsia="Times New Roman" w:hAnsi="Times New Roman"/>
          <w:sz w:val="14"/>
          <w:szCs w:val="14"/>
          <w:i w:val="1"/>
          <w:iCs w:val="1"/>
          <w:color w:val="auto"/>
        </w:rPr>
        <w:t>2025 Summary Compensation Table</w:t>
      </w:r>
      <w:r>
        <w:rPr>
          <w:rFonts w:ascii="Times New Roman" w:cs="Times New Roman" w:eastAsia="Times New Roman" w:hAnsi="Times New Roman"/>
          <w:sz w:val="14"/>
          <w:szCs w:val="14"/>
          <w:color w:val="auto"/>
        </w:rPr>
        <w:t>” above.</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Fees Earned or</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360" w:type="dxa"/>
            <w:vAlign w:val="bottom"/>
          </w:tcPr>
          <w:p>
            <w:pPr>
              <w:spacing w:after="0"/>
              <w:rPr>
                <w:sz w:val="11"/>
                <w:szCs w:val="11"/>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Name </w:t>
            </w:r>
            <w:r>
              <w:rPr>
                <w:rFonts w:ascii="Times New Roman" w:cs="Times New Roman" w:eastAsia="Times New Roman" w:hAnsi="Times New Roman"/>
                <w:sz w:val="8"/>
                <w:szCs w:val="8"/>
                <w:b w:val="1"/>
                <w:bCs w:val="1"/>
                <w:color w:val="auto"/>
              </w:rPr>
              <w:t>(1)</w:t>
            </w:r>
          </w:p>
        </w:tc>
        <w:tc>
          <w:tcPr>
            <w:tcW w:w="292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50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1420" w:type="dxa"/>
            <w:vAlign w:val="bottom"/>
            <w:gridSpan w:val="3"/>
          </w:tcPr>
          <w:p>
            <w:pPr>
              <w:jc w:val="center"/>
              <w:ind w:right="20"/>
              <w:spacing w:after="0" w:line="116"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44"/>
        </w:trPr>
        <w:tc>
          <w:tcPr>
            <w:tcW w:w="42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2780" w:type="dxa"/>
            <w:vAlign w:val="bottom"/>
            <w:gridSpan w:val="3"/>
          </w:tcPr>
          <w:p>
            <w:pPr>
              <w:jc w:val="right"/>
              <w:ind w:right="360"/>
              <w:spacing w:after="0" w:line="124" w:lineRule="exact"/>
              <w:rPr>
                <w:sz w:val="20"/>
                <w:szCs w:val="20"/>
                <w:color w:val="auto"/>
              </w:rPr>
            </w:pPr>
            <w:r>
              <w:rPr>
                <w:rFonts w:ascii="Times New Roman" w:cs="Times New Roman" w:eastAsia="Times New Roman" w:hAnsi="Times New Roman"/>
                <w:sz w:val="11"/>
                <w:szCs w:val="11"/>
                <w:b w:val="1"/>
                <w:bCs w:val="1"/>
                <w:color w:val="auto"/>
              </w:rPr>
              <w:t xml:space="preserve">Paid in Cash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8"/>
                <w:szCs w:val="8"/>
                <w:b w:val="1"/>
                <w:bCs w:val="1"/>
                <w:color w:val="auto"/>
              </w:rPr>
              <w:t>(2)</w:t>
            </w:r>
          </w:p>
        </w:tc>
        <w:tc>
          <w:tcPr>
            <w:tcW w:w="500" w:type="dxa"/>
            <w:vAlign w:val="bottom"/>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 xml:space="preserve"> (3)(4)</w:t>
            </w:r>
          </w:p>
        </w:tc>
        <w:tc>
          <w:tcPr>
            <w:tcW w:w="1060" w:type="dxa"/>
            <w:vAlign w:val="bottom"/>
            <w:gridSpan w:val="2"/>
          </w:tcPr>
          <w:p>
            <w:pPr>
              <w:jc w:val="center"/>
              <w:ind w:left="279"/>
              <w:spacing w:after="0" w:line="124" w:lineRule="exact"/>
              <w:rPr>
                <w:sz w:val="20"/>
                <w:szCs w:val="20"/>
                <w:color w:val="auto"/>
              </w:rPr>
            </w:pPr>
            <w:r>
              <w:rPr>
                <w:rFonts w:ascii="Times New Roman" w:cs="Times New Roman" w:eastAsia="Times New Roman" w:hAnsi="Times New Roman"/>
                <w:sz w:val="11"/>
                <w:szCs w:val="11"/>
                <w:b w:val="1"/>
                <w:bCs w:val="1"/>
                <w:color w:val="auto"/>
                <w:w w:val="96"/>
              </w:rPr>
              <w:t xml:space="preserve">($) </w:t>
            </w:r>
            <w:r>
              <w:rPr>
                <w:rFonts w:ascii="Times New Roman" w:cs="Times New Roman" w:eastAsia="Times New Roman" w:hAnsi="Times New Roman"/>
                <w:sz w:val="8"/>
                <w:szCs w:val="8"/>
                <w:b w:val="1"/>
                <w:bCs w:val="1"/>
                <w:color w:val="auto"/>
                <w:w w:val="96"/>
              </w:rPr>
              <w:t>(5)</w:t>
            </w:r>
          </w:p>
        </w:tc>
        <w:tc>
          <w:tcPr>
            <w:tcW w:w="3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Eric Elenko, Ph.D.</w:t>
            </w:r>
          </w:p>
        </w:tc>
        <w:tc>
          <w:tcPr>
            <w:tcW w:w="15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I. Healy, M.D., Ph.D.</w:t>
            </w:r>
          </w:p>
        </w:tc>
        <w:tc>
          <w:tcPr>
            <w:tcW w:w="1520" w:type="dxa"/>
            <w:vAlign w:val="bottom"/>
          </w:tcPr>
          <w:p>
            <w:pPr>
              <w:spacing w:after="0"/>
              <w:rPr>
                <w:sz w:val="14"/>
                <w:szCs w:val="14"/>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Nelsen</w:t>
            </w:r>
          </w:p>
        </w:tc>
        <w:tc>
          <w:tcPr>
            <w:tcW w:w="1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Sandra E. Peterson</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36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Jason Pitts, Ph.D.</w:t>
            </w:r>
          </w:p>
        </w:tc>
        <w:tc>
          <w:tcPr>
            <w:tcW w:w="1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Denice Torres, J.D.</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36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Wheadon, M.D.</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Steven M. Paul, M.D. </w:t>
            </w:r>
            <w:r>
              <w:rPr>
                <w:rFonts w:ascii="Times New Roman" w:cs="Times New Roman" w:eastAsia="Times New Roman" w:hAnsi="Times New Roman"/>
                <w:sz w:val="19"/>
                <w:szCs w:val="19"/>
                <w:color w:val="auto"/>
                <w:vertAlign w:val="superscript"/>
              </w:rPr>
              <w:t>(5)</w:t>
            </w:r>
          </w:p>
        </w:tc>
        <w:tc>
          <w:tcPr>
            <w:tcW w:w="1520" w:type="dxa"/>
            <w:vAlign w:val="bottom"/>
          </w:tcPr>
          <w:p>
            <w:pPr>
              <w:spacing w:after="0"/>
              <w:rPr>
                <w:sz w:val="14"/>
                <w:szCs w:val="14"/>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Robert J. Hombach </w:t>
            </w:r>
            <w:r>
              <w:rPr>
                <w:rFonts w:ascii="Times New Roman" w:cs="Times New Roman" w:eastAsia="Times New Roman" w:hAnsi="Times New Roman"/>
                <w:sz w:val="19"/>
                <w:szCs w:val="19"/>
                <w:color w:val="auto"/>
                <w:vertAlign w:val="superscript"/>
              </w:rPr>
              <w:t>(6)</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29,069</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6"/>
              </w:rPr>
              <w:t>433,175</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462,245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Lyne, LLB</w:t>
            </w:r>
          </w:p>
        </w:tc>
        <w:tc>
          <w:tcPr>
            <w:tcW w:w="1520" w:type="dxa"/>
            <w:vAlign w:val="bottom"/>
          </w:tcPr>
          <w:p>
            <w:pPr>
              <w:spacing w:after="0"/>
              <w:rPr>
                <w:sz w:val="14"/>
                <w:szCs w:val="14"/>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3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Bharatt Chowrira, Ph.D., J.D. </w:t>
            </w:r>
            <w:r>
              <w:rPr>
                <w:rFonts w:ascii="Times New Roman" w:cs="Times New Roman" w:eastAsia="Times New Roman" w:hAnsi="Times New Roman"/>
                <w:sz w:val="19"/>
                <w:szCs w:val="19"/>
                <w:color w:val="auto"/>
                <w:vertAlign w:val="superscript"/>
              </w:rPr>
              <w:t>(7)</w:t>
            </w:r>
          </w:p>
        </w:tc>
        <w:tc>
          <w:tcPr>
            <w:tcW w:w="1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right="299" w:hanging="345"/>
        <w:spacing w:after="0" w:line="261" w:lineRule="auto"/>
        <w:tabs>
          <w:tab w:leader="none" w:pos="17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Ms. Peterson, Ms. Torres, Dr. Wheadon, and Mr. Hombach has entered into a letter agreement with our board pursuant to which he or she is entitled to receive an initial option grant and an annual cash retainer of $35,000.</w:t>
      </w:r>
    </w:p>
    <w:p>
      <w:pPr>
        <w:ind w:left="1700" w:hanging="345"/>
        <w:spacing w:after="0"/>
        <w:tabs>
          <w:tab w:leader="none" w:pos="17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cash fees each director earned for their services to our board of directors during Fiscal Year 2025.</w:t>
      </w:r>
    </w:p>
    <w:p>
      <w:pPr>
        <w:spacing w:after="0" w:line="7" w:lineRule="exact"/>
        <w:rPr>
          <w:rFonts w:ascii="Times New Roman" w:cs="Times New Roman" w:eastAsia="Times New Roman" w:hAnsi="Times New Roman"/>
          <w:sz w:val="14"/>
          <w:szCs w:val="14"/>
          <w:color w:val="auto"/>
        </w:rPr>
      </w:pPr>
    </w:p>
    <w:p>
      <w:pPr>
        <w:ind w:left="1700" w:right="319" w:hanging="345"/>
        <w:spacing w:after="0" w:line="250" w:lineRule="auto"/>
        <w:tabs>
          <w:tab w:leader="none" w:pos="17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stock option awards granted to our directors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10 of our consolidated financial statements for Fiscal Year 2025, included elsewhere in this prospectus. The amounts reported in this column reflect the accounting cost for these option awards and do not correspond to the actual economic value that may be received by our directors upon the exercise of the option awards or any sale of the underlying securities.</w:t>
      </w:r>
    </w:p>
    <w:p>
      <w:pPr>
        <w:spacing w:after="0" w:line="3" w:lineRule="exact"/>
        <w:rPr>
          <w:rFonts w:ascii="Times New Roman" w:cs="Times New Roman" w:eastAsia="Times New Roman" w:hAnsi="Times New Roman"/>
          <w:sz w:val="14"/>
          <w:szCs w:val="14"/>
          <w:color w:val="auto"/>
        </w:rPr>
      </w:pPr>
    </w:p>
    <w:p>
      <w:pPr>
        <w:ind w:left="1700" w:right="499" w:hanging="345"/>
        <w:spacing w:after="0" w:line="261" w:lineRule="auto"/>
        <w:tabs>
          <w:tab w:leader="none" w:pos="17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unvested restricted stock and the aggregate number of stock option awards for each non-employee director that were outstanding as of December 31, 2025 are, as follows:</w:t>
      </w:r>
    </w:p>
    <w:p>
      <w:pPr>
        <w:spacing w:after="0" w:line="145"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Unvested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0" w:type="dxa"/>
            <w:vAlign w:val="bottom"/>
          </w:tcPr>
          <w:p>
            <w:pPr>
              <w:spacing w:after="0"/>
              <w:rPr>
                <w:sz w:val="1"/>
                <w:szCs w:val="1"/>
                <w:color w:val="auto"/>
              </w:rPr>
            </w:pPr>
          </w:p>
        </w:tc>
      </w:tr>
      <w:tr>
        <w:trPr>
          <w:trHeight w:val="116"/>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46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76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74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44"/>
        </w:trPr>
        <w:tc>
          <w:tcPr>
            <w:tcW w:w="30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3980" w:type="dxa"/>
            <w:vAlign w:val="bottom"/>
          </w:tcPr>
          <w:p>
            <w:pPr>
              <w:spacing w:after="0"/>
              <w:rPr>
                <w:sz w:val="12"/>
                <w:szCs w:val="12"/>
                <w:color w:val="auto"/>
              </w:rPr>
            </w:pPr>
          </w:p>
        </w:tc>
        <w:tc>
          <w:tcPr>
            <w:tcW w:w="7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74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0" w:type="dxa"/>
            <w:vAlign w:val="bottom"/>
          </w:tcPr>
          <w:p>
            <w:pPr>
              <w:spacing w:after="0"/>
              <w:rPr>
                <w:sz w:val="1"/>
                <w:szCs w:val="1"/>
                <w:color w:val="auto"/>
              </w:rPr>
            </w:pPr>
          </w:p>
        </w:tc>
      </w:tr>
      <w:tr>
        <w:trPr>
          <w:trHeight w:val="149"/>
        </w:trPr>
        <w:tc>
          <w:tcPr>
            <w:tcW w:w="276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Eric Elenko, Ph.D.</w:t>
            </w:r>
          </w:p>
        </w:tc>
        <w:tc>
          <w:tcPr>
            <w:tcW w:w="39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I. Healy, M.D., Ph.D.</w:t>
            </w:r>
          </w:p>
        </w:tc>
        <w:tc>
          <w:tcPr>
            <w:tcW w:w="39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Nelsen</w:t>
            </w:r>
          </w:p>
        </w:tc>
        <w:tc>
          <w:tcPr>
            <w:tcW w:w="39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Sandra E. Peterson</w:t>
            </w:r>
          </w:p>
        </w:tc>
        <w:tc>
          <w:tcPr>
            <w:tcW w:w="39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Jason Pitts, Ph.D.</w:t>
            </w:r>
          </w:p>
        </w:tc>
        <w:tc>
          <w:tcPr>
            <w:tcW w:w="39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Denice Torres, J.D.</w:t>
            </w:r>
          </w:p>
        </w:tc>
        <w:tc>
          <w:tcPr>
            <w:tcW w:w="39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Wheadon, M.D.</w:t>
            </w:r>
          </w:p>
        </w:tc>
        <w:tc>
          <w:tcPr>
            <w:tcW w:w="39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241,966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Steven M. Paul, M.D.</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486,114</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5,221,402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J. Hombach</w:t>
            </w:r>
          </w:p>
        </w:tc>
        <w:tc>
          <w:tcPr>
            <w:tcW w:w="39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241,966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Lyne, LLB</w:t>
            </w:r>
          </w:p>
        </w:tc>
        <w:tc>
          <w:tcPr>
            <w:tcW w:w="39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Bharatt Chowrira, Ph.D., J.D.</w:t>
            </w:r>
          </w:p>
        </w:tc>
        <w:tc>
          <w:tcPr>
            <w:tcW w:w="39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84"/>
        </w:trPr>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jc w:val="right"/>
              <w:ind w:right="2630"/>
              <w:spacing w:after="0"/>
              <w:rPr>
                <w:sz w:val="20"/>
                <w:szCs w:val="20"/>
                <w:color w:val="auto"/>
              </w:rPr>
            </w:pPr>
            <w:r>
              <w:rPr>
                <w:rFonts w:ascii="Times New Roman" w:cs="Times New Roman" w:eastAsia="Times New Roman" w:hAnsi="Times New Roman"/>
                <w:sz w:val="14"/>
                <w:szCs w:val="14"/>
                <w:color w:val="auto"/>
              </w:rPr>
              <w:t>207</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hanging="345"/>
        <w:spacing w:after="0" w:line="254" w:lineRule="auto"/>
        <w:tabs>
          <w:tab w:leader="none" w:pos="17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Paul has entered into a Senior Advisor Agreement with us, pursuant to which Dr. Paul spends approximately 2.5 days per week at the company and shall be entitled to an annual fee of $500,000 and received an initial equity grant intended to represent 5.0% of the Company’s fully-diluted capitalization as of the effective date. In addition, Dr. Paul shall receive additional equity grants to maintain Dr. Paul’s ownership at 5.0% of the fully diluted capitalization of the Company through our initial public offering (but excluding any shares issued pursuant to any over-allotment option). 100% of the unvested restricted stock will accelerate and become fully vested upon the closing of this offering, subject to Dr. Paul’s continued service relationship through such closing.</w:t>
      </w:r>
    </w:p>
    <w:p>
      <w:pPr>
        <w:spacing w:after="0" w:line="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Hombach was appointed as a director on March 3, 2025.</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Chowrira resigned from the Board on July 16, 2025 in connection with his departure from PureTech.</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93"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this offering, we have adopted a new non-employee director compensation policy that will become effective upon the completion of this offering and is designed to enable us to attract and retain, on a long-term basis, highly qualified non-employee directors. Under the policy, each director who is not an employee will be paid cash compensation from and after the completion of this offering, as set forth below, which amounts will be payable quarterly in arrears and prorated for partial years of service:</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Board of Directors:</w:t>
            </w:r>
          </w:p>
        </w:tc>
        <w:tc>
          <w:tcPr>
            <w:tcW w:w="4640" w:type="dxa"/>
            <w:vAlign w:val="bottom"/>
            <w:vMerge w:val="restart"/>
          </w:tcPr>
          <w:p>
            <w:pPr>
              <w:spacing w:after="0"/>
              <w:rPr>
                <w:sz w:val="11"/>
                <w:szCs w:val="11"/>
                <w:color w:val="auto"/>
              </w:rPr>
            </w:pPr>
          </w:p>
        </w:tc>
        <w:tc>
          <w:tcPr>
            <w:tcW w:w="2480" w:type="dxa"/>
            <w:vAlign w:val="bottom"/>
          </w:tcPr>
          <w:p>
            <w:pPr>
              <w:spacing w:after="0"/>
              <w:rPr>
                <w:sz w:val="11"/>
                <w:szCs w:val="11"/>
                <w:color w:val="auto"/>
              </w:rPr>
            </w:pPr>
          </w:p>
        </w:tc>
        <w:tc>
          <w:tcPr>
            <w:tcW w:w="5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Annual</w:t>
            </w:r>
          </w:p>
        </w:tc>
        <w:tc>
          <w:tcPr>
            <w:tcW w:w="0" w:type="dxa"/>
            <w:vAlign w:val="bottom"/>
          </w:tcPr>
          <w:p>
            <w:pPr>
              <w:spacing w:after="0"/>
              <w:rPr>
                <w:sz w:val="1"/>
                <w:szCs w:val="1"/>
                <w:color w:val="auto"/>
              </w:rPr>
            </w:pPr>
          </w:p>
        </w:tc>
      </w:tr>
      <w:tr>
        <w:trPr>
          <w:trHeight w:val="144"/>
        </w:trPr>
        <w:tc>
          <w:tcPr>
            <w:tcW w:w="940" w:type="dxa"/>
            <w:vAlign w:val="bottom"/>
            <w:tcBorders>
              <w:bottom w:val="single" w:sz="8" w:color="auto"/>
            </w:tcBorders>
            <w:vMerge w:val="continue"/>
          </w:tcPr>
          <w:p>
            <w:pPr>
              <w:spacing w:after="0"/>
              <w:rPr>
                <w:sz w:val="12"/>
                <w:szCs w:val="12"/>
                <w:color w:val="auto"/>
              </w:rPr>
            </w:pPr>
          </w:p>
        </w:tc>
        <w:tc>
          <w:tcPr>
            <w:tcW w:w="464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gridSpan w:val="3"/>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rPr>
              <w:t>Retainer</w:t>
            </w:r>
          </w:p>
        </w:tc>
        <w:tc>
          <w:tcPr>
            <w:tcW w:w="0" w:type="dxa"/>
            <w:vAlign w:val="bottom"/>
          </w:tcPr>
          <w:p>
            <w:pPr>
              <w:spacing w:after="0"/>
              <w:rPr>
                <w:sz w:val="1"/>
                <w:szCs w:val="1"/>
                <w:color w:val="auto"/>
              </w:rPr>
            </w:pPr>
          </w:p>
        </w:tc>
      </w:tr>
      <w:tr>
        <w:trPr>
          <w:trHeight w:val="149"/>
        </w:trPr>
        <w:tc>
          <w:tcPr>
            <w:tcW w:w="558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Members</w:t>
            </w:r>
          </w:p>
        </w:tc>
        <w:tc>
          <w:tcPr>
            <w:tcW w:w="24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40,000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Additional retainer for non-executive chair</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Retainer for chair</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Retainer for chair</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tc>
        <w:tc>
          <w:tcPr>
            <w:tcW w:w="2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Members (other than chair)</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Retainer for chair</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addition, the non-employee director compensation policy will provide that, upon initial election to our board of directors, each non-employee director will be granted an equity award with a fair market value of $      or an option to purchase 154,000 shares of our common stock, or the Initial Grant. The Initial Grant will vest in equal monthly installments over three years from the date of grant, subject to continued service as a director through the applicable vesting date.</w:t>
      </w:r>
    </w:p>
    <w:p>
      <w:pPr>
        <w:spacing w:after="0" w:line="14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Furthermore, on the date of each annual meeting of stockholders following the completion of this offering, each non-employee director who continues as a non-employee director following such meeting will be granted an annual equity award with fair market value of $      or option to purchase 77,000 shares of our common stock, or the Annual Grant. The Annual Grant will vest in full upon the earlier of (i) the first anniversary of the date of grant or (ii) the date of the next Annual Meeting. These awards are subject to full accelerated vesting upon the sale of the company.</w:t>
      </w:r>
    </w:p>
    <w:p>
      <w:pPr>
        <w:spacing w:after="0" w:line="141" w:lineRule="exact"/>
        <w:rPr>
          <w:sz w:val="20"/>
          <w:szCs w:val="20"/>
          <w:color w:val="auto"/>
        </w:rPr>
      </w:pPr>
    </w:p>
    <w:p>
      <w:pPr>
        <w:jc w:val="both"/>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aggregate amount of compensation, including both equity compensation and cash compensation, paid to any non-employee director for service as a non-employee director in a calendar year period will not exceed $750,000 (or $1,000,000 for the calendar year in which the applicable non-employee director is initially elected or appointed to our board of directors).</w:t>
      </w:r>
    </w:p>
    <w:p>
      <w:pPr>
        <w:spacing w:after="0" w:line="136"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We will reimburse all reasonable out-of-pocket expenses incurred by non-employee directors in attending meetings of the board of directors and committees thereof.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208</w:t>
      </w:r>
    </w:p>
    <w:p>
      <w:pPr>
        <w:sectPr>
          <w:pgSz w:w="11900" w:h="16838" w:orient="portrait"/>
          <w:cols w:equalWidth="0" w:num="1">
            <w:col w:w="10159"/>
          </w:cols>
          <w:pgMar w:left="300" w:top="386"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77"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In addition to the compensation arrangements, including employment, termination of employment and change in control arrangements, and indemnification arrangements discussed, when required, in the sections titled “Management,” “Executive Compensation” and “Director Compensation” and the registration rights described in the section titled “Description of Capital Stock—Registration Rights,” the following is a description of all transactions since our date of incorporation in April 2024 and each currently proposed transaction in which:</w:t>
      </w:r>
    </w:p>
    <w:p>
      <w:pPr>
        <w:spacing w:after="0" w:line="67" w:lineRule="exact"/>
        <w:rPr>
          <w:sz w:val="20"/>
          <w:szCs w:val="20"/>
          <w:color w:val="auto"/>
        </w:rPr>
      </w:pPr>
    </w:p>
    <w:p>
      <w:pPr>
        <w:ind w:left="2120" w:hanging="345"/>
        <w:spacing w:after="0"/>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or are to be a participant;</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will exceed the lesser of $120,000 or 1% of the average of our total assets at year-end for the last two completed fiscal years; and</w:t>
      </w:r>
    </w:p>
    <w:p>
      <w:pPr>
        <w:spacing w:after="0" w:line="51" w:lineRule="exact"/>
        <w:rPr>
          <w:rFonts w:ascii="Times New Roman" w:cs="Times New Roman" w:eastAsia="Times New Roman" w:hAnsi="Times New Roman"/>
          <w:sz w:val="14"/>
          <w:szCs w:val="14"/>
          <w:color w:val="auto"/>
        </w:rPr>
      </w:pPr>
    </w:p>
    <w:p>
      <w:pPr>
        <w:jc w:val="both"/>
        <w:ind w:left="2120" w:right="579" w:hanging="345"/>
        <w:spacing w:after="0" w:line="267" w:lineRule="auto"/>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Asset Transfer Agreement with PureTech and Convertible Preferred Stock Financing</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In April 2024,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PureTech Health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949,000 shares of our common stock to PureTech LYT.</w:t>
      </w:r>
    </w:p>
    <w:p>
      <w:pPr>
        <w:spacing w:after="0" w:line="144"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In connection with the Asset Transfer Agreement, we have agreed to make milestone payments of up to an aggregate of $10.0 million for the first product covered by assets transferred through the Asset Transfer Agreement, or the Seaport Glyph Product, and up to an aggregate of $5.0 million for each subsequent Seaport Glyph Product that achieves certain developmental and commercial milestones. In addition, we are obligated to pay royalties between 3% and 5% on the annual net sales of each Seaport Glyph Product as follows: less than $500 million: 3%; $500 million to $1 billion: 3.5%; $1 billion to $2.5 billion: 4%; $2.5 billion to $3.5 billion: 4.5%; $3.5 billion or greater: 5%.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For additional information, see “</w:t>
      </w:r>
      <w:r>
        <w:rPr>
          <w:rFonts w:ascii="Times New Roman" w:cs="Times New Roman" w:eastAsia="Times New Roman" w:hAnsi="Times New Roman"/>
          <w:sz w:val="14"/>
          <w:szCs w:val="14"/>
          <w:i w:val="1"/>
          <w:iCs w:val="1"/>
          <w:color w:val="auto"/>
        </w:rPr>
        <w:t>Business-Agreements—Asset Transfer Agreement with PureTech.</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Concurrently, upon entry into the Asset Transfer Agreement, we entered into a stock purchase agreement with PureTech LYT and other third-party investors, in which we issued 26,342,102 shares of our Series A-2 convertible preferred stock, or the Series A Financing, of which 8,421,052 shares were issued and sold to PureTech LYT. PureTech LYT remained a majority investor of Seaport, until the completion of our Series B convertible preferred stock financing, or the Series B Financing, in October 2024, upon which we issued and sold an aggregate amount of 47,578,934 shares of its Series B convertible preferred stock, of which 3,031,578 shares were issued to PureTech LYT, and an aggregate of 494,734 shares issued to certain of our management and board of directors.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Transition Services Agreement with PureTech</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connection with entry into the Asset Transfer Agreement, we also entered into a Transition Services Agreement, or the TSA, with PureTech pursuant to which PureTech agreed to provide us certain services relating to the orderly transition and continued operation on a transitional basis for one year following the entry into the TSA (unless extended by mutual agreement of the parties or the earlier termination of all services provided under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209</w:t>
      </w:r>
    </w:p>
    <w:p>
      <w:pPr>
        <w:sectPr>
          <w:pgSz w:w="11900" w:h="16838" w:orient="portrait"/>
          <w:cols w:equalWidth="0" w:num="1">
            <w:col w:w="10159"/>
          </w:cols>
          <w:pgMar w:left="300" w:top="386"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TSA) in consideration of our payment of all fees associated with the transitioned services. Pursuant to the TSA, we made an upfront payment of $0.5 million to reimburse PureTech for work performed by certain third-parties prior to the closing and have paid an aggregate of $14.2 million of expenses since entering into the Asset Transfer Agreement to advance our programs and activities. In 2025, the TSA was amended to extend through July 2026 to provide ad hoc support as needed; however, the services to be provided under the amended TSA are expected to be de minimis. On April 2, 2026, we and PureTech mutually agreed to terminate the TSA in accordance with its terms.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Series A-2 Convertible Preferred Stock Financing</w:t>
      </w:r>
    </w:p>
    <w:p>
      <w:pPr>
        <w:spacing w:after="0" w:line="93"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In April 2024, we issued and sold to certain investors an aggregate of 26,342,102 of Series A-2 convertible preferred stock at a price per share of $3.80, for an aggregate purchase price of approximately $100.1 million. Each outstanding share of Series A-2 convertible preferred stock will convert into one share of common stock immediately prior to the completion of this offering. The following table summarizes the shares of our Series A-2 convertible preferred stock issued to our related parties:</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 xml:space="preserve">Purchasers </w:t>
            </w:r>
            <w:r>
              <w:rPr>
                <w:rFonts w:ascii="Times New Roman" w:cs="Times New Roman" w:eastAsia="Times New Roman" w:hAnsi="Times New Roman"/>
                <w:sz w:val="8"/>
                <w:szCs w:val="8"/>
                <w:b w:val="1"/>
                <w:bCs w:val="1"/>
                <w:color w:val="auto"/>
                <w:w w:val="98"/>
              </w:rPr>
              <w:t>(1)</w:t>
            </w:r>
          </w:p>
        </w:tc>
        <w:tc>
          <w:tcPr>
            <w:tcW w:w="3400" w:type="dxa"/>
            <w:vAlign w:val="bottom"/>
            <w:vMerge w:val="restart"/>
          </w:tcPr>
          <w:p>
            <w:pPr>
              <w:spacing w:after="0"/>
              <w:rPr>
                <w:sz w:val="11"/>
                <w:szCs w:val="11"/>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Series A Convertible</w:t>
            </w:r>
          </w:p>
        </w:tc>
        <w:tc>
          <w:tcPr>
            <w:tcW w:w="16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Total Purchase Price</w:t>
            </w:r>
          </w:p>
        </w:tc>
        <w:tc>
          <w:tcPr>
            <w:tcW w:w="0" w:type="dxa"/>
            <w:vAlign w:val="bottom"/>
          </w:tcPr>
          <w:p>
            <w:pPr>
              <w:spacing w:after="0"/>
              <w:rPr>
                <w:sz w:val="1"/>
                <w:szCs w:val="1"/>
                <w:color w:val="auto"/>
              </w:rPr>
            </w:pPr>
          </w:p>
        </w:tc>
      </w:tr>
      <w:tr>
        <w:trPr>
          <w:trHeight w:val="144"/>
        </w:trPr>
        <w:tc>
          <w:tcPr>
            <w:tcW w:w="66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jc w:val="right"/>
              <w:ind w:right="37"/>
              <w:spacing w:after="0" w:line="124"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Borders>
              <w:top w:val="single" w:sz="8" w:color="CCEEFF"/>
            </w:tcBorders>
            <w:gridSpan w:val="2"/>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 xml:space="preserve">PureTech LYT, Inc. </w:t>
            </w:r>
            <w:r>
              <w:rPr>
                <w:rFonts w:ascii="Times New Roman" w:cs="Times New Roman" w:eastAsia="Times New Roman" w:hAnsi="Times New Roman"/>
                <w:sz w:val="17"/>
                <w:szCs w:val="17"/>
                <w:color w:val="auto"/>
                <w:vertAlign w:val="superscript"/>
              </w:rPr>
              <w:t>(2)</w:t>
            </w:r>
          </w:p>
        </w:tc>
        <w:tc>
          <w:tcPr>
            <w:tcW w:w="19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8,421,052</w:t>
            </w:r>
          </w:p>
        </w:tc>
        <w:tc>
          <w:tcPr>
            <w:tcW w:w="6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31,999,998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06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ARCH Venture Fund XII, L.P. </w:t>
            </w:r>
            <w:r>
              <w:rPr>
                <w:rFonts w:ascii="Times New Roman" w:cs="Times New Roman" w:eastAsia="Times New Roman" w:hAnsi="Times New Roman"/>
                <w:sz w:val="19"/>
                <w:szCs w:val="19"/>
                <w:color w:val="auto"/>
                <w:vertAlign w:val="superscript"/>
              </w:rPr>
              <w:t>(3)</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7,894,736</w:t>
            </w:r>
          </w:p>
        </w:tc>
        <w:tc>
          <w:tcPr>
            <w:tcW w:w="84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29,999,997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Sofinnova Venture Partners XI, L.P. </w:t>
            </w:r>
            <w:r>
              <w:rPr>
                <w:rFonts w:ascii="Times New Roman" w:cs="Times New Roman" w:eastAsia="Times New Roman" w:hAnsi="Times New Roman"/>
                <w:sz w:val="19"/>
                <w:szCs w:val="19"/>
                <w:color w:val="auto"/>
                <w:vertAlign w:val="superscript"/>
              </w:rPr>
              <w:t>(4)</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6,052,631</w:t>
            </w:r>
          </w:p>
        </w:tc>
        <w:tc>
          <w:tcPr>
            <w:tcW w:w="8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22,999,998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Third Rock Ventures VI, L.P. </w:t>
            </w:r>
            <w:r>
              <w:rPr>
                <w:rFonts w:ascii="Times New Roman" w:cs="Times New Roman" w:eastAsia="Times New Roman" w:hAnsi="Times New Roman"/>
                <w:sz w:val="21"/>
                <w:szCs w:val="21"/>
                <w:color w:val="auto"/>
                <w:vertAlign w:val="superscript"/>
              </w:rPr>
              <w:t>(5)</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3,947,368</w:t>
            </w:r>
          </w:p>
        </w:tc>
        <w:tc>
          <w:tcPr>
            <w:tcW w:w="84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14,999,998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-2540</wp:posOffset>
            </wp:positionV>
            <wp:extent cx="59436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3" w:lineRule="exact"/>
        <w:rPr>
          <w:sz w:val="20"/>
          <w:szCs w:val="20"/>
          <w:color w:val="auto"/>
        </w:rPr>
      </w:pPr>
    </w:p>
    <w:p>
      <w:pPr>
        <w:ind w:left="1700" w:hanging="345"/>
        <w:spacing w:after="0"/>
        <w:tabs>
          <w:tab w:leader="none" w:pos="17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the section titled “Principal Stockholders.”</w:t>
      </w:r>
    </w:p>
    <w:p>
      <w:pPr>
        <w:spacing w:after="0" w:line="21" w:lineRule="exact"/>
        <w:rPr>
          <w:rFonts w:ascii="Times New Roman" w:cs="Times New Roman" w:eastAsia="Times New Roman" w:hAnsi="Times New Roman"/>
          <w:sz w:val="14"/>
          <w:szCs w:val="14"/>
          <w:color w:val="auto"/>
        </w:rPr>
      </w:pPr>
    </w:p>
    <w:p>
      <w:pPr>
        <w:ind w:left="1700" w:right="519" w:hanging="345"/>
        <w:spacing w:after="0" w:line="250" w:lineRule="auto"/>
        <w:tabs>
          <w:tab w:leader="none" w:pos="17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LYT beneficially owns more than 5% of our outstanding capital stock. Dr. Elenko and Mr. Lyne, members of our board of directors, were designated to our board of directors by PureTech LYT and are executive officers at PureTech.</w:t>
      </w:r>
    </w:p>
    <w:p>
      <w:pPr>
        <w:spacing w:after="0" w:line="1" w:lineRule="exact"/>
        <w:rPr>
          <w:rFonts w:ascii="Times New Roman" w:cs="Times New Roman" w:eastAsia="Times New Roman" w:hAnsi="Times New Roman"/>
          <w:sz w:val="14"/>
          <w:szCs w:val="14"/>
          <w:color w:val="auto"/>
        </w:rPr>
      </w:pPr>
    </w:p>
    <w:p>
      <w:pPr>
        <w:ind w:left="1700" w:right="359" w:hanging="345"/>
        <w:spacing w:after="0" w:line="250" w:lineRule="auto"/>
        <w:tabs>
          <w:tab w:leader="none" w:pos="17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ARCH Venture Fund XII, L.P. beneficially owns more than 5% of our outstanding capital stock. Mr. Nelsen, a member of our board of directors, was designated to our board of directors by ARCH Venture Fund XII, L.P. and is a Managing Director of ARCH Venture Partners.</w:t>
      </w:r>
    </w:p>
    <w:p>
      <w:pPr>
        <w:spacing w:after="0" w:line="1" w:lineRule="exact"/>
        <w:rPr>
          <w:rFonts w:ascii="Times New Roman" w:cs="Times New Roman" w:eastAsia="Times New Roman" w:hAnsi="Times New Roman"/>
          <w:sz w:val="14"/>
          <w:szCs w:val="14"/>
          <w:color w:val="auto"/>
        </w:rPr>
      </w:pPr>
    </w:p>
    <w:p>
      <w:pPr>
        <w:ind w:left="1700" w:right="319" w:hanging="345"/>
        <w:spacing w:after="0" w:line="250" w:lineRule="auto"/>
        <w:tabs>
          <w:tab w:leader="none" w:pos="17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Sofinnova beneficially owns more than 5% of our outstanding capital stock. Dr. Healy, a member of our board of directors, was designated to our board of directors by Sofinnova and is a Managing Director of Sofinnova.</w:t>
      </w:r>
    </w:p>
    <w:p>
      <w:pPr>
        <w:spacing w:after="0" w:line="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Rock Ventures beneficially own more than 5% of our outstanding capital stock.</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210</w:t>
      </w:r>
    </w:p>
    <w:p>
      <w:pPr>
        <w:sectPr>
          <w:pgSz w:w="11900" w:h="16838" w:orient="portrait"/>
          <w:cols w:equalWidth="0" w:num="1">
            <w:col w:w="10159"/>
          </w:cols>
          <w:pgMar w:left="300" w:top="386"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Series B Convertible Preferred Stock Financing</w:t>
      </w:r>
    </w:p>
    <w:p>
      <w:pPr>
        <w:spacing w:after="0" w:line="9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In October 2024 and November 2024, we issued and sold to certain investors an aggregate of 47,578,934 shares of Series B convertible preferred stock at a price per share of $4.75, for an aggregate purchase price of approximately $226.0 million. Each outstanding share of Series B convertible preferred stock will convert into one share of common stock immediately prior to the completion of this offering. The following table summarizes the shares of our Series B convertible preferred stock issued to our related parties:</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 xml:space="preserve">Purchasers </w:t>
            </w:r>
            <w:r>
              <w:rPr>
                <w:rFonts w:ascii="Times New Roman" w:cs="Times New Roman" w:eastAsia="Times New Roman" w:hAnsi="Times New Roman"/>
                <w:sz w:val="8"/>
                <w:szCs w:val="8"/>
                <w:b w:val="1"/>
                <w:bCs w:val="1"/>
                <w:color w:val="auto"/>
                <w:w w:val="98"/>
              </w:rPr>
              <w:t>(1)</w:t>
            </w:r>
          </w:p>
        </w:tc>
        <w:tc>
          <w:tcPr>
            <w:tcW w:w="5480" w:type="dxa"/>
            <w:vAlign w:val="bottom"/>
            <w:vMerge w:val="restart"/>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Series B Convertible</w:t>
            </w:r>
          </w:p>
        </w:tc>
        <w:tc>
          <w:tcPr>
            <w:tcW w:w="114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Total Purchase</w:t>
            </w:r>
          </w:p>
        </w:tc>
        <w:tc>
          <w:tcPr>
            <w:tcW w:w="0" w:type="dxa"/>
            <w:vAlign w:val="bottom"/>
          </w:tcPr>
          <w:p>
            <w:pPr>
              <w:spacing w:after="0"/>
              <w:rPr>
                <w:sz w:val="1"/>
                <w:szCs w:val="1"/>
                <w:color w:val="auto"/>
              </w:rPr>
            </w:pPr>
          </w:p>
        </w:tc>
      </w:tr>
      <w:tr>
        <w:trPr>
          <w:trHeight w:val="144"/>
        </w:trPr>
        <w:tc>
          <w:tcPr>
            <w:tcW w:w="66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57"/>
              <w:spacing w:after="0" w:line="124"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49"/>
        </w:trPr>
        <w:tc>
          <w:tcPr>
            <w:tcW w:w="6140" w:type="dxa"/>
            <w:vAlign w:val="bottom"/>
            <w:tcBorders>
              <w:top w:val="single" w:sz="8" w:color="CCEEFF"/>
            </w:tcBorders>
            <w:gridSpan w:val="2"/>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 xml:space="preserve">General Atlantic (SP), L.P. </w:t>
            </w:r>
            <w:r>
              <w:rPr>
                <w:rFonts w:ascii="Times New Roman" w:cs="Times New Roman" w:eastAsia="Times New Roman" w:hAnsi="Times New Roman"/>
                <w:sz w:val="17"/>
                <w:szCs w:val="17"/>
                <w:color w:val="auto"/>
                <w:vertAlign w:val="superscript"/>
              </w:rPr>
              <w:t>(2)</w:t>
            </w:r>
          </w:p>
        </w:tc>
        <w:tc>
          <w:tcPr>
            <w:tcW w:w="3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10,526,315</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49,999,996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ARCH Venture Fund XII, L.P. </w:t>
            </w:r>
            <w:r>
              <w:rPr>
                <w:rFonts w:ascii="Times New Roman" w:cs="Times New Roman" w:eastAsia="Times New Roman" w:hAnsi="Times New Roman"/>
                <w:sz w:val="19"/>
                <w:szCs w:val="19"/>
                <w:color w:val="auto"/>
                <w:vertAlign w:val="superscript"/>
              </w:rPr>
              <w:t>(3)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8,421,052</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39,999,997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PureTech LYT, Inc. </w:t>
            </w:r>
            <w:r>
              <w:rPr>
                <w:rFonts w:ascii="Times New Roman" w:cs="Times New Roman" w:eastAsia="Times New Roman" w:hAnsi="Times New Roman"/>
                <w:sz w:val="19"/>
                <w:szCs w:val="19"/>
                <w:color w:val="auto"/>
                <w:vertAlign w:val="superscript"/>
              </w:rPr>
              <w:t>(4)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3,031,578</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14,399,996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Sofinnova Venture Partners XI, L.P. </w:t>
            </w:r>
            <w:r>
              <w:rPr>
                <w:rFonts w:ascii="Times New Roman" w:cs="Times New Roman" w:eastAsia="Times New Roman" w:hAnsi="Times New Roman"/>
                <w:sz w:val="19"/>
                <w:szCs w:val="19"/>
                <w:color w:val="auto"/>
                <w:vertAlign w:val="superscript"/>
              </w:rPr>
              <w:t>(5)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2,526,315</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11,999,996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Third Rock Ventures VI, L.P. </w:t>
            </w:r>
            <w:r>
              <w:rPr>
                <w:rFonts w:ascii="Times New Roman" w:cs="Times New Roman" w:eastAsia="Times New Roman" w:hAnsi="Times New Roman"/>
                <w:sz w:val="19"/>
                <w:szCs w:val="19"/>
                <w:color w:val="auto"/>
                <w:vertAlign w:val="superscript"/>
              </w:rPr>
              <w:t>(6)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2,526,315</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11,999,996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Steven M. Paul </w:t>
            </w:r>
            <w:r>
              <w:rPr>
                <w:rFonts w:ascii="Times New Roman" w:cs="Times New Roman" w:eastAsia="Times New Roman" w:hAnsi="Times New Roman"/>
                <w:sz w:val="19"/>
                <w:szCs w:val="19"/>
                <w:color w:val="auto"/>
                <w:vertAlign w:val="superscript"/>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210,526</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Lana Gladstein </w:t>
            </w:r>
            <w:r>
              <w:rPr>
                <w:rFonts w:ascii="Times New Roman" w:cs="Times New Roman" w:eastAsia="Times New Roman" w:hAnsi="Times New Roman"/>
                <w:sz w:val="19"/>
                <w:szCs w:val="19"/>
                <w:color w:val="auto"/>
                <w:vertAlign w:val="superscript"/>
              </w:rPr>
              <w:t>(8)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105,263</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499,999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Antony Loebel </w:t>
            </w:r>
            <w:r>
              <w:rPr>
                <w:rFonts w:ascii="Times New Roman" w:cs="Times New Roman" w:eastAsia="Times New Roman" w:hAnsi="Times New Roman"/>
                <w:sz w:val="19"/>
                <w:szCs w:val="19"/>
                <w:color w:val="auto"/>
                <w:vertAlign w:val="superscript"/>
              </w:rPr>
              <w:t>(9)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63,157</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1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Eric D. Green and Jessica Santiago-Green, Trustees, or their Successors in interest, of the Eric D. Green</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40" w:type="dxa"/>
            <w:vAlign w:val="bottom"/>
            <w:gridSpan w:val="2"/>
            <w:shd w:val="clear" w:color="auto" w:fill="CCEEFF"/>
          </w:tcPr>
          <w:p>
            <w:pPr>
              <w:ind w:left="140"/>
              <w:spacing w:after="0" w:line="183" w:lineRule="exact"/>
              <w:rPr>
                <w:sz w:val="20"/>
                <w:szCs w:val="20"/>
                <w:color w:val="auto"/>
              </w:rPr>
            </w:pPr>
            <w:r>
              <w:rPr>
                <w:rFonts w:ascii="Times New Roman" w:cs="Times New Roman" w:eastAsia="Times New Roman" w:hAnsi="Times New Roman"/>
                <w:sz w:val="14"/>
                <w:szCs w:val="14"/>
                <w:color w:val="auto"/>
              </w:rPr>
              <w:t xml:space="preserve">Living Trust dated November 12, 2010 </w:t>
            </w:r>
            <w:r>
              <w:rPr>
                <w:rFonts w:ascii="Times New Roman" w:cs="Times New Roman" w:eastAsia="Times New Roman" w:hAnsi="Times New Roman"/>
                <w:sz w:val="21"/>
                <w:szCs w:val="21"/>
                <w:color w:val="auto"/>
                <w:vertAlign w:val="superscript"/>
              </w:rPr>
              <w:t>(10)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42,105</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Denice M. Torres Revocable Trust </w:t>
            </w:r>
            <w:r>
              <w:rPr>
                <w:rFonts w:ascii="Times New Roman" w:cs="Times New Roman" w:eastAsia="Times New Roman" w:hAnsi="Times New Roman"/>
                <w:sz w:val="21"/>
                <w:szCs w:val="21"/>
                <w:color w:val="auto"/>
                <w:vertAlign w:val="superscript"/>
              </w:rPr>
              <w:t>(11)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42,105</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-2540</wp:posOffset>
            </wp:positionV>
            <wp:extent cx="59436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3" w:lineRule="exact"/>
        <w:rPr>
          <w:sz w:val="20"/>
          <w:szCs w:val="20"/>
          <w:color w:val="auto"/>
        </w:rPr>
      </w:pPr>
    </w:p>
    <w:p>
      <w:pPr>
        <w:ind w:left="1700" w:hanging="345"/>
        <w:spacing w:after="0"/>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the section titled “Principal Stockholders.”</w:t>
      </w:r>
    </w:p>
    <w:p>
      <w:pPr>
        <w:spacing w:after="0" w:line="21" w:lineRule="exact"/>
        <w:rPr>
          <w:rFonts w:ascii="Times New Roman" w:cs="Times New Roman" w:eastAsia="Times New Roman" w:hAnsi="Times New Roman"/>
          <w:sz w:val="14"/>
          <w:szCs w:val="14"/>
          <w:color w:val="auto"/>
        </w:rPr>
      </w:pPr>
    </w:p>
    <w:p>
      <w:pPr>
        <w:ind w:left="1700" w:right="259" w:hanging="345"/>
        <w:spacing w:after="0" w:line="250" w:lineRule="auto"/>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Atlantic beneficially owns more than 5% of our outstanding capital stock. Dr. Pitts, a member of our board of directors, was designated to our board of directors by General Atlantic and is a Principal of General Atlantic.</w:t>
      </w:r>
    </w:p>
    <w:p>
      <w:pPr>
        <w:spacing w:after="0" w:line="1" w:lineRule="exact"/>
        <w:rPr>
          <w:rFonts w:ascii="Times New Roman" w:cs="Times New Roman" w:eastAsia="Times New Roman" w:hAnsi="Times New Roman"/>
          <w:sz w:val="14"/>
          <w:szCs w:val="14"/>
          <w:color w:val="auto"/>
        </w:rPr>
      </w:pPr>
    </w:p>
    <w:p>
      <w:pPr>
        <w:ind w:left="1700" w:right="359" w:hanging="345"/>
        <w:spacing w:after="0" w:line="250" w:lineRule="auto"/>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ARCH Venture Fund XII, L.P. beneficially owns more than 5% of our outstanding capital stock. Mr. Nelsen, a member of our board of directors, was designated to our board of directors by ARCH Venture Fund XII, L.P. and is a Managing Director of ARCH Venture Partners.</w:t>
      </w:r>
    </w:p>
    <w:p>
      <w:pPr>
        <w:spacing w:after="0" w:line="1" w:lineRule="exact"/>
        <w:rPr>
          <w:rFonts w:ascii="Times New Roman" w:cs="Times New Roman" w:eastAsia="Times New Roman" w:hAnsi="Times New Roman"/>
          <w:sz w:val="14"/>
          <w:szCs w:val="14"/>
          <w:color w:val="auto"/>
        </w:rPr>
      </w:pPr>
    </w:p>
    <w:p>
      <w:pPr>
        <w:ind w:left="1700" w:right="519" w:hanging="345"/>
        <w:spacing w:after="0" w:line="250" w:lineRule="auto"/>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LYT beneficially owns more than 5% of our outstanding capital stock. Dr. Elenko and Mr. Lyne, members of our board of directors, were designated to our board of directors by PureTech LYT and are executive officers at PureTech.</w:t>
      </w:r>
    </w:p>
    <w:p>
      <w:pPr>
        <w:spacing w:after="0" w:line="1" w:lineRule="exact"/>
        <w:rPr>
          <w:rFonts w:ascii="Times New Roman" w:cs="Times New Roman" w:eastAsia="Times New Roman" w:hAnsi="Times New Roman"/>
          <w:sz w:val="14"/>
          <w:szCs w:val="14"/>
          <w:color w:val="auto"/>
        </w:rPr>
      </w:pPr>
    </w:p>
    <w:p>
      <w:pPr>
        <w:ind w:left="1700" w:right="319" w:hanging="345"/>
        <w:spacing w:after="0" w:line="250" w:lineRule="auto"/>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Sofinnova beneficially owns more than 5% of our outstanding capital stock. Dr. Healy, a member of our board of directors, was designated to our board of directors by Sofinnova and is a Managing Director of Sofinnova.</w:t>
      </w:r>
    </w:p>
    <w:p>
      <w:pPr>
        <w:spacing w:after="0" w:line="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Rock Ventures beneficially own more than 5% of our outstanding capital stock.</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Steven M. Paul is Chairman and a member of our board of directors and a senior advisor to the Company.</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Lana Gladstein is our General Counsel.</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Antony Loebel is our Chief Medical Officer.</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Eric Green is our former Chief Operating Officer.</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Denice Torres is a member of our board of directors.</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Agreements with Stockholders</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In connection with our Series A-2 and Series B convertible preferred stock financings, we entered into investors’ rights, voting, and right of first refusal and co-sale agreements containing registration rights and information rights, among other things, with certain holders of our preferred stock and certain holders of our common stock, including holders of more than 5% of our capital stock and entities with which certain of our directors or officers are affiliated. These agreements will terminate upon the closing of this offering, except for the registration rights granted under our amended and restated investors’ rights agreement, as more fully described in “Description of Capital Stock—Registration Rights.”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211</w:t>
      </w:r>
    </w:p>
    <w:p>
      <w:pPr>
        <w:sectPr>
          <w:pgSz w:w="11900" w:h="16838" w:orient="portrait"/>
          <w:cols w:equalWidth="0" w:num="1">
            <w:col w:w="10159"/>
          </w:cols>
          <w:pgMar w:left="300" w:top="386"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During the year-ended December 31, 2024, we made payments of $0.2 million to Third Rock Ventures for professional fees. During the year ended December 31, 2025, amounts paid to Third Rock Ventures were not material.</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Management Rights and Side Letters</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In connection with the initial issuance and sale of our convertible preferred stock, we entered into management rights and side letters with certain purchasers of our convertible preferred stock, including holders of more than 5% of our capital stock and entities with which certain of our directors or officers are affiliated, pursuant to which such entities were granted certain management rights, among other things, including the right to consult with and advise our management on significant business issues, review our operating plans, examine our books, and records and inspect our facilities. These management rights letters will terminate upon completion of this offering.</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Steven M. Paul Advisor Agreement</w:t>
      </w:r>
    </w:p>
    <w:p>
      <w:pPr>
        <w:spacing w:after="0" w:line="93"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In February 2024, we entered into a senior advisor agreement with Steven M. Paul, the chair of our board of directors, whereby we pay Dr. Paul an annual fee of $500,000 and agreed that if at any time while Dr. Paul is providing services to us up to and including the closing of an initial public offering, Dr. Paul’s ownership reduces to below 5% of our total outstanding capital on a fully diluted basis including all outstanding options and restricted common stock, we will grant him an additional equity award to maintain his ownership at the 5% threshold.</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Employment and Benefit Arrangements</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We have entered into offer letter or employment agreements with certain of our executive officers, and granted restricted stock and stock options to our executive officers, including an agreement with our Chief Executive Officer pursuant to which we have agreed to maintain our Chief Executive Officer’s ownership at a certain percentage of our shares on a fully diluted basis and an agreement pursuant to which we’ve extended additional benefits to our Chief Executive Officer, as more fully described in the section titled “Executive Compensation.”</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Equity Grants</w:t>
      </w:r>
    </w:p>
    <w:p>
      <w:pPr>
        <w:spacing w:after="0" w:line="93"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have granted restricted stock and options to purchase shares of our common stock to certain of our executive officers and directors. For more information regarding the options granted to our executive officers and directors, see the sections titled “Executive Compensation” and “Director Compensation.”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“Management—Limitations on Liability and Indemnification Agreements.”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93"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At our request, the underwriters have reserved for sale, at the initial public offering price, up to approximately         shares of our common stock being offered hereby (approximately         %) for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212</w:t>
      </w:r>
    </w:p>
    <w:p>
      <w:pPr>
        <w:sectPr>
          <w:pgSz w:w="11900" w:h="16838" w:orient="portrait"/>
          <w:cols w:equalWidth="0" w:num="1">
            <w:col w:w="10159"/>
          </w:cols>
          <w:pgMar w:left="300" w:top="386"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directors, executive officers, employees and business associates.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Policies and Procedures for Transactions with Related Persons</w:t>
      </w:r>
    </w:p>
    <w:p>
      <w:pPr>
        <w:spacing w:after="0" w:line="93" w:lineRule="exact"/>
        <w:rPr>
          <w:sz w:val="20"/>
          <w:szCs w:val="20"/>
          <w:color w:val="auto"/>
        </w:rPr>
      </w:pPr>
    </w:p>
    <w:p>
      <w:pPr>
        <w:ind w:left="1360" w:right="319" w:firstLine="343"/>
        <w:spacing w:after="0" w:line="254" w:lineRule="auto"/>
        <w:rPr>
          <w:sz w:val="20"/>
          <w:szCs w:val="20"/>
          <w:color w:val="auto"/>
        </w:rPr>
      </w:pPr>
      <w:r>
        <w:rPr>
          <w:rFonts w:ascii="Times New Roman" w:cs="Times New Roman" w:eastAsia="Times New Roman" w:hAnsi="Times New Roman"/>
          <w:sz w:val="14"/>
          <w:szCs w:val="14"/>
          <w:color w:val="auto"/>
        </w:rPr>
        <w:t>We have adopted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213</w:t>
      </w:r>
    </w:p>
    <w:p>
      <w:pPr>
        <w:sectPr>
          <w:pgSz w:w="11900" w:h="16838" w:orient="portrait"/>
          <w:cols w:equalWidth="0" w:num="1">
            <w:col w:w="10159"/>
          </w:cols>
          <w:pgMar w:left="300" w:top="386"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information regarding beneficial ownership of our capital stock as of April 1, 2026 by:</w:t>
      </w:r>
    </w:p>
    <w:p>
      <w:pPr>
        <w:spacing w:after="0" w:line="102" w:lineRule="exact"/>
        <w:rPr>
          <w:sz w:val="20"/>
          <w:szCs w:val="20"/>
          <w:color w:val="auto"/>
        </w:rPr>
      </w:pPr>
    </w:p>
    <w:p>
      <w:pPr>
        <w:ind w:left="2120" w:hanging="345"/>
        <w:spacing w:after="0"/>
        <w:tabs>
          <w:tab w:leader="none" w:pos="21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our common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current executive officers and directors as a group.</w:t>
      </w:r>
    </w:p>
    <w:p>
      <w:pPr>
        <w:spacing w:after="0" w:line="175"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April 1,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4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Applicable percentage ownership before the offering is based on an aggregate of 122,072,236 shares of common stock (which includes 381,948 shares of restricted common stock) deemed to be outstanding as of April 1, 2026 after giving effect to the Preferred Stock Conversion.</w:t>
      </w:r>
    </w:p>
    <w:p>
      <w:pPr>
        <w:spacing w:after="0" w:line="12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Applicable percentage ownership after the offering is based on      shares of common stock assumed to be outstanding immediately after the completion of this offering (assuming the sale of       shares of common stock in this offering based on an initial public offering price of $ per share, which is the midpoint of the price range set forth on the cover page of this prospectus, and no exercise of the underwriters’ option to purchase additional shares).</w:t>
      </w:r>
    </w:p>
    <w:p>
      <w:pPr>
        <w:spacing w:after="0" w:line="141" w:lineRule="exact"/>
        <w:rPr>
          <w:sz w:val="20"/>
          <w:szCs w:val="20"/>
          <w:color w:val="auto"/>
        </w:rPr>
      </w:pPr>
    </w:p>
    <w:p>
      <w:pPr>
        <w:jc w:val="both"/>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The following table does not reflect any shares of common stock that may be purchased pursuant to our directed share program described under “Underwriting—Directed Share Program.” If any shares are purchased by our existing principal stockholders, directors or their affiliated entities, the number and percentage of shares of our common stock beneficially owned by them after this offering will differ from those set forth in the following table.</w:t>
      </w:r>
    </w:p>
    <w:p>
      <w:pPr>
        <w:spacing w:after="0" w:line="141"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Unless otherwise indicated, the address for each beneficial owner listed in the table below is c/o Seaport Therapeutics, Inc., 101 Seaport Blvd., Floor 12, Boston, Massachusetts 02210.</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8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Percentage of Shares</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500" w:type="dxa"/>
            <w:vAlign w:val="bottom"/>
          </w:tcPr>
          <w:p>
            <w:pPr>
              <w:spacing w:after="0"/>
              <w:rPr>
                <w:sz w:val="11"/>
                <w:szCs w:val="11"/>
                <w:color w:val="auto"/>
              </w:rPr>
            </w:pPr>
          </w:p>
        </w:tc>
        <w:tc>
          <w:tcPr>
            <w:tcW w:w="148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87"/>
        </w:trPr>
        <w:tc>
          <w:tcPr>
            <w:tcW w:w="1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2360" w:type="dxa"/>
            <w:vAlign w:val="bottom"/>
            <w:vMerge w:val="restart"/>
          </w:tcPr>
          <w:p>
            <w:pPr>
              <w:spacing w:after="0"/>
              <w:rPr>
                <w:sz w:val="7"/>
                <w:szCs w:val="7"/>
                <w:color w:val="auto"/>
              </w:rPr>
            </w:pPr>
          </w:p>
        </w:tc>
        <w:tc>
          <w:tcPr>
            <w:tcW w:w="20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Borders>
              <w:top w:val="single" w:sz="8" w:color="auto"/>
            </w:tcBorders>
            <w:gridSpan w:val="2"/>
          </w:tcPr>
          <w:p>
            <w:pPr>
              <w:jc w:val="right"/>
              <w:ind w:right="420"/>
              <w:spacing w:after="0" w:line="87" w:lineRule="exact"/>
              <w:rPr>
                <w:sz w:val="20"/>
                <w:szCs w:val="20"/>
                <w:color w:val="auto"/>
              </w:rPr>
            </w:pPr>
            <w:r>
              <w:rPr>
                <w:rFonts w:ascii="Times New Roman" w:cs="Times New Roman" w:eastAsia="Times New Roman" w:hAnsi="Times New Roman"/>
                <w:sz w:val="10"/>
                <w:szCs w:val="10"/>
                <w:b w:val="1"/>
                <w:bCs w:val="1"/>
                <w:color w:val="auto"/>
              </w:rPr>
              <w:t>Before</w:t>
            </w:r>
          </w:p>
        </w:tc>
        <w:tc>
          <w:tcPr>
            <w:tcW w:w="2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After</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260" w:type="dxa"/>
            <w:vAlign w:val="bottom"/>
            <w:tcBorders>
              <w:bottom w:val="single" w:sz="8" w:color="auto"/>
            </w:tcBorders>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9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1280" w:type="dxa"/>
            <w:vAlign w:val="bottom"/>
            <w:gridSpan w:val="3"/>
          </w:tcPr>
          <w:p>
            <w:pPr>
              <w:jc w:val="right"/>
              <w:ind w:right="380"/>
              <w:spacing w:after="0" w:line="124"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700" w:type="dxa"/>
            <w:vAlign w:val="bottom"/>
            <w:gridSpan w:val="3"/>
          </w:tcPr>
          <w:p>
            <w:pPr>
              <w:jc w:val="center"/>
              <w:ind w:left="144"/>
              <w:spacing w:after="0" w:line="124"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0" w:type="dxa"/>
            <w:vAlign w:val="bottom"/>
          </w:tcPr>
          <w:p>
            <w:pPr>
              <w:spacing w:after="0"/>
              <w:rPr>
                <w:sz w:val="1"/>
                <w:szCs w:val="1"/>
                <w:color w:val="auto"/>
              </w:rPr>
            </w:pPr>
          </w:p>
        </w:tc>
      </w:tr>
      <w:tr>
        <w:trPr>
          <w:trHeight w:val="139"/>
        </w:trPr>
        <w:tc>
          <w:tcPr>
            <w:tcW w:w="362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Greater than 5% Holders</w:t>
            </w:r>
          </w:p>
        </w:tc>
        <w:tc>
          <w:tcPr>
            <w:tcW w:w="20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PureTech LYT, Inc. </w:t>
            </w:r>
            <w:r>
              <w:rPr>
                <w:rFonts w:ascii="Times New Roman" w:cs="Times New Roman" w:eastAsia="Times New Roman" w:hAnsi="Times New Roman"/>
                <w:sz w:val="19"/>
                <w:szCs w:val="19"/>
                <w:color w:val="auto"/>
                <w:vertAlign w:val="superscript"/>
              </w:rPr>
              <w:t>(1)</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52,402,630</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42.93%</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ARCH Venture Fund XII, L.P. </w:t>
            </w:r>
            <w:r>
              <w:rPr>
                <w:rFonts w:ascii="Times New Roman" w:cs="Times New Roman" w:eastAsia="Times New Roman" w:hAnsi="Times New Roman"/>
                <w:sz w:val="19"/>
                <w:szCs w:val="19"/>
                <w:color w:val="auto"/>
                <w:vertAlign w:val="superscript"/>
              </w:rPr>
              <w:t>(2)</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16,315,788</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13.37%</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General Atlantic (SP), L.P. </w:t>
            </w:r>
            <w:r>
              <w:rPr>
                <w:rFonts w:ascii="Times New Roman" w:cs="Times New Roman" w:eastAsia="Times New Roman" w:hAnsi="Times New Roman"/>
                <w:sz w:val="19"/>
                <w:szCs w:val="19"/>
                <w:color w:val="auto"/>
                <w:vertAlign w:val="superscript"/>
              </w:rPr>
              <w:t>(3)</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10,526,315</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8.62%</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xml:space="preserve">Sofinnova Venture Partners XI, L.P. </w:t>
            </w:r>
            <w:r>
              <w:rPr>
                <w:rFonts w:ascii="Times New Roman" w:cs="Times New Roman" w:eastAsia="Times New Roman" w:hAnsi="Times New Roman"/>
                <w:sz w:val="19"/>
                <w:szCs w:val="19"/>
                <w:color w:val="auto"/>
                <w:vertAlign w:val="superscript"/>
              </w:rPr>
              <w:t>(4)</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8,578,946</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7.03%</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Third Rock Ventures VI, L.P. </w:t>
            </w:r>
            <w:r>
              <w:rPr>
                <w:rFonts w:ascii="Times New Roman" w:cs="Times New Roman" w:eastAsia="Times New Roman" w:hAnsi="Times New Roman"/>
                <w:sz w:val="19"/>
                <w:szCs w:val="19"/>
                <w:color w:val="auto"/>
                <w:vertAlign w:val="superscript"/>
              </w:rPr>
              <w:t>(5)</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6,473,683</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5.30%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20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Daphne Zohar, </w:t>
            </w:r>
            <w:r>
              <w:rPr>
                <w:rFonts w:ascii="Times New Roman" w:cs="Times New Roman" w:eastAsia="Times New Roman" w:hAnsi="Times New Roman"/>
                <w:sz w:val="13"/>
                <w:szCs w:val="13"/>
                <w:i w:val="1"/>
                <w:iCs w:val="1"/>
                <w:color w:val="auto"/>
              </w:rPr>
              <w:t>Chief Executive Officer and Director</w:t>
            </w:r>
            <w:r>
              <w:rPr>
                <w:rFonts w:ascii="Times New Roman" w:cs="Times New Roman" w:eastAsia="Times New Roman" w:hAnsi="Times New Roman"/>
                <w:sz w:val="19"/>
                <w:szCs w:val="19"/>
                <w:color w:val="auto"/>
                <w:vertAlign w:val="superscript"/>
              </w:rPr>
              <w:t>(6)</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10,656,441</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8.26%</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Michael C. Chen</w:t>
            </w:r>
            <w:r>
              <w:rPr>
                <w:rFonts w:ascii="Times New Roman" w:cs="Times New Roman" w:eastAsia="Times New Roman" w:hAnsi="Times New Roman"/>
                <w:sz w:val="19"/>
                <w:szCs w:val="19"/>
                <w:color w:val="auto"/>
                <w:vertAlign w:val="superscript"/>
              </w:rPr>
              <w:t>(7)</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825,328</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Pr>
          <w:p>
            <w:pPr>
              <w:jc w:val="right"/>
              <w:ind w:right="1211"/>
              <w:spacing w:after="0"/>
              <w:rPr>
                <w:sz w:val="20"/>
                <w:szCs w:val="20"/>
                <w:color w:val="auto"/>
              </w:rPr>
            </w:pPr>
            <w:r>
              <w:rPr>
                <w:rFonts w:ascii="Times New Roman" w:cs="Times New Roman" w:eastAsia="Times New Roman" w:hAnsi="Times New Roman"/>
                <w:sz w:val="14"/>
                <w:szCs w:val="14"/>
                <w:color w:val="auto"/>
              </w:rPr>
              <w:t>214</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Shares</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500" w:type="dxa"/>
            <w:vAlign w:val="bottom"/>
          </w:tcPr>
          <w:p>
            <w:pPr>
              <w:spacing w:after="0"/>
              <w:rPr>
                <w:sz w:val="11"/>
                <w:szCs w:val="11"/>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87"/>
        </w:trPr>
        <w:tc>
          <w:tcPr>
            <w:tcW w:w="1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33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Borders>
              <w:top w:val="single" w:sz="8" w:color="auto"/>
            </w:tcBorders>
            <w:gridSpan w:val="2"/>
          </w:tcPr>
          <w:p>
            <w:pPr>
              <w:jc w:val="right"/>
              <w:ind w:right="420"/>
              <w:spacing w:after="0" w:line="87" w:lineRule="exact"/>
              <w:rPr>
                <w:sz w:val="20"/>
                <w:szCs w:val="20"/>
                <w:color w:val="auto"/>
              </w:rPr>
            </w:pPr>
            <w:r>
              <w:rPr>
                <w:rFonts w:ascii="Times New Roman" w:cs="Times New Roman" w:eastAsia="Times New Roman" w:hAnsi="Times New Roman"/>
                <w:sz w:val="10"/>
                <w:szCs w:val="10"/>
                <w:b w:val="1"/>
                <w:bCs w:val="1"/>
                <w:color w:val="auto"/>
              </w:rPr>
              <w:t>Before</w:t>
            </w:r>
          </w:p>
        </w:tc>
        <w:tc>
          <w:tcPr>
            <w:tcW w:w="2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After</w:t>
            </w:r>
          </w:p>
        </w:tc>
        <w:tc>
          <w:tcPr>
            <w:tcW w:w="0" w:type="dxa"/>
            <w:vAlign w:val="bottom"/>
          </w:tcPr>
          <w:p>
            <w:pPr>
              <w:spacing w:after="0"/>
              <w:rPr>
                <w:sz w:val="1"/>
                <w:szCs w:val="1"/>
                <w:color w:val="auto"/>
              </w:rPr>
            </w:pPr>
          </w:p>
        </w:tc>
      </w:tr>
      <w:tr>
        <w:trPr>
          <w:trHeight w:val="129"/>
        </w:trPr>
        <w:tc>
          <w:tcPr>
            <w:tcW w:w="1260" w:type="dxa"/>
            <w:vAlign w:val="bottom"/>
            <w:tcBorders>
              <w:bottom w:val="single" w:sz="8" w:color="auto"/>
            </w:tcBorders>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20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1280" w:type="dxa"/>
            <w:vAlign w:val="bottom"/>
            <w:gridSpan w:val="3"/>
          </w:tcPr>
          <w:p>
            <w:pPr>
              <w:jc w:val="right"/>
              <w:ind w:right="380"/>
              <w:spacing w:after="0" w:line="124"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700" w:type="dxa"/>
            <w:vAlign w:val="bottom"/>
            <w:gridSpan w:val="2"/>
          </w:tcPr>
          <w:p>
            <w:pPr>
              <w:jc w:val="center"/>
              <w:ind w:left="144"/>
              <w:spacing w:after="0" w:line="124"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Antony Loebel, M.D.</w:t>
            </w:r>
            <w:r>
              <w:rPr>
                <w:rFonts w:ascii="Times New Roman" w:cs="Times New Roman" w:eastAsia="Times New Roman" w:hAnsi="Times New Roman"/>
                <w:sz w:val="19"/>
                <w:szCs w:val="19"/>
                <w:color w:val="auto"/>
                <w:vertAlign w:val="superscript"/>
              </w:rPr>
              <w:t>(8)</w:t>
            </w:r>
          </w:p>
        </w:tc>
        <w:tc>
          <w:tcPr>
            <w:tcW w:w="10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gridSpan w:val="2"/>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868,629</w:t>
            </w:r>
          </w:p>
        </w:tc>
        <w:tc>
          <w:tcPr>
            <w:tcW w:w="500" w:type="dxa"/>
            <w:vAlign w:val="bottom"/>
            <w:vMerge w:val="continue"/>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8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Steven M. Paul, M.D.</w:t>
            </w:r>
            <w:r>
              <w:rPr>
                <w:rFonts w:ascii="Times New Roman" w:cs="Times New Roman" w:eastAsia="Times New Roman" w:hAnsi="Times New Roman"/>
                <w:sz w:val="19"/>
                <w:szCs w:val="19"/>
                <w:color w:val="auto"/>
                <w:vertAlign w:val="superscript"/>
              </w:rPr>
              <w:t>(9)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7,279,244</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Eric Elenko, Ph.D.</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James I. Healy, M.D., Ph.D.</w:t>
            </w:r>
            <w:r>
              <w:rPr>
                <w:rFonts w:ascii="Times New Roman" w:cs="Times New Roman" w:eastAsia="Times New Roman" w:hAnsi="Times New Roman"/>
                <w:sz w:val="19"/>
                <w:szCs w:val="19"/>
                <w:color w:val="auto"/>
                <w:vertAlign w:val="superscript"/>
              </w:rPr>
              <w:t>(10)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8,578,946</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7.03%</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Robert J. Hombach</w:t>
            </w:r>
            <w:r>
              <w:rPr>
                <w:rFonts w:ascii="Times New Roman" w:cs="Times New Roman" w:eastAsia="Times New Roman" w:hAnsi="Times New Roman"/>
                <w:sz w:val="19"/>
                <w:szCs w:val="19"/>
                <w:color w:val="auto"/>
                <w:vertAlign w:val="superscript"/>
              </w:rPr>
              <w:t>(11)</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94,097</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Nelsen</w:t>
            </w: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Sandra E. Peterson</w:t>
            </w:r>
            <w:r>
              <w:rPr>
                <w:rFonts w:ascii="Times New Roman" w:cs="Times New Roman" w:eastAsia="Times New Roman" w:hAnsi="Times New Roman"/>
                <w:sz w:val="19"/>
                <w:szCs w:val="19"/>
                <w:color w:val="auto"/>
                <w:vertAlign w:val="superscript"/>
              </w:rPr>
              <w:t>(12)</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114,261</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Jason Pitts, Ph.D.</w:t>
            </w:r>
          </w:p>
        </w:tc>
        <w:tc>
          <w:tcPr>
            <w:tcW w:w="10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Denice Torres, J.D.</w:t>
            </w:r>
            <w:r>
              <w:rPr>
                <w:rFonts w:ascii="Times New Roman" w:cs="Times New Roman" w:eastAsia="Times New Roman" w:hAnsi="Times New Roman"/>
                <w:sz w:val="19"/>
                <w:szCs w:val="19"/>
                <w:color w:val="auto"/>
                <w:vertAlign w:val="superscript"/>
              </w:rPr>
              <w:t>(13)</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210,136</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David Wheadon, M.D.</w:t>
            </w:r>
            <w:r>
              <w:rPr>
                <w:rFonts w:ascii="Times New Roman" w:cs="Times New Roman" w:eastAsia="Times New Roman" w:hAnsi="Times New Roman"/>
                <w:sz w:val="19"/>
                <w:szCs w:val="19"/>
                <w:color w:val="auto"/>
                <w:vertAlign w:val="superscript"/>
              </w:rPr>
              <w:t>(14)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141,146</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Lyne, LLB</w:t>
            </w: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executive officers and directors as a group (15 persons)</w:t>
            </w:r>
            <w:r>
              <w:rPr>
                <w:rFonts w:ascii="Times New Roman" w:cs="Times New Roman" w:eastAsia="Times New Roman" w:hAnsi="Times New Roman"/>
                <w:sz w:val="21"/>
                <w:szCs w:val="21"/>
                <w:color w:val="auto"/>
                <w:vertAlign w:val="superscript"/>
              </w:rPr>
              <w:t>(15)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30,856,646</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22.57%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-2540</wp:posOffset>
            </wp:positionV>
            <wp:extent cx="59436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3" w:lineRule="exact"/>
        <w:rPr>
          <w:sz w:val="20"/>
          <w:szCs w:val="20"/>
          <w:color w:val="auto"/>
        </w:rPr>
      </w:pPr>
    </w:p>
    <w:p>
      <w:pPr>
        <w:ind w:left="1700" w:hanging="345"/>
        <w:spacing w:after="0"/>
        <w:tabs>
          <w:tab w:leader="none" w:pos="17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2" w:lineRule="exact"/>
        <w:rPr>
          <w:sz w:val="20"/>
          <w:szCs w:val="20"/>
          <w:color w:val="auto"/>
        </w:rPr>
      </w:pPr>
    </w:p>
    <w:p>
      <w:pPr>
        <w:ind w:left="1700" w:right="279" w:hanging="345"/>
        <w:spacing w:after="0" w:line="250" w:lineRule="auto"/>
        <w:tabs>
          <w:tab w:leader="none" w:pos="17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950,000 shares of common stock, (ii) 40,000,000 shares of common stock issuable upon conversion of Series A-1 preferred stock, (iii) 8,421,052 shares of common stock issuable upon conversion of Series A-2 preferred stock and (iv) 3,031,578 of common stock issuable upon conversion of Series B preferred stock held by PureTech LYT, Inc. Voting and investment power over the shares held by PureTech LYT, Inc. is exercised by its parent entity, PureTech Health plc. The board of directors of PureTech Health plc consists of Ms. Sharon Barber-Lui, Dr. Michele Holcomb, Dr. John LaMattina, Dr. Robert Langer, Ms. Kiran Mazumdar-Shaw and Robert Lyne. None of the members of the board of directors of PureTech Health plc or PureTech Health LLC has individual voting or investment power with respect to such shares. The address for PureTech Health LLC and the individuals listed above is c/o PureTech Health LLC, 6 Tide Street, Boston, MA 02210.</w:t>
      </w:r>
    </w:p>
    <w:p>
      <w:pPr>
        <w:spacing w:after="0" w:line="3" w:lineRule="exact"/>
        <w:rPr>
          <w:rFonts w:ascii="Times New Roman" w:cs="Times New Roman" w:eastAsia="Times New Roman" w:hAnsi="Times New Roman"/>
          <w:sz w:val="14"/>
          <w:szCs w:val="14"/>
          <w:color w:val="auto"/>
        </w:rPr>
      </w:pPr>
    </w:p>
    <w:p>
      <w:pPr>
        <w:ind w:left="1700" w:right="259" w:hanging="345"/>
        <w:spacing w:after="0" w:line="250" w:lineRule="auto"/>
        <w:tabs>
          <w:tab w:leader="none" w:pos="17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7,894,736 shares of common stock issuable upon conversion of Series A-2 preferred stock and (ii) 8,421,052 shares of common stock issuable upon conversion of Series B preferred stock held by ARCH Venture Fund XII, L.P (“ARCH XII”). ARCH Venture Partners XII, L.P. (AVP XII LP) is the general partner of ARCH XII. ARCH Venture Partners XII, LLC (AVP XII LLC) is the general partner of AVP XII LP. Keith Crandell, Kristina Burow, Steven Gillis and Robert Nelsen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 LLC and the AVP XII LLC Committee Members disclaims beneficial ownership except to the extent of their pecuniary interest therein, if any. The address for ARCH Ventures Partners, L.P. and the individuals listed above is c/o ARCH Ventures Partners L.P., 8755 W. Higgins Rd., Suite 1025, Chicago, IL 60631.</w:t>
      </w:r>
    </w:p>
    <w:p>
      <w:pPr>
        <w:spacing w:after="0" w:line="4" w:lineRule="exact"/>
        <w:rPr>
          <w:rFonts w:ascii="Times New Roman" w:cs="Times New Roman" w:eastAsia="Times New Roman" w:hAnsi="Times New Roman"/>
          <w:sz w:val="14"/>
          <w:szCs w:val="14"/>
          <w:color w:val="auto"/>
        </w:rPr>
      </w:pPr>
    </w:p>
    <w:p>
      <w:pPr>
        <w:ind w:left="1700" w:right="219" w:hanging="345"/>
        <w:spacing w:after="0" w:line="251" w:lineRule="auto"/>
        <w:tabs>
          <w:tab w:leader="none" w:pos="17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10,526,315 shares of common stock issuable upon conversion of Series B preferred stock held by General Atlantic (SP), L.P., or General Atlantic SP. The limited partners that share beneficial ownership of the shares held by General Atlantic SP, or the GA Funds, are General Atlantic Partners 100, L.P., or GAP 100, General Atlantic Partners (Lux), SCSp, or GAP Lux, GAP Coinvestments III, LLC, or GAPCO III, GAP Coinvestments IV, LLC, or GAPCO IV, GAP Coinvestments V, LLC, or GAPCO V, and GAP Coinvestments CDA, L.P., or GAPCO CDA. The general partner of GAP 100 is General Atlantic GenPar, L.P., or GA GenPar. General Atlantic, L.P., or GA LP, which is controlled by the Partnership Committee of GASC MGP, LLC (the “Partnership Committee”), is the managing member of GAPCO III, GAPCO IV and GAPCO V, the general partner of GAPCO CDA and GA GenPar, and the sole member of General Atlantic (SPV) GP, LLC, or GA SPV. The general partner of GAP Lux is General Atlantic GenPar, (Lux) SCSp, or GA GenPar Lux, and the general partner of GA GenPar Lux is General Atlantic (Lux) S.à r.l., or GA Lux. The sole shareholder of GA Lux is General Atlantic GenPar (Bermuda), L.P., or GenPar Bermuda. GAP (Bermuda) L.P., or GAP Bermuda, which is ultimately controlled by the Partnership Committee, is the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215</w:t>
      </w:r>
    </w:p>
    <w:p>
      <w:pPr>
        <w:sectPr>
          <w:pgSz w:w="11900" w:h="16838" w:orient="portrait"/>
          <w:cols w:equalWidth="0" w:num="1">
            <w:col w:w="10159"/>
          </w:cols>
          <w:pgMar w:left="300" w:top="386"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59"/>
        <w:spacing w:after="0" w:line="252" w:lineRule="auto"/>
        <w:rPr>
          <w:sz w:val="20"/>
          <w:szCs w:val="20"/>
          <w:color w:val="auto"/>
        </w:rPr>
      </w:pPr>
      <w:r>
        <w:rPr>
          <w:rFonts w:ascii="Times New Roman" w:cs="Times New Roman" w:eastAsia="Times New Roman" w:hAnsi="Times New Roman"/>
          <w:sz w:val="14"/>
          <w:szCs w:val="14"/>
          <w:color w:val="auto"/>
        </w:rPr>
        <w:t>general partner of GenPar Bermuda. There are six members of the Partnership Committee. The Partnership Committee is comprised of senior Managing Directors of General Atlantic: Mr. William E. Ford (CEO and Chairman), Martin Escobari, Gabriel Caillaux, David Hodgson, Torbjorn Caesar, and Christopher G. Lanning. By virtue of the foregoing, the Reporting Persons may be deemed to share voting power and the power to direct the disposition of the shares that each owns of record. Each of the members of the Partnership Committee disclaims ownership of the shares of common stock reported herein except to the extent he or she has a pecuniary interest therein. GA LP, GAP Bermuda, GA Lux, GA GenPar Lux, GA SPV, and the GA Funds are a “group” within the meaning of Rule 13d-5 of the Securities Exchange Act of 1934, as amended. The mailing address of each of the foregoing entities (other than GAP Lux, GA Lux, GA GenPar Lux, GAP Bermuda and GenPar Bermuda) is c/o General Atlantic Service Company, L.P., 55 East 52nd Street, 33rd Floor, New York, NY 10055. The mailing address of GenPar Bermuda and GAP Bermuda is Clarendon House, 2 Church Street, Hamilton HM 11, Bermuda. The mailing address of GAP Lux, GA GenPar Lux, and GA Lux is 412F, Route d’Esch, L-1471 Luxembourg.</w:t>
      </w:r>
    </w:p>
    <w:p>
      <w:pPr>
        <w:spacing w:after="0" w:line="6" w:lineRule="exact"/>
        <w:rPr>
          <w:sz w:val="20"/>
          <w:szCs w:val="20"/>
          <w:color w:val="auto"/>
        </w:rPr>
      </w:pPr>
    </w:p>
    <w:p>
      <w:pPr>
        <w:ind w:left="1700" w:right="259" w:hanging="345"/>
        <w:spacing w:after="0" w:line="250" w:lineRule="auto"/>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6,052,631 shares of common stock issuable upon conversion of Series A-2 preferred stock and (ii) 2,526,315 shares of common stock issuable upon conversion of Series B preferred stock held by Sofinnova Venture Partners XI, L.P. (“SVP XI”), except that Sofinnova Management XI, L.P. (“SM XI LP”), the general partner of SVP XI, may be deemed to have sole voting power, Sofinnova Management XI, L.L.C. (“SM XI LLC”), the general partner of SM XI LP, may be deemed to have sole voting power, and James I. Healy, M.D., Ph.D. and Maha Katabi, Ph.D., the managing members of SM XI LLC, may be deemed to have shared power to vote these shares. Each of SM XI LP, SM XI LLC, Dr. Healy and Dr. Katabi disclaim beneficial ownership of the shares held by SVP XI, except to the extent of their respective pecuniary interest therein. The principal address for the entities and individuals named in this paragraph is 3000 Sand Hill Road, Building 3-Suite 150, Menlo Park, CA 94025.</w:t>
      </w:r>
    </w:p>
    <w:p>
      <w:pPr>
        <w:spacing w:after="0" w:line="4" w:lineRule="exact"/>
        <w:rPr>
          <w:rFonts w:ascii="Times New Roman" w:cs="Times New Roman" w:eastAsia="Times New Roman" w:hAnsi="Times New Roman"/>
          <w:sz w:val="14"/>
          <w:szCs w:val="14"/>
          <w:color w:val="auto"/>
        </w:rPr>
      </w:pPr>
    </w:p>
    <w:p>
      <w:pPr>
        <w:ind w:left="1700" w:right="239" w:hanging="345"/>
        <w:spacing w:after="0" w:line="250" w:lineRule="auto"/>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3,947,368 shares of common stock issuable upon conversion of Series A-2 preferred stock and (ii) 2,526,315 shares of common stock issuable upon conversion of Series B preferred stock held by Third Rock Ventures VI, L.P., or TRV VI. The sole general partner of TRV VI is Third Rock Ventures GP VI, L.P., or TRV GP VI. The sole general partner of TRV GP VI is TRV GP VI, LLC, or TRV GP VI LLC. Abbie Celniker, Ph.D.; Robert Tepper, M.D.; Reid Huber, Ph.D.; Jeffrey Tong, Ph.D.; Kevin Gillis; and David Kaufman, M.D., Ph.D. are the managing members of TRV GP VI LLC and collectively make voting and investment decisions with respect to shares held by TRV VI. The principal address for the entities and individuals named in this paragraph is 201 Brookline Avenue, Suite 1401, Boston, MA 02215.</w:t>
      </w:r>
    </w:p>
    <w:p>
      <w:pPr>
        <w:spacing w:after="0" w:line="3" w:lineRule="exact"/>
        <w:rPr>
          <w:rFonts w:ascii="Times New Roman" w:cs="Times New Roman" w:eastAsia="Times New Roman" w:hAnsi="Times New Roman"/>
          <w:sz w:val="14"/>
          <w:szCs w:val="14"/>
          <w:color w:val="auto"/>
        </w:rPr>
      </w:pPr>
    </w:p>
    <w:p>
      <w:pPr>
        <w:ind w:left="1700" w:right="699" w:hanging="345"/>
        <w:spacing w:after="0" w:line="250" w:lineRule="auto"/>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3,750,000 shares of common stock and (ii) 6,906,441 shares of common stock underlying outstanding stock options that are immediately exercisable within 60 days of April 1, 2026.</w:t>
      </w:r>
    </w:p>
    <w:p>
      <w:pPr>
        <w:spacing w:after="0" w:line="1" w:lineRule="exact"/>
        <w:rPr>
          <w:rFonts w:ascii="Times New Roman" w:cs="Times New Roman" w:eastAsia="Times New Roman" w:hAnsi="Times New Roman"/>
          <w:sz w:val="14"/>
          <w:szCs w:val="14"/>
          <w:color w:val="auto"/>
        </w:rPr>
      </w:pPr>
    </w:p>
    <w:p>
      <w:pPr>
        <w:ind w:left="1700" w:right="539" w:hanging="345"/>
        <w:spacing w:after="0" w:line="250" w:lineRule="auto"/>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10,526 shares of common stock issuable upon conversion of Series B preferred stock and (ii) 814,802 shares of common stock underlying outstanding stock options that are immediately exercisable within 60 days of April 1, 2026.</w:t>
      </w:r>
    </w:p>
    <w:p>
      <w:pPr>
        <w:spacing w:after="0" w:line="1" w:lineRule="exact"/>
        <w:rPr>
          <w:rFonts w:ascii="Times New Roman" w:cs="Times New Roman" w:eastAsia="Times New Roman" w:hAnsi="Times New Roman"/>
          <w:sz w:val="14"/>
          <w:szCs w:val="14"/>
          <w:color w:val="auto"/>
        </w:rPr>
      </w:pPr>
    </w:p>
    <w:p>
      <w:pPr>
        <w:ind w:left="1700" w:right="539" w:hanging="345"/>
        <w:spacing w:after="0" w:line="250" w:lineRule="auto"/>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63,157 shares of common stock issuable upon conversion of Series B preferred stock and (ii) 805,472 shares of common stock underlying outstanding stock options that are immediately exercisable within 60 days of April 1, 2026.</w:t>
      </w:r>
    </w:p>
    <w:p>
      <w:pPr>
        <w:spacing w:after="0" w:line="1" w:lineRule="exact"/>
        <w:rPr>
          <w:rFonts w:ascii="Times New Roman" w:cs="Times New Roman" w:eastAsia="Times New Roman" w:hAnsi="Times New Roman"/>
          <w:sz w:val="14"/>
          <w:szCs w:val="14"/>
          <w:color w:val="auto"/>
        </w:rPr>
      </w:pPr>
    </w:p>
    <w:p>
      <w:pPr>
        <w:ind w:left="1700" w:right="339" w:hanging="345"/>
        <w:spacing w:after="0" w:line="270" w:lineRule="auto"/>
        <w:tabs>
          <w:tab w:leader="none" w:pos="170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2,500,000 shares of common stock, (ii) 210,526 shares of common stock issuable upon conversion of Series B preferred stock and (iii) 4,568,718 shares of common stock underlying outstanding stock options that are immediately exercisable within 60 days of April 1, 2026.</w:t>
      </w:r>
    </w:p>
    <w:p>
      <w:pPr>
        <w:ind w:left="1700" w:hanging="345"/>
        <w:spacing w:after="0"/>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footnote (4) above.</w:t>
      </w:r>
    </w:p>
    <w:p>
      <w:pPr>
        <w:spacing w:after="0" w:line="7"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94,097 shares of common stock underlying outstanding stock options that are immediately exercisable within 60 days of April 1, 2026.</w:t>
      </w:r>
    </w:p>
    <w:p>
      <w:pPr>
        <w:spacing w:after="0" w:line="18" w:lineRule="exact"/>
        <w:rPr>
          <w:rFonts w:ascii="Times New Roman" w:cs="Times New Roman" w:eastAsia="Times New Roman" w:hAnsi="Times New Roman"/>
          <w:sz w:val="13"/>
          <w:szCs w:val="13"/>
          <w:color w:val="auto"/>
        </w:rPr>
      </w:pPr>
    </w:p>
    <w:p>
      <w:pPr>
        <w:ind w:left="1700" w:right="519" w:hanging="345"/>
        <w:spacing w:after="0" w:line="250" w:lineRule="auto"/>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114,261 shares of common stock underlying outstanding stock options that are immediately exercisable within 60 days of April 1, 2026.</w:t>
      </w:r>
    </w:p>
    <w:p>
      <w:pPr>
        <w:spacing w:after="0" w:line="1" w:lineRule="exact"/>
        <w:rPr>
          <w:rFonts w:ascii="Times New Roman" w:cs="Times New Roman" w:eastAsia="Times New Roman" w:hAnsi="Times New Roman"/>
          <w:sz w:val="14"/>
          <w:szCs w:val="14"/>
          <w:color w:val="auto"/>
        </w:rPr>
      </w:pPr>
    </w:p>
    <w:p>
      <w:pPr>
        <w:ind w:left="1700" w:right="239" w:hanging="345"/>
        <w:spacing w:after="0" w:line="256" w:lineRule="auto"/>
        <w:tabs>
          <w:tab w:leader="none" w:pos="17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42,105 shares of common stock issuable upon conversion of Series B preferred stock held by the Denice M. Torres Revocable Trust and (ii) 168,031 shares of common stock underlying outstanding stock options that are immediately exercisable within 60 days of April 1, 2026. Ms. Torres exercises voting and dispositive power over the shares beneficially owned by the Denice M. Torres Revocable Trust.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216</w:t>
      </w:r>
    </w:p>
    <w:p>
      <w:pPr>
        <w:sectPr>
          <w:pgSz w:w="11900" w:h="16838" w:orient="portrait"/>
          <w:cols w:equalWidth="0" w:num="1">
            <w:col w:w="10159"/>
          </w:cols>
          <w:pgMar w:left="300" w:top="386"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519" w:hanging="345"/>
        <w:spacing w:after="0" w:line="261" w:lineRule="auto"/>
        <w:tabs>
          <w:tab w:leader="none" w:pos="17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141,146 shares of common stock underlying outstanding stock options that are immediately exercisable within 60 days of April 1, 2026.</w:t>
      </w:r>
    </w:p>
    <w:p>
      <w:pPr>
        <w:ind w:left="1700" w:right="299" w:hanging="345"/>
        <w:spacing w:after="0" w:line="254" w:lineRule="auto"/>
        <w:tabs>
          <w:tab w:leader="none" w:pos="17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7,200,000 shares of common stock, (ii) 6,052,631 shares of common stock issuable upon conversion of Series A-2 preferred stock, (iii) 2,978,944 shares of common stock issuable upon conversion of Series B preferred stock and (iii) 14,625,071 shares of common stock underlying outstanding stock options that are immediately exercisable within 60 days of April 1, 2026 held by all of our directors and executive officers as a group.</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217</w:t>
      </w:r>
    </w:p>
    <w:p>
      <w:pPr>
        <w:sectPr>
          <w:pgSz w:w="11900" w:h="16838" w:orient="portrait"/>
          <w:cols w:equalWidth="0" w:num="1">
            <w:col w:w="10159"/>
          </w:cols>
          <w:pgMar w:left="300" w:top="386"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399" w:firstLine="343"/>
        <w:spacing w:after="0" w:line="257" w:lineRule="auto"/>
        <w:rPr>
          <w:sz w:val="20"/>
          <w:szCs w:val="20"/>
          <w:color w:val="auto"/>
        </w:rPr>
      </w:pPr>
      <w:r>
        <w:rPr>
          <w:rFonts w:ascii="Times New Roman" w:cs="Times New Roman" w:eastAsia="Times New Roman" w:hAnsi="Times New Roman"/>
          <w:sz w:val="14"/>
          <w:szCs w:val="14"/>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4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Upon filing of our amended and restated certificate of incorporation and the completion of this offering, our authorized capital stock will consist of 700,000,000 shares of common stock, par value $0.0001 per share, including (i) 500,000,000 shares of voting common stock and (ii) 200,000,000 shares of non-voting common stock and 10,000,000 shares of preferred stock, par value $0.0001 per share, all of which shares of preferred stock will be undesignated.</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there were 8,151,200 shares of common stock outstanding (which includes 486,114 shares of unvested restricted common stock), held of record by 5 stockholders, 40,000,000 shares of Series A-1 preferred stock, 26,342,102 shares of Series A-2 preferred stock and 47,578,934 shares of Series B preferred stock outstanding and held of record by 34 stockholders.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Common Stock and Non-Voting Common Stock</w:t>
      </w:r>
    </w:p>
    <w:p>
      <w:pPr>
        <w:spacing w:after="0" w:line="93" w:lineRule="exact"/>
        <w:rPr>
          <w:sz w:val="20"/>
          <w:szCs w:val="20"/>
          <w:color w:val="auto"/>
        </w:rPr>
      </w:pPr>
    </w:p>
    <w:p>
      <w:pPr>
        <w:ind w:left="1360" w:right="299" w:firstLine="343"/>
        <w:spacing w:after="0" w:line="287" w:lineRule="auto"/>
        <w:rPr>
          <w:sz w:val="20"/>
          <w:szCs w:val="20"/>
          <w:color w:val="auto"/>
        </w:rPr>
      </w:pPr>
      <w:r>
        <w:rPr>
          <w:rFonts w:ascii="Times New Roman" w:cs="Times New Roman" w:eastAsia="Times New Roman" w:hAnsi="Times New Roman"/>
          <w:sz w:val="13"/>
          <w:szCs w:val="13"/>
          <w:color w:val="auto"/>
        </w:rPr>
        <w:t>We will have two series of common stock authorized immediately following this offering: voting common stock and non-voting common stock. We are offering voting common stock in this offering and unless otherwise noted, all references in this prospectus to our “common stock” refer to our voting common stock. The non-voting common stock will not be listed for trading on any securities exchange. Immediately after consummation of this offering, no shares of non-voting common stock will be outstanding, and we have no present intention to issue any shares of non-voting common stock.</w:t>
      </w:r>
    </w:p>
    <w:p>
      <w:pPr>
        <w:spacing w:after="0" w:line="12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voting common stock are entitled to one vote per share of common stock, and holders of our non-voting common stock are not entitled to any votes per share of non-voting common stock, including for the election of directors, and (ii) holders of our voting common stock have no conversion rights, while holders of our non-voting common stock shall have the right to convert each share of our non-voting common stock into one share of voting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amended and restated certificate of incorporation. However, this ownership limitation may be increased or decreased to any other percentage (not to exceed 19.99%) designated by such holder of non-voting common stock upon 61 days’ notice to us. Unless otherwise expressly stated, all references to “common stock” in this prospectus refer to our voting common stock.</w:t>
      </w:r>
    </w:p>
    <w:p>
      <w:pPr>
        <w:spacing w:after="0" w:line="146"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Holders of our voting common stock and non-voting common stock are entitled to receive ratably any dividends declared by our board of directors out of funds legally available for that purpose, subject to any preferential dividend rights of any outstanding preferred stock and the terms of our certificate of incorporation. Our voting common stock and non-voting common stock have no preemptive rights or other subscription rights or redemption or sinking fund provisions.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218</w:t>
      </w:r>
    </w:p>
    <w:p>
      <w:pPr>
        <w:sectPr>
          <w:pgSz w:w="11900" w:h="16838" w:orient="portrait"/>
          <w:cols w:equalWidth="0" w:num="1">
            <w:col w:w="10159"/>
          </w:cols>
          <w:pgMar w:left="300" w:top="386"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and non-voting common stock will be entitled to share ratably in all assets remaining after payment of all debts and other liabilities and any liquidation preference of any outstanding preferred stock subject to the terms of our certificate of incorporation. The shares to be issued by us in this offering will be, when issued and paid for, validly issued, fully paid and non-assessable.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93"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As of December 31, 2025, 27,633,144 shares of common stock were issuable upon the exercise of outstanding stock options under the 2024 Plan, at a weighted-average exercise price of $1.52 per share; no shares of common stock were issuable upon exercise of outstanding stock options outside of our 2024 Plan; and        shares of our common stock that will become available for future issuance under our 2026 Plan, including shares reserved for the IPO Grants,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2024 Plan that expire or are repurchased, forfeited, cancelled, or withheld; and For additional information regarding terms of our equity incentive plans, see the section titled “Executive Compensation—Employee Benefit and Equity Compensation Plans.”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Preferred Stock Conversion in connection with this offering, will initially be entitled to certain rights with respect to registration of such shares under the Securities Act. These shares are referred to as registrable securities. The holders of these registrable securities will possess these registration rights pursuant to the terms of our second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p>
    <w:p>
      <w:pPr>
        <w:spacing w:after="0" w:line="145"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219</w:t>
      </w:r>
    </w:p>
    <w:p>
      <w:pPr>
        <w:sectPr>
          <w:pgSz w:w="11900" w:h="16838" w:orient="portrait"/>
          <w:cols w:equalWidth="0" w:num="1">
            <w:col w:w="10159"/>
          </w:cols>
          <w:pgMar w:left="300" w:top="386"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Demand Registration Rights</w:t>
      </w:r>
    </w:p>
    <w:p>
      <w:pPr>
        <w:spacing w:after="0" w:line="93" w:lineRule="exact"/>
        <w:rPr>
          <w:sz w:val="20"/>
          <w:szCs w:val="20"/>
          <w:color w:val="auto"/>
        </w:rPr>
      </w:pPr>
    </w:p>
    <w:p>
      <w:pPr>
        <w:ind w:left="1360" w:right="439" w:firstLine="343"/>
        <w:spacing w:after="0" w:line="255" w:lineRule="auto"/>
        <w:rPr>
          <w:sz w:val="20"/>
          <w:szCs w:val="20"/>
          <w:color w:val="auto"/>
        </w:rPr>
      </w:pPr>
      <w:r>
        <w:rPr>
          <w:rFonts w:ascii="Times New Roman" w:cs="Times New Roman" w:eastAsia="Times New Roman" w:hAnsi="Times New Roman"/>
          <w:sz w:val="14"/>
          <w:szCs w:val="14"/>
          <w:color w:val="auto"/>
        </w:rPr>
        <w:t>Upon the completion of this offering, holders of         shares of our common stock, including those issuable upon the Preferred Stock Conversion, will be entitled to certain demand registration rights pursuant to that certain Investors’ Rights Agreement, by and between us and the investors party thereto, dated as of October 18, 2024, or the investors’ rights agreement. At any time beginning 180 days after the completion of this offering, the holders of at least 9% of these registrable securities may request that we register all or a portion of their shares. We are not required to effect more than two registration statements which are declared or ordered effective pursuant to these demand registration rights. Such request for registration must cover shares with an anticipated aggregate offering price of at least $15 million, net of any underwriting discounts, selling commissions, and other related expenses. With certain exceptions, we are not required to effect the filing of a registration statement during the period starting with the date of the filing of, and ending on a date 60 days following the effective date of the registration statement for this offering.</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Piggyback Registration Rights</w:t>
      </w:r>
    </w:p>
    <w:p>
      <w:pPr>
        <w:spacing w:after="0" w:line="9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In connection with this offering, holders of 113,921,036 shares of our common stock, including those issuable upon the Preferred Stock Conversion, were entitled to, and the necessary percentage of holders waived, their rights to notice of this offering and to include their shares of registrable securities in this offering pursuant to the investors’ rights agreement. After this offering, in the event that we propose to register any of our securities under the Securities Act, either for our own account or for the account of other security holders, the holders of these registrable securities will be entitled to certain piggyback registration rights allowing such holders to include their shares in such registration, subject to certain marketing and other limitations.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Form S-3 Registration Rights</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Upon the completion of this offering, holders of         shares of our common stock, including those issuable upon the Preferred Stock Conversion, will be entitled to certain Form S-3 registration rights pursuant to the investors’ rights agreement. Holders of at least 9% of these registrable securities can make a request that we register their shares on Form S-3 if we are qualified to file a registration statement on Form S-3 (which qualification may occur no sooner than twelve calendar months after the date of this offering) and if the reasonably anticipated aggregate net proceeds of the shares offered would equal or exceed $5 million, net of any underwriting discounts, selling commissions and other related expenses. We will not be required to effect more than two registrations on Form S-3 within any twelve-month period. The right to have such shares registered on Form S-3 is further subject to other specified conditions and limitations.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Expiration of Registration Rights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demand registration rights and Form S-3 registration rights granted under our Investor Rights Agreement will terminate upon the earliest of</w:t>
      </w:r>
    </w:p>
    <w:p>
      <w:pPr>
        <w:spacing w:after="0" w:line="22" w:lineRule="exact"/>
        <w:rPr>
          <w:sz w:val="20"/>
          <w:szCs w:val="20"/>
          <w:color w:val="auto"/>
        </w:rPr>
      </w:pPr>
    </w:p>
    <w:p>
      <w:pPr>
        <w:ind w:left="1520" w:hanging="165"/>
        <w:spacing w:after="0"/>
        <w:tabs>
          <w:tab w:leader="none" w:pos="15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of a “Deemed Liquidation Event,” as such term is defined in our amended and restated certificate of incorporation (as currently in effect),</w:t>
      </w:r>
    </w:p>
    <w:p>
      <w:pPr>
        <w:spacing w:after="0" w:line="7" w:lineRule="exact"/>
        <w:rPr>
          <w:rFonts w:ascii="Times New Roman" w:cs="Times New Roman" w:eastAsia="Times New Roman" w:hAnsi="Times New Roman"/>
          <w:sz w:val="14"/>
          <w:szCs w:val="14"/>
          <w:color w:val="auto"/>
        </w:rPr>
      </w:pPr>
    </w:p>
    <w:p>
      <w:pPr>
        <w:ind w:left="1360" w:right="319" w:hanging="5"/>
        <w:spacing w:after="0" w:line="254" w:lineRule="auto"/>
        <w:tabs>
          <w:tab w:leader="none" w:pos="1566"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date after the completion of this offering when each holder (A) together with its affiliates (as determined under Rule 144 of the Securities Act) holds less than 1% of our outstanding capital stock and (B) may immediately sell all registrable securities held by such holder pursuant to Rule 144 of the Securities Act without any volume limitations, or another similar exemption, during any three month period without registration, and (iii) the third anniversary of the completion of this offering.</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Effects of Our Certificate of Incorporation and Bylaws and Delaware Law</w:t>
      </w:r>
    </w:p>
    <w:p>
      <w:pPr>
        <w:spacing w:after="0" w:line="93"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220</w:t>
      </w:r>
    </w:p>
    <w:p>
      <w:pPr>
        <w:sectPr>
          <w:pgSz w:w="11900" w:h="16838" w:orient="portrait"/>
          <w:cols w:equalWidth="0" w:num="1">
            <w:col w:w="10159"/>
          </w:cols>
          <w:pgMar w:left="300" w:top="386"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 and Filling Vacancies</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for the division of our board of directors into three classes serving staggered three-year terms, with one class being elected each year. Our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 Written Consent of Stockholders</w:t>
      </w:r>
    </w:p>
    <w:p>
      <w:pPr>
        <w:spacing w:after="0" w:line="93"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Meetings of Stockholders</w:t>
      </w:r>
    </w:p>
    <w:p>
      <w:pPr>
        <w:spacing w:after="0" w:line="93"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Our amended and restated bylaws will establish advance notice procedures with regard to stockholder proposals relating to the nomination of candidates for election as directors or new business to be brought before meetings of our stockholders. These procedures will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will specify the requirements as to form and content of all stockholders’ notices. These requirements may preclude stockholders from bringing matters before the stockholders at an annual or special meeting.</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93" w:lineRule="exact"/>
        <w:rPr>
          <w:sz w:val="20"/>
          <w:szCs w:val="20"/>
          <w:color w:val="auto"/>
        </w:rPr>
      </w:pPr>
    </w:p>
    <w:p>
      <w:pPr>
        <w:ind w:left="1360" w:right="319" w:firstLine="343"/>
        <w:spacing w:after="0" w:line="254" w:lineRule="auto"/>
        <w:rPr>
          <w:sz w:val="20"/>
          <w:szCs w:val="20"/>
          <w:color w:val="auto"/>
        </w:rPr>
      </w:pPr>
      <w:r>
        <w:rPr>
          <w:rFonts w:ascii="Times New Roman" w:cs="Times New Roman" w:eastAsia="Times New Roman" w:hAnsi="Times New Roman"/>
          <w:sz w:val="14"/>
          <w:szCs w:val="14"/>
          <w:color w:val="auto"/>
        </w:rPr>
        <w:t>Any amendment to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221</w:t>
      </w:r>
    </w:p>
    <w:p>
      <w:pPr>
        <w:sectPr>
          <w:pgSz w:w="11900" w:h="16838" w:orient="portrait"/>
          <w:cols w:equalWidth="0" w:num="1">
            <w:col w:w="10159"/>
          </w:cols>
          <w:pgMar w:left="300" w:top="386"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3" w:lineRule="exact"/>
        <w:rPr>
          <w:sz w:val="20"/>
          <w:szCs w:val="20"/>
          <w:color w:val="auto"/>
        </w:rPr>
      </w:pPr>
    </w:p>
    <w:p>
      <w:pPr>
        <w:ind w:left="1360" w:right="239" w:firstLine="343"/>
        <w:spacing w:after="0" w:line="276" w:lineRule="auto"/>
        <w:rPr>
          <w:sz w:val="20"/>
          <w:szCs w:val="20"/>
          <w:color w:val="auto"/>
        </w:rPr>
      </w:pPr>
      <w:r>
        <w:rPr>
          <w:rFonts w:ascii="Times New Roman" w:cs="Times New Roman" w:eastAsia="Times New Roman" w:hAnsi="Times New Roman"/>
          <w:sz w:val="13"/>
          <w:szCs w:val="13"/>
          <w:color w:val="auto"/>
        </w:rPr>
        <w:t>Our amended and restated certificate of incorporation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Section 203 of the Delaware General Corporation Law</w:t>
      </w:r>
    </w:p>
    <w:p>
      <w:pPr>
        <w:spacing w:after="0" w:line="93" w:lineRule="exact"/>
        <w:rPr>
          <w:sz w:val="20"/>
          <w:szCs w:val="20"/>
          <w:color w:val="auto"/>
        </w:rPr>
      </w:pPr>
    </w:p>
    <w:p>
      <w:pPr>
        <w:jc w:val="both"/>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2120" w:right="239" w:hanging="345"/>
        <w:spacing w:after="0" w:line="283" w:lineRule="auto"/>
        <w:tabs>
          <w:tab w:leader="none" w:pos="21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our board of directors approved either the business combination or the transaction which resulted in the stockholder becoming an interested stockholder;</w:t>
      </w:r>
    </w:p>
    <w:p>
      <w:pPr>
        <w:spacing w:after="0" w:line="5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67" w:lineRule="exact"/>
        <w:rPr>
          <w:rFonts w:ascii="Times New Roman" w:cs="Times New Roman" w:eastAsia="Times New Roman" w:hAnsi="Times New Roman"/>
          <w:sz w:val="14"/>
          <w:szCs w:val="14"/>
          <w:color w:val="auto"/>
        </w:rPr>
      </w:pPr>
    </w:p>
    <w:p>
      <w:pPr>
        <w:jc w:val="both"/>
        <w:ind w:left="2120" w:right="359" w:hanging="345"/>
        <w:spacing w:after="0" w:line="267" w:lineRule="auto"/>
        <w:tabs>
          <w:tab w:leader="none" w:pos="21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102" w:lineRule="exact"/>
        <w:rPr>
          <w:sz w:val="20"/>
          <w:szCs w:val="20"/>
          <w:color w:val="auto"/>
        </w:rPr>
      </w:pPr>
    </w:p>
    <w:p>
      <w:pPr>
        <w:ind w:left="2120" w:hanging="345"/>
        <w:spacing w:after="0"/>
        <w:tabs>
          <w:tab w:leader="none" w:pos="21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pledge, or other disposition involving the interested stockholder of 10% or more of the assets of the corporation;</w:t>
      </w:r>
    </w:p>
    <w:p>
      <w:pPr>
        <w:spacing w:after="0" w:line="101" w:lineRule="exact"/>
        <w:rPr>
          <w:rFonts w:ascii="Times New Roman" w:cs="Times New Roman" w:eastAsia="Times New Roman" w:hAnsi="Times New Roman"/>
          <w:sz w:val="14"/>
          <w:szCs w:val="14"/>
          <w:color w:val="auto"/>
        </w:rPr>
      </w:pPr>
    </w:p>
    <w:p>
      <w:pPr>
        <w:ind w:left="2120" w:right="659" w:hanging="345"/>
        <w:spacing w:after="0" w:line="283" w:lineRule="auto"/>
        <w:tabs>
          <w:tab w:leader="none" w:pos="21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or transfer by the corporation of any stock of the corporation to the interested stockholder;</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222</w:t>
      </w:r>
    </w:p>
    <w:p>
      <w:pPr>
        <w:sectPr>
          <w:pgSz w:w="11900" w:h="16838" w:orient="portrait"/>
          <w:cols w:equalWidth="0" w:num="1">
            <w:col w:w="10159"/>
          </w:cols>
          <w:pgMar w:left="300" w:top="386"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39" w:hanging="345"/>
        <w:spacing w:after="0" w:line="283"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4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4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41"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Additionally, our amended and restated bylaws will provide that any person or entity holding, owning or otherwise acquiring any interest in any of our securities shall be deemed to have notice of and consented to these provisions.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See the section titled “Management—Limitations on Liability and Indemnification Agreements.”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223</w:t>
      </w:r>
    </w:p>
    <w:p>
      <w:pPr>
        <w:sectPr>
          <w:pgSz w:w="11900" w:h="16838" w:orient="portrait"/>
          <w:cols w:equalWidth="0" w:num="1">
            <w:col w:w="10159"/>
          </w:cols>
          <w:pgMar w:left="300" w:top="386"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93"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currently not listed on any securities exchange. We have applied to have our common stock approved for listing on the Nasdaq Global Market under the symbol “SPTX.” The non-voting common stock will not be listed for trading on any securities exchange.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Transfer Agent and Registrar for our common stock will be Computershare Trust Company, N.A. The transfer agent’s address is 150 Royall Street, Suite 101, Canton, MA 02021.</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224</w:t>
      </w:r>
    </w:p>
    <w:p>
      <w:pPr>
        <w:sectPr>
          <w:pgSz w:w="11900" w:h="16838" w:orient="portrait"/>
          <w:cols w:equalWidth="0" w:num="1">
            <w:col w:w="10159"/>
          </w:cols>
          <w:pgMar w:left="300" w:top="386"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7"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have applied to list our common stock on the Nasdaq Global Market, we cannot assure you that there will be an active public market for our common stock.</w:t>
      </w:r>
    </w:p>
    <w:p>
      <w:pPr>
        <w:spacing w:after="0" w:line="141"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Following the completion of this offering, based on our shares outstanding as of December 31, 2025, a total of         shares of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general, under Rule 144 as currently in effect, once we have been subject to public company reporting requirements of Section 13 or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15(d) of the Exchange Act for at least 90 days, an eligible stockholder is entitled to sell such shares without complying with the manner of sale,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volume limitation, or notice provisions of Rule 144, subject to compliance with the public information requirements of Rule 144. To be an eligible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stockholder under Rule 144, such stockholder must not be deemed to have been one of our affiliates for purposes of the Securities Act at any time during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90 days preceding a sale and must have beneficially owned the shares proposed to be sold for at least six months, including the holding period of any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prior owner other than our affiliates. If such a person has beneficially owned the shares proposed to be sold for at least one year, including the holding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period of any prior owner other than our affiliates, then such person is entitled to sell such shares without complying with any of the requirements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Rule 144, subject to the expiration of the lock-up agreements described below.</w:t>
      </w:r>
    </w:p>
    <w:p>
      <w:pPr>
        <w:spacing w:after="0" w:line="161"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62" w:lineRule="exact"/>
        <w:rPr>
          <w:sz w:val="20"/>
          <w:szCs w:val="20"/>
          <w:color w:val="auto"/>
        </w:rPr>
      </w:pPr>
    </w:p>
    <w:p>
      <w:pPr>
        <w:ind w:left="2120" w:right="479" w:hanging="345"/>
        <w:spacing w:after="0" w:line="283" w:lineRule="auto"/>
        <w:tabs>
          <w:tab w:leader="none" w:pos="21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common stock then outstanding, which will equal approximately         shares immediately after this offering, assuming no exercise of the underwriters’ option to purchase additional shares of common stock from us; or</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our common stock on the Nasdaq Global Market during the four calendar weeks preceding the filing of a notice on Form 144 with respect to such sale.</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93" w:lineRule="exact"/>
        <w:rPr>
          <w:sz w:val="20"/>
          <w:szCs w:val="20"/>
          <w:color w:val="auto"/>
        </w:rPr>
      </w:pPr>
    </w:p>
    <w:p>
      <w:pPr>
        <w:ind w:left="1360" w:right="279" w:firstLine="343"/>
        <w:spacing w:after="0" w:line="275" w:lineRule="auto"/>
        <w:rPr>
          <w:sz w:val="20"/>
          <w:szCs w:val="20"/>
          <w:color w:val="auto"/>
        </w:rPr>
      </w:pPr>
      <w:r>
        <w:rPr>
          <w:rFonts w:ascii="Times New Roman" w:cs="Times New Roman" w:eastAsia="Times New Roman" w:hAnsi="Times New Roman"/>
          <w:sz w:val="13"/>
          <w:szCs w:val="13"/>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w:t>
      </w:r>
    </w:p>
    <w:p>
      <w:pPr>
        <w:spacing w:after="0" w:line="2" w:lineRule="exact"/>
        <w:rPr>
          <w:sz w:val="20"/>
          <w:szCs w:val="20"/>
          <w:color w:val="auto"/>
        </w:rPr>
      </w:pPr>
    </w:p>
    <w:p>
      <w:pPr>
        <w:ind w:left="1360" w:right="359" w:hanging="5"/>
        <w:spacing w:after="0" w:line="261" w:lineRule="auto"/>
        <w:tabs>
          <w:tab w:leader="none" w:pos="16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holders of Rule 701 shares, however, are required by that rule to wait until 90 days after the date of this prospectus before selling those shares under Rule 701, subject to the expiration of the lock-up agreements described below.</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225</w:t>
      </w:r>
    </w:p>
    <w:p>
      <w:pPr>
        <w:sectPr>
          <w:pgSz w:w="11900" w:h="16838" w:orient="portrait"/>
          <w:cols w:equalWidth="0" w:num="1">
            <w:col w:w="10159"/>
          </w:cols>
          <w:pgMar w:left="300" w:top="386"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Form S-8 Registration Statements</w:t>
      </w:r>
    </w:p>
    <w:p>
      <w:pPr>
        <w:spacing w:after="0" w:line="9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intend to file one or more registration statements on Form S-8 under the Securities Act with the SEC to register the offer and sale of shares of our common stock that are issuable under the 2024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Lock-up Arrangements</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Goldman Sachs &amp; Co. LLC and J.P. Morgan Securities LLC and the Company, subject to certain exceptions. For more information, see the section titled “Underwriting.”</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For more information, see the section titled “Description of Capital Stock— Registration Rights.”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226</w:t>
      </w:r>
    </w:p>
    <w:p>
      <w:pPr>
        <w:sectPr>
          <w:pgSz w:w="11900" w:h="16838" w:orient="portrait"/>
          <w:cols w:equalWidth="0" w:num="1">
            <w:col w:w="10159"/>
          </w:cols>
          <w:pgMar w:left="300" w:top="38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FOR NON-U.S. HOLDERS</w:t>
      </w:r>
    </w:p>
    <w:p>
      <w:pPr>
        <w:spacing w:after="0" w:line="177"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following discussion is a summary of material U.S. federal income tax consequences to non-U.S. holders (as defined below) of the purchase, ownership, and disposition of our common stock issued pursuant to this offering. This discussion is based on the Internal Revenue Code of 1986, as amended, or the Code, Treasury Regulations promulgated thereunder, published rulings, and administrative pronouncements of the U.S. Internal Revenue Service, or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44"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72" w:lineRule="exact"/>
        <w:rPr>
          <w:sz w:val="20"/>
          <w:szCs w:val="20"/>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long-term residents of the United States;</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pass-through or disregarded entities for U.S. federal income tax purposes (and investors therein);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w:t>
      </w:r>
    </w:p>
    <w:p>
      <w:pPr>
        <w:spacing w:after="0" w:line="10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mutual funds, financial institutions, investment funds, insurance companies, brokers, dealers, or traders in stock, securities, commodities or currencies;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and governmental organizations;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 our common stock through the exercise of an option or otherwise as compensation;</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have owned, actually or constructively, more than 5% of our common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have elected to mark securities to market; and</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hedging or conversion transaction or straddle, or synthetic security or a constructive sale, or other risk reduction strategy or integrated investment.</w:t>
      </w:r>
    </w:p>
    <w:p>
      <w:pPr>
        <w:spacing w:after="0" w:line="125" w:lineRule="exact"/>
        <w:rPr>
          <w:sz w:val="20"/>
          <w:szCs w:val="20"/>
          <w:color w:val="auto"/>
        </w:rPr>
      </w:pPr>
    </w:p>
    <w:p>
      <w:pPr>
        <w:ind w:left="1360" w:right="519" w:firstLine="343"/>
        <w:spacing w:after="0" w:line="261" w:lineRule="auto"/>
        <w:rPr>
          <w:sz w:val="20"/>
          <w:szCs w:val="20"/>
          <w:color w:val="auto"/>
        </w:rPr>
      </w:pPr>
      <w:r>
        <w:rPr>
          <w:rFonts w:ascii="Times New Roman" w:cs="Times New Roman" w:eastAsia="Times New Roman" w:hAnsi="Times New Roman"/>
          <w:sz w:val="14"/>
          <w:szCs w:val="14"/>
          <w:color w:val="auto"/>
        </w:rPr>
        <w:t>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owning and disposing of our common stock.</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227</w:t>
      </w:r>
    </w:p>
    <w:p>
      <w:pPr>
        <w:sectPr>
          <w:pgSz w:w="11900" w:h="16838" w:orient="portrait"/>
          <w:cols w:equalWidth="0" w:num="1">
            <w:col w:w="10159"/>
          </w:cols>
          <w:pgMar w:left="300" w:top="386"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OR UNDER ANY APPLICABLE INCOME TAX TREATY.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Definition of Non-U.S. Holder</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common stock that is for U.S. federal income tax purposes:</w:t>
      </w:r>
    </w:p>
    <w:p>
      <w:pPr>
        <w:spacing w:after="0" w:line="102" w:lineRule="exact"/>
        <w:rPr>
          <w:sz w:val="20"/>
          <w:szCs w:val="20"/>
          <w:color w:val="auto"/>
        </w:rPr>
      </w:pPr>
    </w:p>
    <w:p>
      <w:pPr>
        <w:ind w:left="2120" w:hanging="345"/>
        <w:spacing w:after="0"/>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organization taxable as a corporation for U.S. federal income taxes that is not created or organized under the laws of the United States, any state thereof, or the District of Columbia;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trust or estate, the income of which is not subject to U.S. federal income tax on a net income basis.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 on Our Common Stock</w:t>
      </w:r>
    </w:p>
    <w:p>
      <w:pPr>
        <w:spacing w:after="0" w:line="9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As described under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excess will be treated as gain realized on the sale or other disposition of our common stock and will be treated as described under “—Gain on sale or other taxable disposition of our common stock” below.</w:t>
      </w:r>
    </w:p>
    <w:p>
      <w:pPr>
        <w:spacing w:after="0" w:line="145"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withholding agent with a timely and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p>
    <w:p>
      <w:pPr>
        <w:spacing w:after="0" w:line="143"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However, any such effectively connected dividends paid on our common stock generally will be subject to U.S. federal income tax on a net income basis at the regular U.S. federal income tax rates in the same manner as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228</w:t>
      </w:r>
    </w:p>
    <w:p>
      <w:pPr>
        <w:sectPr>
          <w:pgSz w:w="11900" w:h="16838" w:orient="portrait"/>
          <w:cols w:equalWidth="0" w:num="1">
            <w:col w:w="10159"/>
          </w:cols>
          <w:pgMar w:left="300" w:top="386"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39"/>
        <w:spacing w:after="0" w:line="283" w:lineRule="auto"/>
        <w:rPr>
          <w:sz w:val="20"/>
          <w:szCs w:val="20"/>
          <w:color w:val="auto"/>
        </w:rPr>
      </w:pPr>
      <w:r>
        <w:rPr>
          <w:rFonts w:ascii="Times New Roman" w:cs="Times New Roman" w:eastAsia="Times New Roman" w:hAnsi="Times New Roman"/>
          <w:sz w:val="14"/>
          <w:szCs w:val="14"/>
          <w:color w:val="auto"/>
        </w:rPr>
        <w:t>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p>
    <w:p>
      <w:pPr>
        <w:spacing w:after="0" w:line="125"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Gain on Disposition of Our Common Stock</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Subject to the discussions below regarding backup withholding and FATCA (as defined below), a non-U.S. holder generally will not be subject to</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U.S. federal income tax on any gain realized on the sale or other taxable disposition of our common stock, unless:</w:t>
      </w:r>
    </w:p>
    <w:p>
      <w:pPr>
        <w:spacing w:after="0" w:line="87" w:lineRule="exact"/>
        <w:rPr>
          <w:sz w:val="20"/>
          <w:szCs w:val="20"/>
          <w:color w:val="auto"/>
        </w:rPr>
      </w:pPr>
    </w:p>
    <w:p>
      <w:pPr>
        <w:ind w:left="2120" w:right="459" w:hanging="345"/>
        <w:spacing w:after="0" w:line="267" w:lineRule="auto"/>
        <w:tabs>
          <w:tab w:leader="none" w:pos="21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6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a period or periods aggregating 183 days or more during the taxable year of the disposition, and certain other requirements are met; or</w:t>
      </w:r>
    </w:p>
    <w:p>
      <w:pPr>
        <w:spacing w:after="0" w:line="51" w:lineRule="exact"/>
        <w:rPr>
          <w:rFonts w:ascii="Times New Roman" w:cs="Times New Roman" w:eastAsia="Times New Roman" w:hAnsi="Times New Roman"/>
          <w:sz w:val="14"/>
          <w:szCs w:val="14"/>
          <w:color w:val="auto"/>
        </w:rPr>
      </w:pPr>
    </w:p>
    <w:p>
      <w:pPr>
        <w:ind w:left="2120" w:right="319" w:hanging="345"/>
        <w:spacing w:after="0" w:line="258" w:lineRule="auto"/>
        <w:tabs>
          <w:tab w:leader="none" w:pos="21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p>
    <w:p>
      <w:pPr>
        <w:spacing w:after="0" w:line="14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41"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Gain described in the second bullet point above will be subject to U.S. federal income tax at a flat 30% rate (or such lower rate specified by an applicable income tax treaty), but may be offset by certain U.S.- source capital losses of the non-U.S. holder (even though the individual is not considered a resident of the United States), provided that the non-U.S. holder has timely filed U.S. federal income tax returns with respect to such losses.</w:t>
      </w:r>
    </w:p>
    <w:p>
      <w:pPr>
        <w:spacing w:after="0" w:line="136" w:lineRule="exact"/>
        <w:rPr>
          <w:sz w:val="20"/>
          <w:szCs w:val="20"/>
          <w:color w:val="auto"/>
        </w:rPr>
      </w:pPr>
    </w:p>
    <w:p>
      <w:pPr>
        <w:ind w:left="1360" w:right="359" w:firstLine="343"/>
        <w:spacing w:after="0" w:line="254" w:lineRule="auto"/>
        <w:rPr>
          <w:sz w:val="20"/>
          <w:szCs w:val="20"/>
          <w:color w:val="auto"/>
        </w:rPr>
      </w:pPr>
      <w:r>
        <w:rPr>
          <w:rFonts w:ascii="Times New Roman" w:cs="Times New Roman" w:eastAsia="Times New Roman" w:hAnsi="Times New Roman"/>
          <w:sz w:val="14"/>
          <w:szCs w:val="14"/>
          <w:color w:val="auto"/>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have been, are or were to become a USRPHC.</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229</w:t>
      </w:r>
    </w:p>
    <w:p>
      <w:pPr>
        <w:sectPr>
          <w:pgSz w:w="11900" w:h="16838" w:orient="portrait"/>
          <w:cols w:equalWidth="0" w:num="1">
            <w:col w:w="10159"/>
          </w:cols>
          <w:pgMar w:left="300" w:top="386"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 rules.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49"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Withholding on Foreign Entities</w:t>
      </w:r>
    </w:p>
    <w:p>
      <w:pPr>
        <w:spacing w:after="0" w:line="93"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U.S.-source dividends or interest. Under these proposed Treasury Regulations (which may be relied upon by taxpayers prior to finalization), FATCA withholding does not apply to gross proceeds from sales or other dispositions of our common stock.</w:t>
      </w:r>
    </w:p>
    <w:p>
      <w:pPr>
        <w:spacing w:after="0" w:line="149"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Prospective investors are encouraged to consult with their tax advisors regarding the possible implications of FATCA on their investment in our common stock.</w:t>
      </w:r>
    </w:p>
    <w:p>
      <w:pPr>
        <w:spacing w:after="0" w:line="125" w:lineRule="exact"/>
        <w:rPr>
          <w:sz w:val="20"/>
          <w:szCs w:val="20"/>
          <w:color w:val="auto"/>
        </w:rPr>
      </w:pP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230</w:t>
      </w:r>
    </w:p>
    <w:p>
      <w:pPr>
        <w:sectPr>
          <w:pgSz w:w="11900" w:h="16838" w:orient="portrait"/>
          <w:cols w:equalWidth="0" w:num="1">
            <w:col w:w="10159"/>
          </w:cols>
          <w:pgMar w:left="300" w:top="386"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7"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J.P. Morgan Securities LLC, and Leerink Partners LLC are the representatives of the underwriters.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55"/>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4360" w:type="dxa"/>
            <w:vAlign w:val="bottom"/>
          </w:tcPr>
          <w:p>
            <w:pPr>
              <w:spacing w:after="0"/>
              <w:rPr>
                <w:sz w:val="13"/>
                <w:szCs w:val="13"/>
                <w:color w:val="auto"/>
              </w:rPr>
            </w:pPr>
          </w:p>
        </w:tc>
        <w:tc>
          <w:tcPr>
            <w:tcW w:w="3560" w:type="dxa"/>
            <w:vAlign w:val="bottom"/>
            <w:gridSpan w:val="3"/>
          </w:tcPr>
          <w:p>
            <w:pPr>
              <w:ind w:left="2640"/>
              <w:spacing w:after="0"/>
              <w:rPr>
                <w:sz w:val="20"/>
                <w:szCs w:val="20"/>
                <w:color w:val="auto"/>
              </w:rPr>
            </w:pPr>
            <w:r>
              <w:rPr>
                <w:rFonts w:ascii="Times New Roman" w:cs="Times New Roman" w:eastAsia="Times New Roman" w:hAnsi="Times New Roman"/>
                <w:sz w:val="11"/>
                <w:szCs w:val="11"/>
                <w:b w:val="1"/>
                <w:bCs w:val="1"/>
                <w:color w:val="auto"/>
              </w:rPr>
              <w:t>Number of Shares</w:t>
            </w:r>
          </w:p>
        </w:tc>
      </w:tr>
      <w:tr>
        <w:trPr>
          <w:trHeight w:val="149"/>
        </w:trPr>
        <w:tc>
          <w:tcPr>
            <w:tcW w:w="50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Goldman Sachs &amp; Co. LLC</w:t>
            </w:r>
          </w:p>
        </w:tc>
        <w:tc>
          <w:tcPr>
            <w:tcW w:w="26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2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Leerink Partners LLC</w:t>
            </w:r>
          </w:p>
        </w:tc>
        <w:tc>
          <w:tcPr>
            <w:tcW w:w="26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2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Stifel, Nicolaus &amp; Company, Incorporated</w:t>
            </w:r>
          </w:p>
        </w:tc>
        <w:tc>
          <w:tcPr>
            <w:tcW w:w="264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9"/>
        </w:trPr>
        <w:tc>
          <w:tcPr>
            <w:tcW w:w="50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25"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underwriters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36"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shows the per share and total estimated underwriting discounts and commissions to be paid to the underwriters by us. Such amounts are shown assuming both no exercise and full exercise of the underwriters’ option to purchase         additional shares of our common stock from us.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7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200" w:type="dxa"/>
            <w:vAlign w:val="bottom"/>
          </w:tcPr>
          <w:p>
            <w:pPr>
              <w:spacing w:after="0"/>
              <w:rPr>
                <w:sz w:val="11"/>
                <w:szCs w:val="11"/>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59"/>
        </w:trPr>
        <w:tc>
          <w:tcPr>
            <w:tcW w:w="3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Per Share</w:t>
            </w:r>
          </w:p>
        </w:tc>
        <w:tc>
          <w:tcPr>
            <w:tcW w:w="3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center"/>
              <w:ind w:right="17"/>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center"/>
              <w:ind w:right="30"/>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top w:val="single" w:sz="8" w:color="CCEEFF"/>
            </w:tcBorders>
            <w:shd w:val="clear" w:color="auto" w:fill="CCEEFF"/>
          </w:tcPr>
          <w:p>
            <w:pPr>
              <w:spacing w:after="0"/>
              <w:rPr>
                <w:sz w:val="13"/>
                <w:szCs w:val="13"/>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139" w:lineRule="exact"/>
        <w:rPr>
          <w:sz w:val="20"/>
          <w:szCs w:val="20"/>
          <w:color w:val="auto"/>
        </w:rPr>
      </w:pPr>
    </w:p>
    <w:p>
      <w:pPr>
        <w:jc w:val="both"/>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or collectively, the Lock-Up Securities, during the period from the date of this prospectus continuing through the date 180 days after the date of this prospectus, except with the prior written consent of Goldman Sachs &amp; Co. LLC and J.P. Morgan Securities LLC and the Company. This agreement does not apply to any existing employee benefit plans. See the section titled “Shares Available for Future Sale” for a discussion of certain transfer restrictions.</w:t>
      </w:r>
    </w:p>
    <w:p>
      <w:pPr>
        <w:spacing w:after="0" w:line="143"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earnings prospects of us, an assessment of our management and the consideration of the above factors in relation to market valuation of companies in related businesses.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231</w:t>
      </w:r>
    </w:p>
    <w:p>
      <w:pPr>
        <w:sectPr>
          <w:pgSz w:w="11900" w:h="16838" w:orient="portrait"/>
          <w:cols w:equalWidth="0" w:num="1">
            <w:col w:w="10159"/>
          </w:cols>
          <w:pgMar w:left="300" w:top="386"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have applied to list our common stock on the Nasdaq Global Market under the symbol “SPTX.”</w:t>
      </w:r>
    </w:p>
    <w:p>
      <w:pPr>
        <w:spacing w:after="0" w:line="17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49"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6"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44"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the estimated underwriting discounts and commissions, will be approximately $        . We have agreed to reimburse the underwriters for certain of their expenses in an amount up to $        .</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have agreed to indemnify the several underwriters against certain liabilities, including liabilities under the Securities Act of 1933.</w:t>
      </w:r>
    </w:p>
    <w:p>
      <w:pPr>
        <w:spacing w:after="0" w:line="175"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44"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232</w:t>
      </w:r>
    </w:p>
    <w:p>
      <w:pPr>
        <w:sectPr>
          <w:pgSz w:w="11900" w:h="16838" w:orient="portrait"/>
          <w:cols w:equalWidth="0" w:num="1">
            <w:col w:w="10159"/>
          </w:cols>
          <w:pgMar w:left="300" w:top="386"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9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At our request, the underwriters have reserved up to   % of the common stock offered by this prospectus for sale at the initial public offering price for sale at the initial public offering price to our directors, officers, certain employees and certain other persons associated with us. The sales will be made by Goldman Sachs &amp; Co. LLC through a directed share program. We do not know if these persons will choose to purchase all or any portion of these reserved shares, but any purchases they do make will reduce the number of shares of common stock available to the general public. Any reserved shares not so purchased will be offered by the underwriters to the general public on the same terms as the other shares of common stock. Except for reserved shares purchased by our executive officers and directors, these reserved shares will not be subject to the lock-up restrictions described elsewhere in this prospectus. We have agreed to indemnify Goldman Sachs &amp; Co. LLC against certain liabilities and expenses, including liabilities under the Securities Act of 1933, as amended, or the Securities Act, in connection with the sales of the directed shares.</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European Economic Area</w:t>
      </w:r>
    </w:p>
    <w:p>
      <w:pPr>
        <w:spacing w:after="0" w:line="93" w:lineRule="exact"/>
        <w:rPr>
          <w:sz w:val="20"/>
          <w:szCs w:val="20"/>
          <w:color w:val="auto"/>
        </w:rPr>
      </w:pPr>
    </w:p>
    <w:p>
      <w:pPr>
        <w:jc w:val="both"/>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In relation to each Member State of the EEA, or, each, a Relevant Member State, an offer to the public of any shares may not be made in that Relevant Member State, except that an offer to the public in that Relevant Member State of any shares may be made at any time under the following exemptions under the EU Prospectus Regulation:</w:t>
      </w:r>
    </w:p>
    <w:p>
      <w:pPr>
        <w:spacing w:after="0" w:line="62" w:lineRule="exact"/>
        <w:rPr>
          <w:sz w:val="20"/>
          <w:szCs w:val="20"/>
          <w:color w:val="auto"/>
        </w:rPr>
      </w:pPr>
    </w:p>
    <w:p>
      <w:pPr>
        <w:ind w:left="2120" w:hanging="429"/>
        <w:spacing w:after="0"/>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EU Prospectus Regulation;</w:t>
      </w:r>
    </w:p>
    <w:p>
      <w:pPr>
        <w:spacing w:after="0" w:line="101" w:lineRule="exact"/>
        <w:rPr>
          <w:rFonts w:ascii="Times New Roman" w:cs="Times New Roman" w:eastAsia="Times New Roman" w:hAnsi="Times New Roman"/>
          <w:sz w:val="14"/>
          <w:szCs w:val="14"/>
          <w:color w:val="auto"/>
        </w:rPr>
      </w:pPr>
    </w:p>
    <w:p>
      <w:pPr>
        <w:ind w:left="2120" w:right="539" w:hanging="429"/>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EU Prospectus Regulation), subject to obtaining the prior consent of the underwriters for any such offer; or</w:t>
      </w:r>
    </w:p>
    <w:p>
      <w:pPr>
        <w:spacing w:after="0" w:line="5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EU Prospectus Regulation,</w:t>
      </w:r>
    </w:p>
    <w:p>
      <w:pPr>
        <w:spacing w:after="0" w:line="175"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provided that no such offer of shares shall result in a requirement for the Company or any of the underwriters to publish a prospectus pursuant to Article 3 of the Prospectus Regulation or a supplemental prospectus pursuant to Article 23 of the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EU Prospectus Regulation.</w:t>
      </w:r>
    </w:p>
    <w:p>
      <w:pPr>
        <w:spacing w:after="0" w:line="141"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4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Notwithstanding the above, a person who is not a “qualified investor” and who has notified the underwriters of such fact in writing may, with the prior consent of the underwriters, be permitted to acquire shares in the offer.</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233</w:t>
      </w:r>
    </w:p>
    <w:p>
      <w:pPr>
        <w:sectPr>
          <w:pgSz w:w="11900" w:h="16838" w:orient="portrait"/>
          <w:cols w:equalWidth="0" w:num="1">
            <w:col w:w="10159"/>
          </w:cols>
          <w:pgMar w:left="300" w:top="386"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“EU Prospectus Regulation” means Regulation (EU) 2017/1129.</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United Kingdom</w:t>
      </w:r>
    </w:p>
    <w:p>
      <w:pPr>
        <w:spacing w:after="0" w:line="93"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An offer to the public of any shares may not be made in the UK, except that an offer to the public in the UK of any shares may be made at any time under the following exemptions under the UK Prospectus Regulation:</w:t>
      </w:r>
    </w:p>
    <w:p>
      <w:pPr>
        <w:spacing w:after="0" w:line="51" w:lineRule="exact"/>
        <w:rPr>
          <w:sz w:val="20"/>
          <w:szCs w:val="20"/>
          <w:color w:val="auto"/>
        </w:rPr>
      </w:pPr>
    </w:p>
    <w:p>
      <w:pPr>
        <w:ind w:left="2120" w:hanging="429"/>
        <w:spacing w:after="0"/>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UK Prospectus Regulation;</w:t>
      </w:r>
    </w:p>
    <w:p>
      <w:pPr>
        <w:spacing w:after="0" w:line="101" w:lineRule="exact"/>
        <w:rPr>
          <w:rFonts w:ascii="Times New Roman" w:cs="Times New Roman" w:eastAsia="Times New Roman" w:hAnsi="Times New Roman"/>
          <w:sz w:val="14"/>
          <w:szCs w:val="14"/>
          <w:color w:val="auto"/>
        </w:rPr>
      </w:pPr>
    </w:p>
    <w:p>
      <w:pPr>
        <w:ind w:left="2120" w:right="519" w:hanging="429"/>
        <w:spacing w:after="0" w:line="283"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UK Prospectus Regulation), subject to obtaining the prior consent of the underwriters for any such offer; or</w:t>
      </w:r>
    </w:p>
    <w:p>
      <w:pPr>
        <w:spacing w:after="0" w:line="51"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Financial Services and Markets Act 2000, as amended, or the FSMA,</w:t>
      </w:r>
    </w:p>
    <w:p>
      <w:pPr>
        <w:spacing w:after="0" w:line="175"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provided that no such offer of shares shall result in a requirement for the Company or any Bookrunner to publish a prospectus pursuant to section 85 of the FSMA or a supplemental prospectus pursuant to Article 23 of the UK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UK Prospectus Regulation.</w:t>
      </w:r>
    </w:p>
    <w:p>
      <w:pPr>
        <w:spacing w:after="0" w:line="141"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UK to qualified investors as so defined or in circumstances in which the prior consent of the underwriters has been obtained to each such proposed offer or resale.</w:t>
      </w:r>
    </w:p>
    <w:p>
      <w:pPr>
        <w:spacing w:after="0" w:line="144"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underwriters, be permitted to acquire shares in the offer.</w:t>
      </w:r>
    </w:p>
    <w:p>
      <w:pPr>
        <w:spacing w:after="0" w:line="136"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This Prospectus is only being distributed to and is only directed at: (A) persons who are outside the UK; or (B) qualified investors who are also</w:t>
      </w:r>
    </w:p>
    <w:p>
      <w:pPr>
        <w:spacing w:after="0" w:line="22" w:lineRule="exact"/>
        <w:rPr>
          <w:sz w:val="20"/>
          <w:szCs w:val="20"/>
          <w:color w:val="auto"/>
        </w:rPr>
      </w:pPr>
    </w:p>
    <w:p>
      <w:pPr>
        <w:ind w:left="1360" w:right="299" w:hanging="5"/>
        <w:spacing w:after="0" w:line="270" w:lineRule="auto"/>
        <w:tabs>
          <w:tab w:leader="none" w:pos="1527"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professionals falling within Article 19(5) of the FSMA (Financial Promotion) Order 2005, or the Order, or (ii) high net worth companies, and other persons to whom it may lawfully be communicated, falling within Article 49(2)(a) to (d) of the Order, or, all such persons falling within (1)-</w:t>
      </w:r>
    </w:p>
    <w:p>
      <w:pPr>
        <w:ind w:left="1360" w:right="51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Canada</w:t>
      </w:r>
    </w:p>
    <w:p>
      <w:pPr>
        <w:spacing w:after="0" w:line="9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 shares may be sold in Canada only to purchasers purchasing, or deemed to be purchasing, as principal that are accredited investors, as defined in National Instrument 45-106 Prospectus Exemptions or subsection 73.3(1) of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234</w:t>
      </w:r>
    </w:p>
    <w:p>
      <w:pPr>
        <w:sectPr>
          <w:pgSz w:w="11900" w:h="16838" w:orient="portrait"/>
          <w:cols w:equalWidth="0" w:num="1">
            <w:col w:w="10159"/>
          </w:cols>
          <w:pgMar w:left="300" w:top="386"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3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Hong Kong</w:t>
      </w:r>
    </w:p>
    <w:p>
      <w:pPr>
        <w:spacing w:after="0" w:line="9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Singapore</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4"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235</w:t>
      </w:r>
    </w:p>
    <w:p>
      <w:pPr>
        <w:sectPr>
          <w:pgSz w:w="11900" w:h="16838" w:orient="portrait"/>
          <w:cols w:equalWidth="0" w:num="1">
            <w:col w:w="10159"/>
          </w:cols>
          <w:pgMar w:left="300" w:top="386"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275(2) of the SFA), (2) where such transfer arises from an offer in that corporation’s securities pursuant to Section 275(1A) of the SFA,</w:t>
      </w:r>
    </w:p>
    <w:p>
      <w:pPr>
        <w:spacing w:after="0" w:line="22" w:lineRule="exact"/>
        <w:rPr>
          <w:sz w:val="20"/>
          <w:szCs w:val="20"/>
          <w:color w:val="auto"/>
        </w:rPr>
      </w:pPr>
    </w:p>
    <w:p>
      <w:pPr>
        <w:ind w:left="1360" w:right="259" w:hanging="5"/>
        <w:spacing w:after="0" w:line="256" w:lineRule="auto"/>
        <w:tabs>
          <w:tab w:leader="none" w:pos="155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 is a trust (where the trustee is not an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accredited investor (as defined in Section 4A of the SFA)) whose sole purpose is to hold investments and each beneficiary of the trust is an accredited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investor, the beneficiaries’ rights and interest (howsoever described) in that trust shall not be transferable for 6 months after that trust has acquired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 under Section 275 of the SFA except: (1) to an institutional investor under Section 274 of the SFA or to a relevant person (as defined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275(2) of the SFA), (2) where such transfer arises from an offer that is made on terms that such rights or interest are acquired at a consideration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 not less than $200,000 (or its equivalent in a foreign currency) for each transaction (whether such amount is to be paid for in cash or by exchange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securities or other assets), (3) where no consideration is or will be given for the transfer, (4) where the transfer is by operation of law, (5) as specified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276(7) of the SFA, or (6) as specified in Regulation 32.</w:t>
      </w:r>
    </w:p>
    <w:p>
      <w:pPr>
        <w:spacing w:after="0" w:line="2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Japan</w:t>
      </w:r>
    </w:p>
    <w:p>
      <w:pPr>
        <w:spacing w:after="0" w:line="93"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Dubai International Financial Centre</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Markets Rules 2012 of the Dubai Financial Services Authority, or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common stock offered should conduct their own due diligence on the shares of common stock. If you do not understand the contents of this prospectus you should consult an authorized financial advisor.</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Australia</w:t>
      </w:r>
    </w:p>
    <w:p>
      <w:pPr>
        <w:spacing w:after="0" w:line="93"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41"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236</w:t>
      </w:r>
    </w:p>
    <w:p>
      <w:pPr>
        <w:sectPr>
          <w:pgSz w:w="11900" w:h="16838" w:orient="portrait"/>
          <w:cols w:equalWidth="0" w:num="1">
            <w:col w:w="10159"/>
          </w:cols>
          <w:pgMar w:left="300" w:top="386"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87" w:lineRule="auto"/>
        <w:rPr>
          <w:sz w:val="20"/>
          <w:szCs w:val="20"/>
          <w:color w:val="auto"/>
        </w:rPr>
      </w:pPr>
      <w:r>
        <w:rPr>
          <w:rFonts w:ascii="Times New Roman" w:cs="Times New Roman" w:eastAsia="Times New Roman" w:hAnsi="Times New Roman"/>
          <w:sz w:val="13"/>
          <w:szCs w:val="13"/>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w:t>
      </w:r>
    </w:p>
    <w:p>
      <w:pPr>
        <w:spacing w:after="0" w:line="126"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Israel</w:t>
      </w:r>
    </w:p>
    <w:p>
      <w:pPr>
        <w:spacing w:after="0" w:line="9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Brazil</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The offer and sale of the shares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237</w:t>
      </w:r>
    </w:p>
    <w:p>
      <w:pPr>
        <w:sectPr>
          <w:pgSz w:w="11900" w:h="16838" w:orient="portrait"/>
          <w:cols w:equalWidth="0" w:num="1">
            <w:col w:w="10159"/>
          </w:cols>
          <w:pgMar w:left="300" w:top="386"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The validity of the shares of our common stock being offered in this prospectus will be passed upon for us by Goodwin Procter LLP. Certain legal matters in connection with this offering will be passed upon for the underwriters by Latham &amp; Watkins LLP, New York, New York.</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financial statements as of December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0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7"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S-1 (File Number 333-        )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4"/>
          <w:szCs w:val="14"/>
          <w:i w:val="1"/>
          <w:iCs w:val="1"/>
          <w:color w:val="auto"/>
        </w:rPr>
        <w:t>www.sec.gov/edgar.</w:t>
      </w:r>
    </w:p>
    <w:p>
      <w:pPr>
        <w:spacing w:after="0" w:line="149"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p>
    <w:p>
      <w:pPr>
        <w:spacing w:after="0" w:line="13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www.seaporttx.com</w:t>
      </w:r>
      <w:r>
        <w:rPr>
          <w:rFonts w:ascii="Times New Roman" w:cs="Times New Roman" w:eastAsia="Times New Roman" w:hAnsi="Times New Roman"/>
          <w:sz w:val="14"/>
          <w:szCs w:val="14"/>
          <w:color w:val="auto"/>
        </w:rPr>
        <w:t>.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238</w:t>
      </w:r>
    </w:p>
    <w:p>
      <w:pPr>
        <w:sectPr>
          <w:pgSz w:w="11900" w:h="16838" w:orient="portrait"/>
          <w:cols w:equalWidth="0" w:num="1">
            <w:col w:w="10159"/>
          </w:cols>
          <w:pgMar w:left="300" w:top="386"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9"/>
              </w:rPr>
              <w:t>Report of Independent Registered Public Accounting Firm</w:t>
            </w:r>
          </w:p>
        </w:tc>
        <w:tc>
          <w:tcPr>
            <w:tcW w:w="4580" w:type="dxa"/>
            <w:vAlign w:val="bottom"/>
            <w:gridSpan w:val="5"/>
          </w:tcPr>
          <w:p>
            <w:pPr>
              <w:spacing w:after="0"/>
              <w:rPr>
                <w:sz w:val="13"/>
                <w:szCs w:val="13"/>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2"/>
              </w:rPr>
              <w:t>F-2</w:t>
            </w:r>
          </w:p>
        </w:tc>
      </w:tr>
      <w:tr>
        <w:trPr>
          <w:trHeight w:val="201"/>
        </w:trPr>
        <w:tc>
          <w:tcPr>
            <w:tcW w:w="3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9"/>
              </w:rPr>
              <w:t>Consolidated Balance Sheets as of December 31, 2025 and 2024</w:t>
            </w:r>
          </w:p>
        </w:tc>
        <w:tc>
          <w:tcPr>
            <w:tcW w:w="4240" w:type="dxa"/>
            <w:vAlign w:val="bottom"/>
            <w:gridSpan w:val="4"/>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2"/>
              </w:rPr>
              <w:t>F-3</w:t>
            </w:r>
          </w:p>
        </w:tc>
      </w:tr>
      <w:tr>
        <w:trPr>
          <w:trHeight w:val="201"/>
        </w:trPr>
        <w:tc>
          <w:tcPr>
            <w:tcW w:w="6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Consolidated Statements of Operations and Comprehensive Loss for the years ended December 31, 2025 and 2024</w:t>
            </w:r>
          </w:p>
        </w:tc>
        <w:tc>
          <w:tcPr>
            <w:tcW w:w="1420" w:type="dxa"/>
            <w:vAlign w:val="bottom"/>
            <w:gridSpan w:val="2"/>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2"/>
              </w:rPr>
              <w:t>F-4</w:t>
            </w:r>
          </w:p>
        </w:tc>
      </w:tr>
      <w:tr>
        <w:trPr>
          <w:trHeight w:val="201"/>
        </w:trPr>
        <w:tc>
          <w:tcPr>
            <w:tcW w:w="786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Consolidated Statements of Convertible Preferred Stock and Stockholders’ Deficit for the years ended December 31, 2025 and 2024</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2"/>
              </w:rPr>
              <w:t>F-5</w:t>
            </w:r>
          </w:p>
        </w:tc>
      </w:tr>
      <w:tr>
        <w:trPr>
          <w:trHeight w:val="201"/>
        </w:trPr>
        <w:tc>
          <w:tcPr>
            <w:tcW w:w="50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2025 and 2024</w:t>
            </w:r>
          </w:p>
        </w:tc>
        <w:tc>
          <w:tcPr>
            <w:tcW w:w="2340" w:type="dxa"/>
            <w:vAlign w:val="bottom"/>
            <w:tcBorders>
              <w:top w:val="single" w:sz="8" w:color="0000EE"/>
            </w:tcBorders>
            <w:gridSpan w:val="2"/>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2"/>
              </w:rPr>
              <w:t>F-6</w:t>
            </w:r>
          </w:p>
        </w:tc>
      </w:tr>
      <w:tr>
        <w:trPr>
          <w:trHeight w:val="201"/>
        </w:trPr>
        <w:tc>
          <w:tcPr>
            <w:tcW w:w="786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2"/>
              </w:rPr>
              <w:t>F-7</w:t>
            </w:r>
          </w:p>
        </w:tc>
      </w:tr>
      <w:tr>
        <w:trPr>
          <w:trHeight w:val="295"/>
        </w:trPr>
        <w:tc>
          <w:tcPr>
            <w:tcW w:w="23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4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F-1</w:t>
            </w:r>
          </w:p>
        </w:tc>
        <w:tc>
          <w:tcPr>
            <w:tcW w:w="68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Board of Directors and Stockholders of Seaport Therapeutics, Inc.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Seaport Therapeutics, Inc. and its subsidiaries (the “Company”) as of December 31, 2025 and 2024, and the related consolidated statements of operations and comprehensive loss, of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93"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6" w:lineRule="exact"/>
        <w:rPr>
          <w:sz w:val="20"/>
          <w:szCs w:val="20"/>
          <w:color w:val="auto"/>
        </w:rPr>
      </w:pPr>
    </w:p>
    <w:p>
      <w:pPr>
        <w:jc w:val="both"/>
        <w:ind w:left="1360" w:right="319"/>
        <w:spacing w:after="0" w:line="25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February 27, 2026</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386"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678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3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46,042</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309,099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investments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assets—operating leases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249,009</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4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Related party payable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Series A-1 convertible preferred stock, par value $0.0001; 40,000,000 shares authorized, issued, and outstanding;</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liquidation preference of $4,000 as of December 31, 2025 and 2024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4"/>
        </w:trPr>
        <w:tc>
          <w:tcPr>
            <w:tcW w:w="67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Series A-2 convertible preferred stock, par value $0.0001; 26,342,102 shares authorized, issued and outstanding;</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liquidation preference of $100,100 as of December 31, 2025 and 2024</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7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Series B convertible preferred stock, par value $0.0001; 47,578,938 shares authorized; 47,578,934 shares issued and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liquidation preference of $226,000 as of December 31, 2025 and 2024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Common stock, par value $0.0001; 159,070,000 shares authorized; 8,151,200 and 8,150,000 shares issued and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outstanding as of December 31, 2025 and 2024, respectively</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8"/>
              </w:rPr>
              <w:t>(114,109)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(39,228)</w:t>
            </w:r>
          </w:p>
        </w:tc>
        <w:tc>
          <w:tcPr>
            <w:tcW w:w="0" w:type="dxa"/>
            <w:vAlign w:val="bottom"/>
          </w:tcPr>
          <w:p>
            <w:pPr>
              <w:spacing w:after="0"/>
              <w:rPr>
                <w:sz w:val="1"/>
                <w:szCs w:val="1"/>
                <w:color w:val="auto"/>
              </w:rPr>
            </w:pPr>
          </w:p>
        </w:tc>
      </w:tr>
      <w:tr>
        <w:trPr>
          <w:trHeight w:val="170"/>
        </w:trPr>
        <w:tc>
          <w:tcPr>
            <w:tcW w:w="67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convertible preferred stock and stockholders’ deficit</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249,009</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386"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57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20" w:type="dxa"/>
            <w:vAlign w:val="bottom"/>
            <w:gridSpan w:val="2"/>
          </w:tcPr>
          <w:p>
            <w:pPr>
              <w:ind w:left="260"/>
              <w:spacing w:after="0" w:line="154" w:lineRule="exact"/>
              <w:rPr>
                <w:sz w:val="20"/>
                <w:szCs w:val="20"/>
                <w:color w:val="auto"/>
              </w:rPr>
            </w:pPr>
            <w:r>
              <w:rPr>
                <w:rFonts w:ascii="Times New Roman" w:cs="Times New Roman" w:eastAsia="Times New Roman" w:hAnsi="Times New Roman"/>
                <w:sz w:val="12"/>
                <w:szCs w:val="12"/>
                <w:color w:val="auto"/>
              </w:rPr>
              <w:t xml:space="preserve">Research and development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(including stock-based compensation expense of $2.3 million and $0.7 million</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for 2025 and 2024, respectively)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66,313</w:t>
            </w:r>
          </w:p>
        </w:tc>
        <w:tc>
          <w:tcPr>
            <w:tcW w:w="2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20" w:type="dxa"/>
            <w:vAlign w:val="bottom"/>
            <w:gridSpan w:val="2"/>
            <w:shd w:val="clear" w:color="auto" w:fill="CCEEFF"/>
          </w:tcPr>
          <w:p>
            <w:pPr>
              <w:ind w:left="260"/>
              <w:spacing w:after="0" w:line="154" w:lineRule="exact"/>
              <w:rPr>
                <w:sz w:val="20"/>
                <w:szCs w:val="20"/>
                <w:color w:val="auto"/>
              </w:rPr>
            </w:pPr>
            <w:r>
              <w:rPr>
                <w:rFonts w:ascii="Times New Roman" w:cs="Times New Roman" w:eastAsia="Times New Roman" w:hAnsi="Times New Roman"/>
                <w:sz w:val="12"/>
                <w:szCs w:val="12"/>
                <w:color w:val="auto"/>
              </w:rPr>
              <w:t xml:space="preserve">General and administrative </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(including stock-based compensation expense of $4.6 million and $15.2 million</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for 2025 and 2024, respectively)</w:t>
            </w:r>
          </w:p>
        </w:tc>
        <w:tc>
          <w:tcPr>
            <w:tcW w:w="1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20,981</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87,294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(87,294)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 net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(expense), net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Total other income, net</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(74,108)</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(74,881)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(46,879)</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(74,580)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(10.04</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(15.83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20" w:type="dxa"/>
            <w:vAlign w:val="bottom"/>
            <w:gridSpan w:val="2"/>
            <w:shd w:val="clear" w:color="auto" w:fill="CCEEFF"/>
          </w:tcPr>
          <w:p>
            <w:pPr>
              <w:ind w:left="260"/>
              <w:spacing w:after="0" w:line="150" w:lineRule="exact"/>
              <w:rPr>
                <w:sz w:val="20"/>
                <w:szCs w:val="20"/>
                <w:color w:val="auto"/>
              </w:rPr>
            </w:pPr>
            <w:r>
              <w:rPr>
                <w:rFonts w:ascii="Times New Roman" w:cs="Times New Roman" w:eastAsia="Times New Roman" w:hAnsi="Times New Roman"/>
                <w:sz w:val="14"/>
                <w:szCs w:val="14"/>
                <w:color w:val="auto"/>
              </w:rPr>
              <w:t>Weighted-average common shares outstanding, basic and diluted</w:t>
            </w: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7,456,011</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2,961,543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00" w:right="359" w:hanging="345"/>
        <w:spacing w:after="0" w:line="261" w:lineRule="auto"/>
        <w:tabs>
          <w:tab w:leader="none" w:pos="17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related-party amounts of $0.3 million and $14.2 million for research and development expenses for the years ended December 31, 2025 and 2024, respectively. See Note 17—Related Parties.</w:t>
      </w:r>
    </w:p>
    <w:p>
      <w:pPr>
        <w:ind w:left="1700" w:right="399" w:hanging="345"/>
        <w:spacing w:after="0" w:line="261" w:lineRule="auto"/>
        <w:tabs>
          <w:tab w:leader="none" w:pos="17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related-party amounts of $0.1 million and $5.8 million for general and administrative expenses for the years ended December 31, 2025 and 2024, respectively. See Note 17—Related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386"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Convertible Preferred Stock and Stockholders’ Deficit</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860" w:type="dxa"/>
            <w:vAlign w:val="bottom"/>
          </w:tcPr>
          <w:p>
            <w:pPr>
              <w:spacing w:after="0"/>
              <w:rPr>
                <w:sz w:val="11"/>
                <w:szCs w:val="11"/>
                <w:color w:val="auto"/>
              </w:rPr>
            </w:pPr>
          </w:p>
        </w:tc>
        <w:tc>
          <w:tcPr>
            <w:tcW w:w="800" w:type="dxa"/>
            <w:vAlign w:val="bottom"/>
            <w:gridSpan w:val="3"/>
          </w:tcPr>
          <w:p>
            <w:pPr>
              <w:jc w:val="center"/>
              <w:ind w:left="144"/>
              <w:spacing w:after="0"/>
              <w:rPr>
                <w:sz w:val="20"/>
                <w:szCs w:val="20"/>
                <w:color w:val="auto"/>
              </w:rPr>
            </w:pPr>
            <w:r>
              <w:rPr>
                <w:rFonts w:ascii="Times New Roman" w:cs="Times New Roman" w:eastAsia="Times New Roman" w:hAnsi="Times New Roman"/>
                <w:sz w:val="11"/>
                <w:szCs w:val="11"/>
                <w:b w:val="1"/>
                <w:bCs w:val="1"/>
                <w:color w:val="auto"/>
                <w:w w:val="99"/>
              </w:rPr>
              <w:t>Series A-1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Series A-2</w:t>
            </w:r>
          </w:p>
        </w:tc>
        <w:tc>
          <w:tcPr>
            <w:tcW w:w="60" w:type="dxa"/>
            <w:vAlign w:val="bottom"/>
          </w:tcPr>
          <w:p>
            <w:pPr>
              <w:spacing w:after="0"/>
              <w:rPr>
                <w:sz w:val="11"/>
                <w:szCs w:val="11"/>
                <w:color w:val="auto"/>
              </w:rPr>
            </w:pPr>
          </w:p>
        </w:tc>
        <w:tc>
          <w:tcPr>
            <w:tcW w:w="108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800" w:type="dxa"/>
            <w:vAlign w:val="bottom"/>
            <w:gridSpan w:val="3"/>
          </w:tcPr>
          <w:p>
            <w:pPr>
              <w:jc w:val="center"/>
              <w:ind w:left="144"/>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60" w:type="dxa"/>
            <w:vAlign w:val="bottom"/>
          </w:tcPr>
          <w:p>
            <w:pPr>
              <w:spacing w:after="0"/>
              <w:rPr>
                <w:sz w:val="10"/>
                <w:szCs w:val="10"/>
                <w:color w:val="auto"/>
              </w:rPr>
            </w:pPr>
          </w:p>
        </w:tc>
        <w:tc>
          <w:tcPr>
            <w:tcW w:w="1080" w:type="dxa"/>
            <w:vAlign w:val="bottom"/>
            <w:tcBorders>
              <w:right w:val="single" w:sz="8" w:color="auto"/>
            </w:tcBorders>
            <w:gridSpan w:val="4"/>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0" w:type="dxa"/>
            <w:vAlign w:val="bottom"/>
          </w:tcPr>
          <w:p>
            <w:pPr>
              <w:spacing w:after="0"/>
              <w:rPr>
                <w:sz w:val="10"/>
                <w:szCs w:val="10"/>
                <w:color w:val="auto"/>
              </w:rPr>
            </w:pPr>
          </w:p>
        </w:tc>
        <w:tc>
          <w:tcPr>
            <w:tcW w:w="9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Net Parent</w:t>
            </w:r>
          </w:p>
        </w:tc>
        <w:tc>
          <w:tcPr>
            <w:tcW w:w="560" w:type="dxa"/>
            <w:vAlign w:val="bottom"/>
            <w:gridSpan w:val="3"/>
            <w:vMerge w:val="continue"/>
          </w:tcPr>
          <w:p>
            <w:pPr>
              <w:spacing w:after="0"/>
              <w:rPr>
                <w:sz w:val="10"/>
                <w:szCs w:val="10"/>
                <w:color w:val="auto"/>
              </w:rPr>
            </w:pPr>
          </w:p>
        </w:tc>
        <w:tc>
          <w:tcPr>
            <w:tcW w:w="76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0" w:type="dxa"/>
            <w:vAlign w:val="bottom"/>
          </w:tcPr>
          <w:p>
            <w:pPr>
              <w:spacing w:after="0"/>
              <w:rPr>
                <w:sz w:val="10"/>
                <w:szCs w:val="10"/>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0" w:type="dxa"/>
            <w:vAlign w:val="bottom"/>
          </w:tcPr>
          <w:p>
            <w:pPr>
              <w:spacing w:after="0"/>
              <w:rPr>
                <w:sz w:val="10"/>
                <w:szCs w:val="10"/>
                <w:color w:val="auto"/>
              </w:rPr>
            </w:pPr>
          </w:p>
        </w:tc>
        <w:tc>
          <w:tcPr>
            <w:tcW w:w="108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20" w:type="dxa"/>
            <w:vAlign w:val="bottom"/>
          </w:tcPr>
          <w:p>
            <w:pPr>
              <w:spacing w:after="0"/>
              <w:rPr>
                <w:sz w:val="10"/>
                <w:szCs w:val="10"/>
                <w:color w:val="auto"/>
              </w:rPr>
            </w:pPr>
          </w:p>
        </w:tc>
        <w:tc>
          <w:tcPr>
            <w:tcW w:w="96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760" w:type="dxa"/>
            <w:vAlign w:val="bottom"/>
            <w:gridSpan w:val="4"/>
            <w:vMerge w:val="continue"/>
          </w:tcPr>
          <w:p>
            <w:pPr>
              <w:spacing w:after="0"/>
              <w:rPr>
                <w:sz w:val="10"/>
                <w:szCs w:val="10"/>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6"/>
        </w:trPr>
        <w:tc>
          <w:tcPr>
            <w:tcW w:w="860" w:type="dxa"/>
            <w:vAlign w:val="bottom"/>
          </w:tcPr>
          <w:p>
            <w:pPr>
              <w:spacing w:after="0"/>
              <w:rPr>
                <w:sz w:val="9"/>
                <w:szCs w:val="9"/>
                <w:color w:val="auto"/>
              </w:rPr>
            </w:pPr>
          </w:p>
        </w:tc>
        <w:tc>
          <w:tcPr>
            <w:tcW w:w="54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9"/>
                <w:szCs w:val="9"/>
                <w:color w:val="auto"/>
              </w:rPr>
            </w:pPr>
          </w:p>
        </w:tc>
        <w:tc>
          <w:tcPr>
            <w:tcW w:w="5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9"/>
                <w:szCs w:val="9"/>
                <w:color w:val="auto"/>
              </w:rPr>
            </w:pPr>
          </w:p>
        </w:tc>
        <w:tc>
          <w:tcPr>
            <w:tcW w:w="5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9"/>
                <w:szCs w:val="9"/>
                <w:color w:val="auto"/>
              </w:rPr>
            </w:pPr>
          </w:p>
        </w:tc>
        <w:tc>
          <w:tcPr>
            <w:tcW w:w="480" w:type="dxa"/>
            <w:vAlign w:val="bottom"/>
            <w:tcBorders>
              <w:right w:val="single" w:sz="8" w:color="auto"/>
            </w:tcBorders>
            <w:gridSpan w:val="2"/>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9"/>
                <w:szCs w:val="9"/>
                <w:color w:val="auto"/>
              </w:rPr>
            </w:pPr>
          </w:p>
        </w:tc>
        <w:tc>
          <w:tcPr>
            <w:tcW w:w="500" w:type="dxa"/>
            <w:vAlign w:val="bottom"/>
          </w:tcPr>
          <w:p>
            <w:pPr>
              <w:jc w:val="right"/>
              <w:ind w:right="44"/>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660" w:type="dxa"/>
            <w:vAlign w:val="bottom"/>
            <w:gridSpan w:val="4"/>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Investment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44"/>
              <w:spacing w:after="0" w:line="106"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76"/>
        </w:trPr>
        <w:tc>
          <w:tcPr>
            <w:tcW w:w="860" w:type="dxa"/>
            <w:vAlign w:val="bottom"/>
            <w:tcBorders>
              <w:top w:val="single" w:sz="8" w:color="CCEEFF"/>
            </w:tcBorders>
            <w:shd w:val="clear" w:color="auto" w:fill="CCEEFF"/>
          </w:tcPr>
          <w:p>
            <w:pPr>
              <w:spacing w:after="0" w:line="77" w:lineRule="exact"/>
              <w:rPr>
                <w:sz w:val="20"/>
                <w:szCs w:val="20"/>
                <w:color w:val="auto"/>
              </w:rPr>
            </w:pPr>
            <w:r>
              <w:rPr>
                <w:rFonts w:ascii="Times New Roman" w:cs="Times New Roman" w:eastAsia="Times New Roman" w:hAnsi="Times New Roman"/>
                <w:sz w:val="8"/>
                <w:szCs w:val="8"/>
                <w:b w:val="1"/>
                <w:bCs w:val="1"/>
                <w:color w:val="auto"/>
              </w:rPr>
              <w:t>Balance as of</w:t>
            </w: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1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(6,462)</w:t>
            </w:r>
          </w:p>
        </w:tc>
        <w:tc>
          <w:tcPr>
            <w:tcW w:w="1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(6,462)</w:t>
            </w:r>
          </w:p>
        </w:tc>
        <w:tc>
          <w:tcPr>
            <w:tcW w:w="0" w:type="dxa"/>
            <w:vAlign w:val="bottom"/>
          </w:tcPr>
          <w:p>
            <w:pPr>
              <w:spacing w:after="0"/>
              <w:rPr>
                <w:sz w:val="1"/>
                <w:szCs w:val="1"/>
                <w:color w:val="auto"/>
              </w:rPr>
            </w:pPr>
          </w:p>
        </w:tc>
      </w:tr>
      <w:tr>
        <w:trPr>
          <w:trHeight w:val="135"/>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attributable to</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(9,714)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(9,714)</w:t>
            </w: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Seaport</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Net transfers from</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PureTech</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Health plc prior</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 formation</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Stock-based</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expense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allocated from</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PureTech</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auto"/>
                <w:w w:val="96"/>
              </w:rPr>
              <w:t>146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Health plc</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Issuance of</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common stock</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to PureTech</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Health plc upon</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formation</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Issuance of</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common stock</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and Series A-1</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convertible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preferred stock</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to PureTech</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Health plc upon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40,000,000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949,000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Asset Transfer</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Reclassification</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of net</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investments</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from PureTech</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(2,063)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Health plc</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Issuance of Series</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A-2 convertible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preferred stock,</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net of issuance</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26,342,102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9"/>
              </w:rPr>
              <w:t>99,757</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costs of $343</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Issuance of Series</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B convertible</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preferred stock,</w:t>
            </w: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net of issuance</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0" w:type="dxa"/>
            <w:vAlign w:val="bottom"/>
            <w:gridSpan w:val="2"/>
            <w:vMerge w:val="restart"/>
            <w:shd w:val="clear" w:color="auto" w:fill="CCEEFF"/>
          </w:tcPr>
          <w:p>
            <w:pPr>
              <w:jc w:val="center"/>
              <w:ind w:left="44"/>
              <w:spacing w:after="0"/>
              <w:rPr>
                <w:sz w:val="20"/>
                <w:szCs w:val="20"/>
                <w:color w:val="auto"/>
              </w:rPr>
            </w:pPr>
            <w:r>
              <w:rPr>
                <w:rFonts w:ascii="Times New Roman" w:cs="Times New Roman" w:eastAsia="Times New Roman" w:hAnsi="Times New Roman"/>
                <w:sz w:val="11"/>
                <w:szCs w:val="11"/>
                <w:color w:val="auto"/>
              </w:rPr>
              <w:t>47,578,934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225,571</w:t>
            </w:r>
          </w:p>
        </w:tc>
        <w:tc>
          <w:tcPr>
            <w:tcW w:w="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costs of $429</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Issuance of</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8"/>
                <w:szCs w:val="8"/>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8"/>
                <w:szCs w:val="8"/>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950,000</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Issuance of</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6,250,000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1"/>
              </w:rPr>
              <w:t>1</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restricted stock</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Stock-based</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14,378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14,378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ind w:lef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(37,165)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(37,165)</w:t>
            </w:r>
          </w:p>
        </w:tc>
        <w:tc>
          <w:tcPr>
            <w:tcW w:w="0" w:type="dxa"/>
            <w:vAlign w:val="bottom"/>
          </w:tcPr>
          <w:p>
            <w:pPr>
              <w:spacing w:after="0"/>
              <w:rPr>
                <w:sz w:val="1"/>
                <w:szCs w:val="1"/>
                <w:color w:val="auto"/>
              </w:rPr>
            </w:pPr>
          </w:p>
        </w:tc>
      </w:tr>
      <w:tr>
        <w:trPr>
          <w:trHeight w:val="97"/>
        </w:trPr>
        <w:tc>
          <w:tcPr>
            <w:tcW w:w="86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40,000,000</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 </w:t>
            </w:r>
          </w:p>
        </w:tc>
        <w:tc>
          <w:tcPr>
            <w:tcW w:w="6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26,342,102</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9"/>
              </w:rPr>
              <w:t>99,757</w:t>
            </w:r>
          </w:p>
        </w:tc>
        <w:tc>
          <w:tcPr>
            <w:tcW w:w="6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47,578,934</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u w:val="single" w:color="auto"/>
                <w:color w:val="auto"/>
              </w:rPr>
              <w:t>$</w:t>
            </w:r>
          </w:p>
        </w:tc>
        <w:tc>
          <w:tcPr>
            <w:tcW w:w="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1"/>
                <w:szCs w:val="11"/>
                <w:color w:val="auto"/>
              </w:rPr>
              <w:t>225,571</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8,150,000</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w w:val="71"/>
              </w:rPr>
              <w:t>1</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14,378</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(39,228)</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(24,849)</w:t>
            </w:r>
          </w:p>
        </w:tc>
        <w:tc>
          <w:tcPr>
            <w:tcW w:w="0" w:type="dxa"/>
            <w:vAlign w:val="bottom"/>
          </w:tcPr>
          <w:p>
            <w:pPr>
              <w:spacing w:after="0"/>
              <w:rPr>
                <w:sz w:val="1"/>
                <w:szCs w:val="1"/>
                <w:color w:val="auto"/>
              </w:rPr>
            </w:pPr>
          </w:p>
        </w:tc>
      </w:tr>
      <w:tr>
        <w:trPr>
          <w:trHeight w:val="135"/>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8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Exercise of stock</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6"/>
                <w:szCs w:val="6"/>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w:t>
            </w: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Stock-based</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6,883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6,883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Unrealized gain</w:t>
            </w: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w w:val="96"/>
              </w:rPr>
              <w:t>310</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on investments</w:t>
            </w: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Cumulative</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1"/>
                <w:szCs w:val="11"/>
                <w:color w:val="auto"/>
              </w:rPr>
              <w:t>(9)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33"/>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ind w:lef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(74,881)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(74,881)</w:t>
            </w:r>
          </w:p>
        </w:tc>
        <w:tc>
          <w:tcPr>
            <w:tcW w:w="0" w:type="dxa"/>
            <w:vAlign w:val="bottom"/>
          </w:tcPr>
          <w:p>
            <w:pPr>
              <w:spacing w:after="0"/>
              <w:rPr>
                <w:sz w:val="1"/>
                <w:szCs w:val="1"/>
                <w:color w:val="auto"/>
              </w:rPr>
            </w:pPr>
          </w:p>
        </w:tc>
      </w:tr>
      <w:tr>
        <w:trPr>
          <w:trHeight w:val="97"/>
        </w:trPr>
        <w:tc>
          <w:tcPr>
            <w:tcW w:w="86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40,000,000</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 </w:t>
            </w:r>
          </w:p>
        </w:tc>
        <w:tc>
          <w:tcPr>
            <w:tcW w:w="6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26,342,102</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9"/>
              </w:rPr>
              <w:t>99,757</w:t>
            </w:r>
          </w:p>
        </w:tc>
        <w:tc>
          <w:tcPr>
            <w:tcW w:w="6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47,578,934</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u w:val="single" w:color="auto"/>
                <w:color w:val="auto"/>
              </w:rPr>
              <w:t>$</w:t>
            </w:r>
          </w:p>
        </w:tc>
        <w:tc>
          <w:tcPr>
            <w:tcW w:w="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1"/>
                <w:szCs w:val="11"/>
                <w:color w:val="auto"/>
              </w:rPr>
              <w:t>225,571</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8,151,200</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w w:val="71"/>
              </w:rPr>
              <w:t>1</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21,262</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(114,109)</w:t>
            </w:r>
          </w:p>
        </w:tc>
        <w:tc>
          <w:tcPr>
            <w:tcW w:w="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w w:val="96"/>
              </w:rPr>
              <w:t>301</w:t>
            </w:r>
          </w:p>
        </w:tc>
        <w:tc>
          <w:tcPr>
            <w:tcW w:w="6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(92,545)</w:t>
            </w:r>
          </w:p>
        </w:tc>
        <w:tc>
          <w:tcPr>
            <w:tcW w:w="0" w:type="dxa"/>
            <w:vAlign w:val="bottom"/>
          </w:tcPr>
          <w:p>
            <w:pPr>
              <w:spacing w:after="0"/>
              <w:rPr>
                <w:sz w:val="1"/>
                <w:szCs w:val="1"/>
                <w:color w:val="auto"/>
              </w:rPr>
            </w:pPr>
          </w:p>
        </w:tc>
      </w:tr>
      <w:tr>
        <w:trPr>
          <w:trHeight w:val="135"/>
        </w:trPr>
        <w:tc>
          <w:tcPr>
            <w:tcW w:w="8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386"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6"/>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4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(74,881)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(46,879)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expense</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amortization of premiums and discounts on investments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(3,430)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(6,212)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 non-current assets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(1,556)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(2,726)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Related party payable</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7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(77,942)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(29,629)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4"/>
              </w:rPr>
              <w:t>(396,389)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maturities of investments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212,500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4"/>
              </w:rPr>
              <w:t>(184,245)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69"/>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7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transfers from PureTech Health plc</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line="168" w:lineRule="exact"/>
              <w:rPr>
                <w:sz w:val="20"/>
                <w:szCs w:val="20"/>
                <w:color w:val="auto"/>
              </w:rPr>
            </w:pPr>
            <w:r>
              <w:rPr>
                <w:rFonts w:ascii="Times New Roman" w:cs="Times New Roman" w:eastAsia="Times New Roman" w:hAnsi="Times New Roman"/>
                <w:sz w:val="13"/>
                <w:szCs w:val="13"/>
                <w:color w:val="auto"/>
              </w:rPr>
              <w:t xml:space="preserve">Proceeds from the issuance of Series A-2 convertible preferred stock </w:t>
            </w:r>
            <w:r>
              <w:rPr>
                <w:rFonts w:ascii="Times New Roman" w:cs="Times New Roman" w:eastAsia="Times New Roman" w:hAnsi="Times New Roman"/>
                <w:sz w:val="19"/>
                <w:szCs w:val="19"/>
                <w:color w:val="auto"/>
                <w:vertAlign w:val="superscript"/>
              </w:rPr>
              <w:t>(1)</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100,100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 of issuance costs associated with issuance of Series A-2 convertible preferred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ind w:left="260"/>
              <w:spacing w:after="0" w:line="168" w:lineRule="exact"/>
              <w:rPr>
                <w:sz w:val="20"/>
                <w:szCs w:val="20"/>
                <w:color w:val="auto"/>
              </w:rPr>
            </w:pPr>
            <w:r>
              <w:rPr>
                <w:rFonts w:ascii="Times New Roman" w:cs="Times New Roman" w:eastAsia="Times New Roman" w:hAnsi="Times New Roman"/>
                <w:sz w:val="13"/>
                <w:szCs w:val="13"/>
                <w:color w:val="auto"/>
              </w:rPr>
              <w:t xml:space="preserve">Proceeds from the issuance of Series B convertible preferred stock </w:t>
            </w:r>
            <w:r>
              <w:rPr>
                <w:rFonts w:ascii="Times New Roman" w:cs="Times New Roman" w:eastAsia="Times New Roman" w:hAnsi="Times New Roman"/>
                <w:sz w:val="19"/>
                <w:szCs w:val="19"/>
                <w:color w:val="auto"/>
                <w:vertAlign w:val="superscript"/>
              </w:rPr>
              <w:t>(2)</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226,000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 of issuance costs associated with issuance of Series B convertible preferred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70"/>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7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339,295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7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(263,057)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309,553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309,553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7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309,553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2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Supplemental disclosure of non-cash operating, financing, and investing information: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8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8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assets recorded in accounts payable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hanging="345"/>
        <w:spacing w:after="0"/>
        <w:tabs>
          <w:tab w:leader="none" w:pos="17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proceeds from certain related parties of $32.0 million. See Note 17—Related Parties.</w:t>
      </w:r>
    </w:p>
    <w:p>
      <w:pPr>
        <w:spacing w:after="0" w:line="2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proceeds from certain related parties of $16.7 million. See Note 17—Related Parties.</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386"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59" w:lineRule="exact"/>
        <w:rPr>
          <w:sz w:val="20"/>
          <w:szCs w:val="20"/>
          <w:color w:val="auto"/>
        </w:rPr>
      </w:pPr>
    </w:p>
    <w:p>
      <w:pPr>
        <w:ind w:left="1700" w:right="5019" w:hanging="345"/>
        <w:spacing w:after="0" w:line="377" w:lineRule="auto"/>
        <w:tabs>
          <w:tab w:leader="none" w:pos="1497"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NATURE OF BUSINESS AND BASIS OF PRESENTATION </w:t>
      </w:r>
      <w:r>
        <w:rPr>
          <w:rFonts w:ascii="Times New Roman" w:cs="Times New Roman" w:eastAsia="Times New Roman" w:hAnsi="Times New Roman"/>
          <w:sz w:val="14"/>
          <w:szCs w:val="14"/>
          <w:b w:val="1"/>
          <w:bCs w:val="1"/>
          <w:i w:val="1"/>
          <w:iCs w:val="1"/>
          <w:color w:val="auto"/>
        </w:rPr>
        <w:t>Background</w:t>
      </w:r>
    </w:p>
    <w:p>
      <w:pPr>
        <w:spacing w:after="0" w:line="1" w:lineRule="exact"/>
        <w:rPr>
          <w:sz w:val="20"/>
          <w:szCs w:val="20"/>
          <w:color w:val="auto"/>
        </w:rPr>
      </w:pPr>
    </w:p>
    <w:p>
      <w:pPr>
        <w:jc w:val="both"/>
        <w:ind w:left="1360" w:right="719" w:firstLine="343"/>
        <w:spacing w:after="0" w:line="267" w:lineRule="auto"/>
        <w:rPr>
          <w:sz w:val="20"/>
          <w:szCs w:val="20"/>
          <w:color w:val="auto"/>
        </w:rPr>
      </w:pPr>
      <w:r>
        <w:rPr>
          <w:rFonts w:ascii="Times New Roman" w:cs="Times New Roman" w:eastAsia="Times New Roman" w:hAnsi="Times New Roman"/>
          <w:sz w:val="14"/>
          <w:szCs w:val="14"/>
          <w:color w:val="auto"/>
        </w:rPr>
        <w:t>Seaport Therapeutics, Inc., and its consolidated subsidiaries, Seaport or the Company, is a clinical-stage therapeutics company focused on inventing and developing medicines for patients with depression, anxiety, and other debilitating neuropsychiatric disorders using the Company’s proprietary Glyph Platform.</w:t>
      </w:r>
    </w:p>
    <w:p>
      <w:pPr>
        <w:spacing w:after="0" w:line="136"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accompanying financial statements include the historical financial position, results of operations, and comprehensive loss, convertible preferred stock and stockholders’ deficit, and cash flows of the Glyph platform business, or the Seaport Business, which was a business of PureTech Health plc and its consolidated subsidiaries, or PureTech, a public company incorporated, domiciled and registered in the United Kingdom. The Seaport Business was historically managed as part of PureTech prior to the completion of the spin-off of the Seaport Business from PureTech in April 2024, pursuant to the Asset Transfer Agreement (as defined below). The Company, which holds the assets, liabilities, and operations associated with the Seaport Business, was incorporated under the laws of the State of Delaware as SP Therapeutics, Inc. on April 1, 2024, and changed its name to Seaport Therapeutics, Inc. on April 2, 2024. Its wholly owned subsidiary, SPTX, Inc., or SPTX, was a previously created entity in February 2024 under the laws of the State of Delaware under the name Seaport Therapeutics, Inc. and changed its name to SPTX, Inc. in April 2024. In April 2024, the Company entered into a share exchange agreement with SPTX, which resulted in SPTX becoming the Company’s wholly owned subsidiary. See Note 10— Common Stock, for further disclosure regarding the share exchange with SPTX.</w:t>
      </w:r>
    </w:p>
    <w:p>
      <w:pPr>
        <w:spacing w:after="0" w:line="146"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The Company is subject to risks and uncertainties common to early-stage companies in the biotechnology industry, including, but not limited to, completion of preclinical studies and clinical trials, obtaining regulatory approvals for product candidates, dependence on key personnel, protection of intellectual property, compliance with government regulations, and ability to secure capital necessary to fund operations. Product candidates currently under development by the Company will require significant additional research and development efforts, including preclinical and clinical development, and regulatory approval prior to commercialization. There can be no assurance that the Company’s research and development efforts will be successfully completed, that any product candidates developed will obtain necessary government regulatory approval, or that any products, if approved, will be commercially viable. The Company operates in an environment of rapid technological innovation and substantial competition from pharmaceutical and biotechnology companies. Even if the Company’s product development efforts are successful, it is uncertain when, if ever, the Company will realize significant product revenue from product sales.</w:t>
      </w:r>
    </w:p>
    <w:p>
      <w:pPr>
        <w:spacing w:after="0" w:line="2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The Asset Transfer and Series A Financing</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Company was incorporated in April 2024 by PureTech LYT Inc., or PureTech LYT, a wholly owned subsidiary of PureTech, as the sole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stockholder, and the Company issued 1,000 shares of its common stock to PureTech LYT. On April 8, 2024, or the Asset Transfer Date, the Company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entered into an asset transfer agreement, as amended in December 2025, or the Asset Transfer Agreement with PureTech Health LLC, or PureTech</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Health, and PureTech LYT, pursuant to which PureTech Health and PureTech LYT, agreed to contribute, convey, assign, transfer, and deliver to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Company all of its right, title, and interest in, to and under the assets related to its Glyph technology and products, or the Asset Transfer. 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consideration, the Company issued to PureTech LYT 40,000,000 shares of its Series A-1 convertible preferred stock and 949,000 shares of its common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 on the Asset Transfer Date, and also agreed to contingent payments to PureTech upon successful development and commercialization of products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developed using the Glyph platform, each of which is referred to as a Seaport Glyph Product, including; milestone payments of up to an aggregate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$10.0 million for the first product covered by assets transferred through the Asset Transfer Agreement, or the Seaport Glyph Product, of $2.0 million for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first patient dosed in the first phase 3 clinical trial, $4.0 million for the first commercial sale</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386"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in the United States, $2.0 million for the first commercial sale in a major European market, and $2.0 million for the first commercial sale in Japan, and for each subsequent Seaport Glyph Product, the Company has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the Company is obligated to pay royalties between 3% and 5% on the annual net sales of each Seaport Glyph Product and a percentage of net income generated by the Company from third parties on any products licensed under the Glyph intellectual property which was transferred as part of the Asset Transfer Agreement.</w:t>
      </w:r>
    </w:p>
    <w:p>
      <w:pPr>
        <w:spacing w:after="0" w:line="143" w:lineRule="exact"/>
        <w:rPr>
          <w:sz w:val="20"/>
          <w:szCs w:val="20"/>
          <w:color w:val="auto"/>
        </w:rPr>
      </w:pPr>
    </w:p>
    <w:p>
      <w:pPr>
        <w:ind w:left="1360" w:right="239" w:firstLine="343"/>
        <w:spacing w:after="0" w:line="277" w:lineRule="auto"/>
        <w:rPr>
          <w:sz w:val="20"/>
          <w:szCs w:val="20"/>
          <w:color w:val="auto"/>
        </w:rPr>
      </w:pPr>
      <w:r>
        <w:rPr>
          <w:rFonts w:ascii="Times New Roman" w:cs="Times New Roman" w:eastAsia="Times New Roman" w:hAnsi="Times New Roman"/>
          <w:sz w:val="13"/>
          <w:szCs w:val="13"/>
          <w:color w:val="auto"/>
        </w:rPr>
        <w:t>The Company determined that the Asset Transfer and related spin-off transaction represented the transfer of a business between entities under common control. As a result, the net liabilities were transferred from PureTech to the Company at PureTech’s carrying amounts on the Asset Transfer Date, and the Company ascribed a nil value to the Series A-1 convertible preferred stock and common stock issued to PureTech Health and PureTech LYT. The consolidated financial statements for the period prior to the Asset Transfer Date, were prepared on a “carve-out” basis from the consolidated financial statements of PureTech to represent Seaport Business’ financial position, results of operations, changes in net parent investment and cash flows as if the Seaport Business existed on a standalone basis. Effective April 8, 2024, the Company’s financial statements are presented on a consolidated basis, as PureTech Health and PureTech LYT completed the transfer of the Seaport Business on such date. The audited financial statements for the year presented, including the historical results of the Company prior to April 8, 2024, are referred to as the consolidated financial statements.</w:t>
      </w:r>
    </w:p>
    <w:p>
      <w:pPr>
        <w:spacing w:after="0" w:line="13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Concurrently, upon entry into the Asset Transfer Agreement, the Company entered into a stock purchase agreement with PureTech LYT and other third-party investors, pursuant to which the Company issued and sold shares of its Series A-2 convertible preferred stock, or the Series A Financing, and together with the Asset Transfer, the Transaction. Subsequent to the Transaction, PureTech LYT remained the controlling investor of the Company, until the completion of the Company’s Series B convertible preferred stock financing, or the Series B Financing (as further discussed herein), in October 2024. The Series B Financing resulted in a decrease to PureTech LYT’s fully diluted ownership, resulting in PureTech LYT no longer maintaining a controlling interest in the Company. See Note 9—Convertible Preferred Stock, for further disclosure regarding issuances of the Company’s convertible preferred stock.</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3"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conformity with accounting principles generally accepted in the United States of America, or GAAP. These consolidated financial statements include the accounts of Seaport Therapeutics, Inc. and its wholly owned subsidiaries. All intercompany transactions and balances have been eliminated in consolidation.</w:t>
      </w:r>
    </w:p>
    <w:p>
      <w:pPr>
        <w:spacing w:after="0" w:line="136"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For the period prior to the Transaction, the accompanying consolidated financial statements of the Company have been prepared on a standalone basis and are derived from PureTech’s consolidated financial statements and accounting records. The consolidated financial statements reflect PureTech’s historical accounting policies, adjusting for differences between International Financial Reporting Standards and GAAP as appropriate. These consolidated financial statements do not purport to reflect what the Company’s results of operations, financial position, or cash flows would have been had the Company operated as a standalone company during the period prior to the Transaction, nor are they indicative of the Company’s future results of operations, financial position, or cash flows.</w:t>
      </w:r>
    </w:p>
    <w:p>
      <w:pPr>
        <w:spacing w:after="0" w:line="143"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As the Company’s operations were not historically conducted by a single legal entity, net parent investment is shown in lieu of stockholders’ equity in the historical consolidated financial statements for the period prior to</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386"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the Transaction. Net parent investment represents the cumulative investment by PureTech in the Seaport Business through the Transaction date, inclusive of operating results. All transactions between the Seaport Business and PureTech were effectively settled in the consolidated financial statements at the time the Transaction was recorded. The effects of the settlement of such transactions between the Seaport Business and PureTech are reflected in the consolidated statements of cash flows as “Net transfers from PureTech Health plc” within financing activities and in the statement of convertible preferred stock and stockholders’ deficit as “Net parent investment” for the year ended December 31, 2024.</w:t>
      </w:r>
    </w:p>
    <w:p>
      <w:pPr>
        <w:spacing w:after="0" w:line="14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Company was dependent upon PureTech for all of its working capital and financing requirements through the date of the Transaction. PureTech used a centralized approach for cash management and the financing of its operations. There were no cash amounts specifically attributable to the Seaport Business prior to the Transaction; therefore, cash and cash equivalents were excluded in the consolidated financial statements prior to the Transaction.</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the Company include, for the period prior to the Transaction, the assets, liabilities, and expenses of PureTech that Seaport management determined were specifically identifiable to the Seaport Business and its related programs, as well as indirect costs that are not specifically identifiable to the Seaport Business or its related programs but are deemed necessary to operate as a standalone entity. The assets and liabilities in the consolidated financial statements for the period prior to the Transaction were recorded based on their legal title or related to the exclusive use of the Seaport Business. Shared assets were not included on the consolidated balance sheet, but costs reflecting the use of such assets by the Seaport Business were reflected in the consolidated statements of operations and comprehensive loss for the year ended December 31, 2024. Indirect costs are the costs of support functions that are provided on a centralized basis by PureTech prior to the Transaction, which include, but are not limited to, facilities, information technology, insurance, quality, compliance, finance, human resources, legal, corporate strategy, corporate governance, and other general and administrative type functions.</w:t>
      </w:r>
    </w:p>
    <w:p>
      <w:pPr>
        <w:spacing w:after="0" w:line="149"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of the Company also include, for the period prior to the Transaction, indirect costs that have been allocated to the Seaport Business for the purposes of preparing the consolidated financial statements based on proportional cost allocation methods using headcount, proportional time spent, and other organizational activities, as applicable, which were considered to be reasonable reflections of the utilization of services provided to or benefit received by the Seaport Business for the period prior to the Transaction. Seaport management considers that such allocations were made on a reasonable basis; however, these allocations may not necessarily be indicative of the costs that would have been incurred if the Seaport Business had operated on a standalone basis for the full year ended December 31, 2024 and, therefore, may not be indicative of the Company’s results of operations, financial position, and cash flows had the Company operated as a standalone entity prior to the Transaction. See Note 17—Related Parties, for additional information regarding related-party transactions with PureTech.</w:t>
      </w:r>
    </w:p>
    <w:p>
      <w:pPr>
        <w:spacing w:after="0" w:line="14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PureTech continued to provide various research and development and corporate services under the transition services agreement, or the TSA, which was initially set to terminate one year following the date of the Asset Transfer Agreement. In 2025, the TSA was amended to extend through July 2026 to provide ad-hoc support; however, the total value of the incremental services are not material.</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93" w:lineRule="exact"/>
        <w:rPr>
          <w:sz w:val="20"/>
          <w:szCs w:val="20"/>
          <w:color w:val="auto"/>
        </w:rPr>
      </w:pPr>
    </w:p>
    <w:p>
      <w:pPr>
        <w:ind w:left="1360" w:right="439" w:firstLine="343"/>
        <w:spacing w:after="0" w:line="323" w:lineRule="auto"/>
        <w:rPr>
          <w:sz w:val="20"/>
          <w:szCs w:val="20"/>
          <w:color w:val="auto"/>
        </w:rPr>
      </w:pPr>
      <w:r>
        <w:rPr>
          <w:rFonts w:ascii="Times New Roman" w:cs="Times New Roman" w:eastAsia="Times New Roman" w:hAnsi="Times New Roman"/>
          <w:sz w:val="13"/>
          <w:szCs w:val="13"/>
          <w:color w:val="auto"/>
        </w:rPr>
        <w:t>Management has evaluated whether there are certain conditions and events, considered in the aggregate, that raise substantial doubt about the Company’s ability to continue as a going concern within one year after the date that the consolidated financial statements were available to be issued.</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386"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Company has incurred losses and negative cash flows from operations since inception, including net losses of $74.9 million and $46.9 million for the years ended December 31, 2025 and 2024, respectively, and cash used in operations of $77.9 million and $29.6 million for the years ended December 31, 2025 and 2024, respectively. The Company expects to continue to generate operating losses and negative cash flows for the foreseeable future as the Company continues to develop its product candidates. The Company’s future operations will be dependent on its ability to raise additional capital to finance such operations.</w:t>
      </w:r>
    </w:p>
    <w:p>
      <w:pPr>
        <w:spacing w:after="0" w:line="144"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The Company’s consolidated financial statements have been prepared assuming it will continue as a going concern, which presumes it will continue in operation for the foreseeable future and will be able to realize its assets and discharge its liabilities and commitments in the ordinary course of business. The Company believes its cash and cash equivalents and investments of $233.7 million as of December 31, 2025 will be sufficient to fund its expected operating expenses and capital expenditure requirements for at least 12 months from the date these consolidated financial statements were available to be issued.</w:t>
      </w:r>
    </w:p>
    <w:p>
      <w:pPr>
        <w:spacing w:after="0" w:line="144"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Until such time that the Company can generate significant product revenue, if ever, the Company expects to fund its operations through equity offerings or debt financings, credit or loan facilities, collaborations, out-license arrangements, other capital resources, or a combination of one or more of these funding sources. The terms of any financing may adversely affect the holdings or the rights of the Company’s stockholders. The Company’s failure to raise or secure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successful in obtaining sufficient capital on acceptable terms to fund continuing operations, if at all.</w:t>
      </w:r>
    </w:p>
    <w:p>
      <w:pPr>
        <w:spacing w:after="0" w:line="226" w:lineRule="exact"/>
        <w:rPr>
          <w:sz w:val="20"/>
          <w:szCs w:val="20"/>
          <w:color w:val="auto"/>
        </w:rPr>
      </w:pPr>
    </w:p>
    <w:p>
      <w:pPr>
        <w:ind w:left="1700" w:right="5019" w:hanging="345"/>
        <w:spacing w:after="0" w:line="377" w:lineRule="auto"/>
        <w:tabs>
          <w:tab w:leader="none" w:pos="1497"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SUMMARY OF SIGNIFICANT ACCOUNTING POLICIES </w:t>
      </w:r>
      <w:r>
        <w:rPr>
          <w:rFonts w:ascii="Times New Roman" w:cs="Times New Roman" w:eastAsia="Times New Roman" w:hAnsi="Times New Roman"/>
          <w:sz w:val="14"/>
          <w:szCs w:val="14"/>
          <w:b w:val="1"/>
          <w:bCs w:val="1"/>
          <w:i w:val="1"/>
          <w:iCs w:val="1"/>
          <w:color w:val="auto"/>
        </w:rPr>
        <w:t>Use of Estimates</w:t>
      </w:r>
    </w:p>
    <w:p>
      <w:pPr>
        <w:spacing w:after="0" w:line="1"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year presented. Management of the Company evaluates its estimates which include, but are not limited to, accrued research and development expenses and stock-based compensation expense for periods after the Transaction. For the period before the Transaction, Management included allocations of direct expenses and indirect expenses, such as personnel-related expenses, including stock-based compensation, facility, information technology, or IT, and other general overhead expenses from PureTech. The Company based its estimates on the historical experience of PureTech and on various other assumptions that are believed to be reasonable. Actual results may differ from these estimates under different assumptions or conditions.</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financial statements of the Company’s foreign subsidiary are measured using the local currency as the functional currency. Assets and liabilities are translated from their functional currency to their U.S. dollar equivalents at balance sheet date exchange rates and revenue and expenses are translated from functional currency to U.S. dollar equivalents at average exchange rates in effect during the year. Any gain or loss from these translations are included in accumulated other comprehensive loss. Realized foreign currency transaction gains and losses are included in other expense, net in the consolidated statements of operations and comprehensive loss.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386"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9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Company considers all highly liquid investments that are readily convertible into cash with original maturities of three months or less at the date of purchase to be cash equivalents. The Company invests excess cash primarily in overnight cash sweeps and money market funds which are highly liquid and have high credit ratings. Such investments are subject to minimal credit and market risks. The Company classifies all cash of which use is limited by contractual provisions as restricted cash. Restricted cash is recorded on the consolidated balance sheet within other non-current assets and includes amounts held as a security deposit for a letter of credit in connection with leased facilities and its corporate card program.</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summarizes the Company’s cash, cash equivalents, and restricted cash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Borders>
              <w:top w:val="single" w:sz="8" w:color="auto"/>
            </w:tcBorders>
          </w:tcPr>
          <w:p>
            <w:pPr>
              <w:jc w:val="right"/>
              <w:ind w:right="7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top w:val="single" w:sz="8" w:color="auto"/>
            </w:tcBorders>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6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$ 46,042</w:t>
            </w:r>
          </w:p>
        </w:tc>
        <w:tc>
          <w:tcPr>
            <w:tcW w:w="2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$ 309,099</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within other non-current assets</w:t>
            </w:r>
          </w:p>
        </w:tc>
        <w:tc>
          <w:tcPr>
            <w:tcW w:w="10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 per the consolidated statements of cash flows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46,496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$ 309,553</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93"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Short-term investments consist of investments in United States treasuries with original maturities greater than ninety days and less than one year from the balance sheet date. Long-term investments consist of investments in United States treasuries with maturities of greater than one year from the balance sheet date and are not expected to be used to fund current operations. The Company classifies all of its investments as available-for-sale securities. Accordingly, these investments are recorded at fair value. Realized gains and losses, amortization and accretion of discounts and premiums are included in other income, net. Unrealized gains and losses on available-for-sale securities are included in other comprehensive income as a component of stockholders’ equity until realized.</w:t>
      </w:r>
    </w:p>
    <w:p>
      <w:pPr>
        <w:spacing w:after="0" w:line="141" w:lineRule="exact"/>
        <w:rPr>
          <w:sz w:val="20"/>
          <w:szCs w:val="20"/>
          <w:color w:val="auto"/>
        </w:rPr>
      </w:pPr>
    </w:p>
    <w:p>
      <w:pPr>
        <w:jc w:val="both"/>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 xml:space="preserve">The Company assesses its available-for-sale securities under the available-for-sale debt security impairment model in ASC Topic 326,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Instruments—Credit Losses</w:t>
      </w:r>
      <w:r>
        <w:rPr>
          <w:rFonts w:ascii="Times New Roman" w:cs="Times New Roman" w:eastAsia="Times New Roman" w:hAnsi="Times New Roman"/>
          <w:sz w:val="14"/>
          <w:szCs w:val="14"/>
          <w:color w:val="auto"/>
        </w:rPr>
        <w:t>, as of each reporting date in order to determine if a portion of any decline in fair value below carrying value recognized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available-for-sale debt securities is the result of a credit loss. For any available-for-sale debt securities that may be in an unrealized net loss position, the Company does not intend to sell, and it is not more likely than not that the Company will be required to sell, such securities before recovery of their amortized cost bases. The Company records credit losses in the consolidated statements of operations and comprehensive loss as a component of other income, net, which is limited to the difference between the fair value and the amortized cost of the security. To date, the Company has not recorded any credit losses on its available-for-sale debt securities.</w:t>
      </w:r>
    </w:p>
    <w:p>
      <w:pPr>
        <w:spacing w:after="0" w:line="146"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Accrued interest receivable related to the Company’s available-for-sale securities is presented within prepaid and other current assets on the Company’s consolidated balance sheet. The Company has elected the practical expedient available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 associated with its investments.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386"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Financial instruments that potentially expose the Company to concentrations of credit risk primarily consist of cash, cash equivalents and investments. The Company invests its excess cash, in line with its investment policy. The Company maintains its cash and cash equivalent balances with high-quality financial institutions and, consequently, the Company believes that such funds are subject to minimal credit risk. At times, the Company’s cash and cash equivalents may be uninsured or in deposit accounts that exceed Federal Deposit Insurance Corporation limits. The Company’s cash equivalents and investments are comprised of money market funds and investments that are invested in U.S. Treasury obligations. The Company has no significant off-balance sheet risk such as foreign exchange contracts, option contracts or other foreign hedging arrangements.</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3"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or delayed the deferred offering costs would be expensed immediately as a charge to operating expenses in the consolidated statements of operations and comprehensive loss. The Company recorded deferred offering costs of $1.2 million within other non-current assets as of December 31, 2025. There were no deferred offering costs as of December 31, 2024.</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Accounting Standards Codification, or ASC, Topic 820, Fair Value Measurement, or ASC 820, identifies fair value as the exchange price, or exit price, representing the amount that would be received to sell an asset or paid to transfer a liability in an orderly transaction between market participants, or in the absence of a principal market, the most advantageous market for the investment or liability. As a basis for considering market participant assumptions in fair value measurements, ASC 820 establishes a three-tier fair value hierarchy that gives the highest priority to unadjusted quoted prices in active markets for identical assets or liabilities (Level 1) and the lowest priority to unobservable inputs (Level 3). The three levels of the fair value hierarchy are as follows:</w:t>
      </w:r>
    </w:p>
    <w:p>
      <w:pPr>
        <w:spacing w:after="0" w:line="69" w:lineRule="exact"/>
        <w:rPr>
          <w:sz w:val="20"/>
          <w:szCs w:val="20"/>
          <w:color w:val="auto"/>
        </w:rPr>
      </w:pPr>
    </w:p>
    <w:p>
      <w:pPr>
        <w:ind w:left="2120" w:hanging="345"/>
        <w:spacing w:after="0"/>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prices (unadjusted) in active markets for identical assets or liabilities.</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that reflect the Company’s own assumptions about the assumptions market participants would use in pricing the asset or liability.</w:t>
      </w:r>
    </w:p>
    <w:p>
      <w:pPr>
        <w:spacing w:after="0" w:line="125"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3"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and consists of lab equipment, furniture and fixtures, and leasehold improvements. Depreciation of property and equipment are calculated using</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386"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c>
          <w:tcPr>
            <w:tcW w:w="0" w:type="dxa"/>
            <w:vAlign w:val="bottom"/>
          </w:tcPr>
          <w:p>
            <w:pPr>
              <w:spacing w:after="0"/>
              <w:rPr>
                <w:sz w:val="1"/>
                <w:szCs w:val="1"/>
                <w:color w:val="auto"/>
              </w:rPr>
            </w:pPr>
          </w:p>
        </w:tc>
      </w:tr>
      <w:tr>
        <w:trPr>
          <w:trHeight w:val="144"/>
        </w:trPr>
        <w:tc>
          <w:tcPr>
            <w:tcW w:w="4380" w:type="dxa"/>
            <w:vAlign w:val="bottom"/>
            <w:vMerge w:val="continue"/>
          </w:tcPr>
          <w:p>
            <w:pPr>
              <w:spacing w:after="0"/>
              <w:rPr>
                <w:sz w:val="12"/>
                <w:szCs w:val="12"/>
                <w:color w:val="auto"/>
              </w:rPr>
            </w:pPr>
          </w:p>
        </w:tc>
        <w:tc>
          <w:tcPr>
            <w:tcW w:w="42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5 years</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lesser of 5 years or the remaining term of the lease</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Upon retirement or disposal of property and equipment, the cost, and related accumulated depreciation are removed from the consolidated balance sheet and any gain or loss is reflected in the consolidated statements of operations and comprehensive loss.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Long-lived assets, such as property and equipment, are reviewed for impairment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recoverability of the asset group to be held and used is measured by a comparison of the carrying amount of an asset group to future undiscounted cash flows expected to be generated by the asset group. If the carrying amounts of the asset group is less than its future undiscounted cash flows, an impairment loss is then measured by comparing the fair value of the asset group to its respective carrying amount. There have been no impairments of long-lived assets recorded for the years ended December 31, 2025 or 2024.</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Company accounts for leases in accordance with ASC 842, Leases. At the inception of an arrangement, the Company determines whether the arrangement is or contains a lease based on the relevant facts and circumstances present in the arrangement. Leases with a term greater than one year are recognized on the consolidated balance sheet as right-of-use assets and short-term and long-term lease liabilities, as applicable. The Company typically only includes an initial lease term in its assessment of a lease arrangement, and options to renew a lease are not included in the Company’s assessment unless there is reasonable certainty that the Company will renew. The Company has elected not to recognize leases with an original term of one year or less on the consolidated balance sheet.</w:t>
      </w:r>
    </w:p>
    <w:p>
      <w:pPr>
        <w:spacing w:after="0" w:line="143"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Leases contain both lease and non-lease components. Non-lease components may include common area maintenance, utilities, and other operating costs. The Company combines the lease and non-lease components in its lease arrangements as a single lease component. Variable costs are not included in the measurement of right-of-use assets and lease liabilities and are expensed when incurred.</w:t>
      </w:r>
    </w:p>
    <w:p>
      <w:pPr>
        <w:spacing w:after="0" w:line="136"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Operating lease liabilities and their corresponding right-of-use assets are initially recorded at the lease commencement date based on the present value of lease payments measured over the expected remaining lease term. Certain adjustments to right-of-use assets may be required for items such as prepaid lease payments or any incentives received. The Company measures the net present value of lease payments using a discount rate based on the interest rate implicit in the lease or an incremental borrowing rate if the rate implicit in the lease is not readily determinable. The interest rate implicit in the lease contracts is typically not readily determinable, and as a result, the Company estimates an incremental borrowing rate, which reflects the fixed rate at which the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386"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Company could borrow on a collateralized basis the amount of the lease payments in the same currency, for a similar term, in a similar economic environment. To estimate the incremental borrowing rate, a credit rating applicable to the Company is estimated using a synthetic credit rating analysis since the Company does not currently have any outstanding third-party debt or a rating agency-based credit rating. Operating lease costs are expensed using the straight-line method over the lease term and are classified within research and development or general and administrative expense based on the use of the underlying facility or using a reasonable allocation method.</w:t>
      </w:r>
    </w:p>
    <w:p>
      <w:pPr>
        <w:spacing w:after="0" w:line="144" w:lineRule="exact"/>
        <w:rPr>
          <w:sz w:val="20"/>
          <w:szCs w:val="20"/>
          <w:color w:val="auto"/>
        </w:rPr>
      </w:pPr>
    </w:p>
    <w:p>
      <w:pPr>
        <w:ind w:left="1360" w:right="959" w:firstLine="343"/>
        <w:spacing w:after="0" w:line="283" w:lineRule="auto"/>
        <w:rPr>
          <w:sz w:val="20"/>
          <w:szCs w:val="20"/>
          <w:color w:val="auto"/>
        </w:rPr>
      </w:pPr>
      <w:r>
        <w:rPr>
          <w:rFonts w:ascii="Times New Roman" w:cs="Times New Roman" w:eastAsia="Times New Roman" w:hAnsi="Times New Roman"/>
          <w:sz w:val="14"/>
          <w:szCs w:val="14"/>
          <w:color w:val="auto"/>
        </w:rPr>
        <w:t>Assumptions that the Company made at the commencement date are re-evaluated upon occurrence of certain events, including a lease modification.</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Convertible Preferred Stock</w:t>
      </w:r>
    </w:p>
    <w:p>
      <w:pPr>
        <w:spacing w:after="0" w:line="9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Company has classified its convertible preferred stock as temporary equity on the Company’s consolidated balance sheets due to the terms that allow for redemption of the shares in cash upon certain deemed liquidation events that are not solely within the control of the Company. The Company initially recorded its Series A-2 and Series B convertible preferred stock at fair value, net of issuance costs. The occurrence of such deemed liquidation event is not currently probable and thus the carrying values of the convertible preferred stock are not being adjusted to their redemption values. Subsequent adjustments to the carrying values of the convertible preferred stock would be made only when a deemed liquidation event becomes probable.</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Research and development, or R&amp;D, costs are expensed as incurred. Internal costs include personnel related expenses, stock-based compensation, facility and IT costs, and depreciation. External costs include fees for goods and services to conduct clinical and non-clinical activities, such as costs paid to contract research organizations, consulting fees, laboratory services and supplies, and costs incurred in connection with license agreements. Prior to the Transaction, these expenses included allocations from PureTech.</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Company is required to estimate its accrued R&amp;D costs as of the end of the reporting period. In accruing R&amp;D costs, the Company estimates the period over which services will be performed or goods will be provided and the level of effort to be performed in each period. The financial terms of the R&amp;D contracts vary and may result in payments that do not match the periods over which the goods or services are provided. The Company accrues costs under its contracts based on analyzing the work performed and amounts paid. In circumstances where amounts have been paid in excess of costs incurred, the Company records the excess as prepaid expense and recognizes research and development expense as the goods are received or the related services are rendered.</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93"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General and administrative expenses are primarily comprised of employee-related expenses, including stock-based compensation and occupancy costs, depreciation, and third-party expenses related to finance, legal and other general and administrative functions. Prior to the Transaction, these expenses included allocations from PureTech.</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Matters</w:t>
      </w:r>
    </w:p>
    <w:p>
      <w:pPr>
        <w:spacing w:after="0" w:line="93" w:lineRule="exact"/>
        <w:rPr>
          <w:sz w:val="20"/>
          <w:szCs w:val="20"/>
          <w:color w:val="auto"/>
        </w:rPr>
      </w:pPr>
    </w:p>
    <w:p>
      <w:pPr>
        <w:ind w:left="1360" w:right="979" w:firstLine="343"/>
        <w:spacing w:after="0" w:line="283" w:lineRule="auto"/>
        <w:rPr>
          <w:sz w:val="20"/>
          <w:szCs w:val="20"/>
          <w:color w:val="auto"/>
        </w:rPr>
      </w:pPr>
      <w:r>
        <w:rPr>
          <w:rFonts w:ascii="Times New Roman" w:cs="Times New Roman" w:eastAsia="Times New Roman" w:hAnsi="Times New Roman"/>
          <w:sz w:val="14"/>
          <w:szCs w:val="14"/>
          <w:color w:val="auto"/>
        </w:rPr>
        <w:t>The Company expenses costs associated with intellectual property-related matters as incurred and classifies such costs as general and administrative expenses within the consolidated statements of operations and comprehensive loss.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386"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Asset Acquisitions and Acquired In-Process Research and Development Expenses</w:t>
      </w:r>
    </w:p>
    <w:p>
      <w:pPr>
        <w:spacing w:after="0" w:line="93"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in-process research and development, or IPR&amp;D. Acquired IPR&amp;D that has no alternative future use as of the acquisition date is recognized as research and development expense as of the acquisition date. The Company will recognize additional research and development expenses in the future or capitalize such amounts for completed technology if and when the Company becomes obligated to make contingent milestone payments under the terms of the agreements by which it acquired the IPR&amp;D assets.</w:t>
      </w:r>
    </w:p>
    <w:p>
      <w:pPr>
        <w:spacing w:after="0" w:line="14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Contingent consideration in asset acquisitions is measured and recognized when payment becomes probable and reasonably estimable. Subsequent changes in the accrued amount of contingent consideration are measured and recognized at the end of each reporting period and upon settlement as an adjustment to the cost basis of the acquired asset or group of assets, or, if related to IPR&amp;D with no alternative future use, charged to expense. The Company did not recognize any IPR&amp;D expense during the years ended December 31, 2025 and 2024.</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Employees of the Company participate in the Company’s stock-based compensation plans and prior to the Transaction, participated in PureTech’s stock-based compensation plans.</w:t>
      </w:r>
    </w:p>
    <w:p>
      <w:pPr>
        <w:spacing w:after="0" w:line="125"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Stock-based compensation expense allocated to the Company for the period prior to the Transaction relates to equity awards issued by PureTech, including stock options, service-based restricted stock unit awards and performance-based restricted stock unit awards with both market and performance conditions. Stock-based compensation expense recorded during the period prior to the Transaction was recognized through allocations, based on the proportion of time the employee spent on the Seaport Business during the year presented and PureTech’s estimate of fair value. Stock-based compensation expense associated with service-based awards granted by PureTech was recognized over the requisite service period of the awards, which is generally the vesting period, on a straight-line basis. Service-based awards granted to employees under the PureTech plans generally vest in four equal annual installments, commencing on the first anniversary of the date of grant, provided the employee remains continuously employed during the applicable vesting period. Performance-based restricted stock unit awards granted under the PureTech plans to its executives included both performance and market conditions, and did not have a material impact on the consolidated financial statements for the years ended December 31, 2025 and 2024.</w:t>
      </w:r>
    </w:p>
    <w:p>
      <w:pPr>
        <w:spacing w:after="0" w:line="146" w:lineRule="exact"/>
        <w:rPr>
          <w:sz w:val="20"/>
          <w:szCs w:val="20"/>
          <w:color w:val="auto"/>
        </w:rPr>
      </w:pPr>
    </w:p>
    <w:p>
      <w:pPr>
        <w:ind w:left="1360" w:right="319" w:firstLine="343"/>
        <w:spacing w:after="0" w:line="254" w:lineRule="auto"/>
        <w:rPr>
          <w:sz w:val="20"/>
          <w:szCs w:val="20"/>
          <w:color w:val="auto"/>
        </w:rPr>
      </w:pPr>
      <w:r>
        <w:rPr>
          <w:rFonts w:ascii="Times New Roman" w:cs="Times New Roman" w:eastAsia="Times New Roman" w:hAnsi="Times New Roman"/>
          <w:sz w:val="14"/>
          <w:szCs w:val="14"/>
          <w:color w:val="auto"/>
        </w:rPr>
        <w:t>Stock-based compensation expense of the Company for periods subsequent to the Transaction relates to equity awards issued by the Company to its employees and non-employees under its 2024 Equity Incentive Plan, or the 2024 Plan, including stock options and restricted stock awards with both service and performance-based vesting conditions. Stock-based compensation expense is measured at estimated fair value on the grant date and is recognized as compensation expense over the requisite service period, which is the vesting period during which an employee provides service in exchange for the award. Compensation expense for awards to non-employees is recognized in the same manner as if the Company had paid cash in exchange for the goods or services, which is generally over the vesting period of the award. Forfeitures are accounted for as they occur. Stock-based compensation expense for service-only based awards is recognized on a straight-line basis. Stock-based compensation expense for awards with both performance and service-based vesting conditions is recognized over the requisite service period using an accelerated attribution method, commencing once the performance conditions are considered probable of being achieved, using management’s best estimates.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386"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jc w:val="both"/>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is measured on the date of grant at the estimated fair value of the common stock.</w:t>
      </w:r>
    </w:p>
    <w:p>
      <w:pPr>
        <w:spacing w:after="0" w:line="141"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Because there has not historically been a public market for the Company’s common stock, the estimated fair value of common stock was determined by the Company’s Board of Directors as of the date of each option grant, with inputs from management, considering third-party valuations of its common stock as well as the Company’s Board of Directors’ assessment of additional objective and subjective factors that it believed were relevant.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4"/>
          <w:szCs w:val="14"/>
          <w:i w:val="1"/>
          <w:iCs w:val="1"/>
          <w:color w:val="auto"/>
        </w:rPr>
        <w:t>Valuation of Privately Held Company Equity Securities Issued as Compensation</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left="1360" w:right="279" w:firstLine="343"/>
        <w:spacing w:after="0" w:line="287" w:lineRule="auto"/>
        <w:rPr>
          <w:sz w:val="20"/>
          <w:szCs w:val="20"/>
          <w:color w:val="auto"/>
        </w:rPr>
      </w:pPr>
      <w:r>
        <w:rPr>
          <w:rFonts w:ascii="Times New Roman" w:cs="Times New Roman" w:eastAsia="Times New Roman" w:hAnsi="Times New Roman"/>
          <w:sz w:val="13"/>
          <w:szCs w:val="13"/>
          <w:color w:val="auto"/>
        </w:rPr>
        <w:t>The Company estimates its expected stock price volatility based on the historical volatility of publicly traded peer companies. The expected term of the Company’s stock options has been determined utilizing the “simplified” method. The risk-free interest rate is determined by reference to the U.S. Treasury yield curve in effect at the time of grant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126" w:lineRule="exact"/>
        <w:rPr>
          <w:sz w:val="20"/>
          <w:szCs w:val="20"/>
          <w:color w:val="auto"/>
        </w:rPr>
      </w:pPr>
    </w:p>
    <w:p>
      <w:pPr>
        <w:jc w:val="both"/>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Company classifies stock-based compensation expense in the consolidated statements of operations and comprehensive loss in the same manner in which the award recipients’ payroll costs are classified or in which the award recipients’ service payments are classified. See Note 11— Stock-Based Compensation, for more information.</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Australia Research and Development Tax Credit</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Company is eligible to obtain certain research and development tax credits, through its wholly owned Australian subsidiary, as part of a program administered by the Australian Tax Office. The Company recognizes the research and development incentive as income within other income (expense), net within the consolidated statements of operations and comprehensive loss as it incurs costs eligible for reimbursement under the Australia R&amp;D credit program when it is reasonably assured that the cash incentive will be received, as evidenced through enrollment in the program and when the applicable conditions under the program have been met.</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Prior to the Transaction, the Company was included in PureTech’s income tax returns, and all income taxes were paid by PureTech. Income tax expense and other income tax related information contained in these consolidated financial statements prior to the Transaction are presented on a separate return approach as if the Company filed its own tax return for those periods. Under this approach, the provision for income taxes represents income tax paid or payable (or received or receivable) for the current year plus the change in deferred taxes during the year calculated as if the Company were a standalone taxpayer filing hypothetical income tax returns. Current income tax liabilities were assumed to be immediately settled with PureTech and were relieved through the “Net parent investment” account and were reflected as “Net transfers from PureTech Health plc” within financing activities in the consolidated statements of cash flows.</w:t>
      </w:r>
    </w:p>
    <w:p>
      <w:pPr>
        <w:spacing w:after="0" w:line="144"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The Company recognizes income taxes under the asset and liability method. Deferred income taxes are recognized for differences between the financial reporting and tax basis of assets and liabilities at enacted</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386"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statutory tax rates in effect for the years in which the differences are expected to reverse. The effect on deferred taxes of a change in tax rates are recognized in income in the period that includes the enactment date. In evaluating the Company’s ability to recover its deferred tax assets, the Company considers all available positive and negative evidence including its past operating results, the existence of cumulative losses in the most recent fiscal years, changes in the business in which the Company operates and its forecast of future taxable income. In determining future taxable income, the Company is responsible for assumptions utilized, including the amount of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44"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also accrues for potential interest and penalties related to unrecognized tax benefits in income tax expense. For the years ended December 31, 2025 and 2024, the Company had no tax reserves accrued for uncertain tax positions.</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Comprehensive loss is comprised of net loss and other comprehensive income (loss). Other comprehensive income (loss) consists of unrealized gains on available-for-sale securities and foreign currency translation adjustments.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There is no allocation required under the two-class method during periods of loss since the participating securities do not have a contractual obligation to share in the losses.</w:t>
      </w:r>
    </w:p>
    <w:p>
      <w:pPr>
        <w:spacing w:after="0" w:line="145"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Basic net loss per share is computed by dividing the net loss in each period by the weighted average number of shares of common stock outstanding during such period, excluding potentially dilutive common shares. Diluted net loss per share is computed similarly to basic net loss per share except that the denominator is increased to include the number of additional shares of common stock that would have been outstanding if the potential shares of common stock had been issued and if the additional shares of common stock were dilutive. The shares of common stock and convertible preferred stock distributed to PureTech upon the formation of the Company and on the effective date of the Asset Transfer were considered as outstanding in the calculation of basic and diluted earnings per share for the period prior to the formation of the Company and the Asset Transfer, as the formation and Asset Transfer were deemed to be common control transactions. Additionally, the SPTX March 2024 Shares were considered outstanding in the calculation of basic and diluted earnings per share as of</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386"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their date of issuance and the SPTX February 2024 Shares were considered outstanding in the calculation of diluted earnings per share as of their date of issuance (See Note 10—Common Stock, for definitions and further disclosure regarding these SPTX shares). The Company had no additional shares of common stock outstanding or any potentially dilutive equity instruments other than described above prior to its formation and the Asset Transfer Date. See Note 16—Net Loss per Share for definitions and further disclosure.</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3" w:lineRule="exact"/>
        <w:rPr>
          <w:sz w:val="20"/>
          <w:szCs w:val="20"/>
          <w:color w:val="auto"/>
        </w:rPr>
      </w:pPr>
    </w:p>
    <w:p>
      <w:pPr>
        <w:ind w:left="1360" w:right="259" w:firstLine="343"/>
        <w:spacing w:after="0" w:line="234"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and discrete information is available for evaluation by the chief operating decision-maker, or CODM, in deciding how to allocate resources and assess performance. The Company has one operating and reportable segment, which is the business focused on advancing the development of neuropsychiatric medicines in areas of high unmet patient needs using the Company’s proprietary Glyph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Platform. The Company’s CODM, its chief executive officer, manages the Company’s operations on a consolidated basis for the purpose of allocating resources. All of the Company’s long-lived assets are held in the United States. See Note 15—Segments, for further disclosure regarding the Company’s segment information.</w:t>
      </w:r>
    </w:p>
    <w:p>
      <w:pPr>
        <w:spacing w:after="0" w:line="23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1"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or ASU 2023-09. Additionally, the amendments in the ASU 2023-09 update require entities to disclose certain information about income taxes paid, income tax disaggregation, disclosures around unrecognized tax benefits, and the removal of disclosures related to temporary differences surrounding deferred tax liabilities to enhance the transparency and decision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elected to early adopt the standard in 2025 on a retrospective basis. See Note 12- Income Taxes, for further disclosure.</w:t>
      </w:r>
    </w:p>
    <w:p>
      <w:pPr>
        <w:spacing w:after="0" w:line="2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 Updates</w:t>
      </w:r>
    </w:p>
    <w:p>
      <w:pPr>
        <w:spacing w:after="0" w:line="9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standard-setting bodies that are adopted by Seaport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financial position or results of operations upon adoption.</w:t>
      </w:r>
    </w:p>
    <w:p>
      <w:pPr>
        <w:spacing w:after="0" w:line="147" w:lineRule="exact"/>
        <w:rPr>
          <w:sz w:val="20"/>
          <w:szCs w:val="20"/>
          <w:color w:val="auto"/>
        </w:rPr>
      </w:pPr>
    </w:p>
    <w:p>
      <w:pPr>
        <w:ind w:left="1360" w:right="279" w:firstLine="343"/>
        <w:spacing w:after="0" w:line="298" w:lineRule="auto"/>
        <w:rPr>
          <w:sz w:val="20"/>
          <w:szCs w:val="20"/>
          <w:color w:val="auto"/>
        </w:rPr>
      </w:pPr>
      <w:r>
        <w:rPr>
          <w:rFonts w:ascii="Times New Roman" w:cs="Times New Roman" w:eastAsia="Times New Roman" w:hAnsi="Times New Roman"/>
          <w:sz w:val="13"/>
          <w:szCs w:val="13"/>
          <w:color w:val="auto"/>
        </w:rPr>
        <w:t xml:space="preserve">In November 2024, the FASB issued ASU 2024-03, </w:t>
      </w:r>
      <w:r>
        <w:rPr>
          <w:rFonts w:ascii="Times New Roman" w:cs="Times New Roman" w:eastAsia="Times New Roman" w:hAnsi="Times New Roman"/>
          <w:sz w:val="13"/>
          <w:szCs w:val="13"/>
          <w:i w:val="1"/>
          <w:iCs w:val="1"/>
          <w:color w:val="auto"/>
        </w:rPr>
        <w:t>Income Statement—Reporting Comprehensive Income—Expense Disaggregation Disclosures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(Subtopic 220-40): Disaggregation of Income Statement Expenses</w:t>
      </w:r>
      <w:r>
        <w:rPr>
          <w:rFonts w:ascii="Times New Roman" w:cs="Times New Roman" w:eastAsia="Times New Roman" w:hAnsi="Times New Roman"/>
          <w:sz w:val="13"/>
          <w:szCs w:val="13"/>
          <w:color w:val="auto"/>
        </w:rPr>
        <w:t>, or ASU 2024-03, which is intended to provide more detailed information about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specified categories of expenses (purchases of inventory, employee compensation, depreciation, and amortization) included in certain</w:t>
      </w:r>
    </w:p>
    <w:p>
      <w:pPr>
        <w:spacing w:after="0" w:line="6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386"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expense captions presented on the statement of operations.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PREPAID EXPENSES AND OTHER CURRENT ASSETS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7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70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1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9"/>
                <w:szCs w:val="9"/>
                <w:color w:val="auto"/>
              </w:rPr>
            </w:pPr>
          </w:p>
        </w:tc>
      </w:tr>
      <w:tr>
        <w:trPr>
          <w:trHeight w:val="159"/>
        </w:trPr>
        <w:tc>
          <w:tcPr>
            <w:tcW w:w="70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Prepaid research and development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3,026</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4"/>
                <w:szCs w:val="14"/>
                <w:color w:val="auto"/>
                <w:w w:val="85"/>
              </w:rPr>
              <w:t>389</w:t>
            </w:r>
          </w:p>
        </w:tc>
        <w:tc>
          <w:tcPr>
            <w:tcW w:w="60" w:type="dxa"/>
            <w:vAlign w:val="bottom"/>
            <w:shd w:val="clear" w:color="auto" w:fill="CCEEFF"/>
          </w:tcPr>
          <w:p>
            <w:pPr>
              <w:spacing w:after="0"/>
              <w:rPr>
                <w:sz w:val="13"/>
                <w:szCs w:val="13"/>
                <w:color w:val="auto"/>
              </w:rPr>
            </w:pPr>
          </w:p>
        </w:tc>
      </w:tr>
      <w:tr>
        <w:trPr>
          <w:trHeight w:val="168"/>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Australia research and development tax credit receivable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Prepaid 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85"/>
              </w:rPr>
              <w:t>393</w:t>
            </w:r>
          </w:p>
        </w:tc>
        <w:tc>
          <w:tcPr>
            <w:tcW w:w="60" w:type="dxa"/>
            <w:vAlign w:val="bottom"/>
          </w:tcPr>
          <w:p>
            <w:pPr>
              <w:spacing w:after="0"/>
              <w:rPr>
                <w:sz w:val="14"/>
                <w:szCs w:val="14"/>
                <w:color w:val="auto"/>
              </w:rPr>
            </w:pPr>
          </w:p>
        </w:tc>
      </w:tr>
      <w:tr>
        <w:trPr>
          <w:trHeight w:val="16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employee compensation and benefits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271</w:t>
            </w:r>
          </w:p>
        </w:tc>
        <w:tc>
          <w:tcPr>
            <w:tcW w:w="60" w:type="dxa"/>
            <w:vAlign w:val="bottom"/>
            <w:shd w:val="clear" w:color="auto" w:fill="CCEEFF"/>
          </w:tcPr>
          <w:p>
            <w:pPr>
              <w:spacing w:after="0"/>
              <w:rPr>
                <w:sz w:val="14"/>
                <w:szCs w:val="14"/>
                <w:color w:val="auto"/>
              </w:rPr>
            </w:pPr>
          </w:p>
        </w:tc>
      </w:tr>
      <w:tr>
        <w:trPr>
          <w:trHeight w:val="169"/>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   7,247</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5"/>
              </w:rPr>
              <w:t>1,053</w:t>
            </w:r>
          </w:p>
        </w:tc>
        <w:tc>
          <w:tcPr>
            <w:tcW w:w="6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9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financial assets, and liabilities carried at fair value on a recurring basis (in thousands):</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Quoted prices in</w:t>
            </w:r>
          </w:p>
        </w:tc>
        <w:tc>
          <w:tcPr>
            <w:tcW w:w="500" w:type="dxa"/>
            <w:vAlign w:val="bottom"/>
          </w:tcPr>
          <w:p>
            <w:pPr>
              <w:spacing w:after="0"/>
              <w:rPr>
                <w:sz w:val="7"/>
                <w:szCs w:val="7"/>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80" w:type="dxa"/>
            <w:vAlign w:val="bottom"/>
            <w:gridSpan w:val="4"/>
          </w:tcPr>
          <w:p>
            <w:pPr>
              <w:ind w:left="460"/>
              <w:spacing w:after="0" w:line="116"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5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jc w:val="center"/>
              <w:ind w:right="17"/>
              <w:spacing w:after="0" w:line="116"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1360" w:type="dxa"/>
            <w:vAlign w:val="bottom"/>
            <w:gridSpan w:val="4"/>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520" w:type="dxa"/>
            <w:vAlign w:val="bottom"/>
          </w:tcPr>
          <w:p>
            <w:pPr>
              <w:spacing w:after="0"/>
              <w:rPr>
                <w:sz w:val="10"/>
                <w:szCs w:val="10"/>
                <w:color w:val="auto"/>
              </w:rPr>
            </w:pPr>
          </w:p>
        </w:tc>
        <w:tc>
          <w:tcPr>
            <w:tcW w:w="80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32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equivalents:</w:t>
            </w:r>
          </w:p>
        </w:tc>
        <w:tc>
          <w:tcPr>
            <w:tcW w:w="14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198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color w:val="auto"/>
              </w:rPr>
              <w:t>$ 45,710</w:t>
            </w:r>
          </w:p>
        </w:tc>
        <w:tc>
          <w:tcPr>
            <w:tcW w:w="5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left="277"/>
              <w:spacing w:after="0"/>
              <w:rPr>
                <w:sz w:val="20"/>
                <w:szCs w:val="20"/>
                <w:color w:val="auto"/>
              </w:rPr>
            </w:pPr>
            <w:r>
              <w:rPr>
                <w:rFonts w:ascii="Times New Roman" w:cs="Times New Roman" w:eastAsia="Times New Roman" w:hAnsi="Times New Roman"/>
                <w:sz w:val="14"/>
                <w:szCs w:val="14"/>
                <w:color w:val="auto"/>
                <w:w w:val="98"/>
              </w:rPr>
              <w:t>45,710</w:t>
            </w:r>
          </w:p>
        </w:tc>
        <w:tc>
          <w:tcPr>
            <w:tcW w:w="64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1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U.S. treasuries</w:t>
            </w:r>
          </w:p>
        </w:tc>
        <w:tc>
          <w:tcPr>
            <w:tcW w:w="14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187,611</w:t>
            </w:r>
          </w:p>
        </w:tc>
        <w:tc>
          <w:tcPr>
            <w:tcW w:w="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w w:val="95"/>
              </w:rPr>
              <w:t>— </w:t>
            </w:r>
          </w:p>
        </w:tc>
        <w:tc>
          <w:tcPr>
            <w:tcW w:w="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1980" w:type="dxa"/>
            <w:vAlign w:val="bottom"/>
            <w:tcBorders>
              <w:right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233,321</w:t>
            </w:r>
          </w:p>
        </w:tc>
        <w:tc>
          <w:tcPr>
            <w:tcW w:w="5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shd w:val="clear" w:color="auto" w:fill="CCEEFF"/>
          </w:tcPr>
          <w:p>
            <w:pPr>
              <w:jc w:val="center"/>
              <w:ind w:left="277"/>
              <w:spacing w:after="0"/>
              <w:rPr>
                <w:sz w:val="20"/>
                <w:szCs w:val="20"/>
                <w:color w:val="auto"/>
              </w:rPr>
            </w:pPr>
            <w:r>
              <w:rPr>
                <w:rFonts w:ascii="Times New Roman" w:cs="Times New Roman" w:eastAsia="Times New Roman" w:hAnsi="Times New Roman"/>
                <w:sz w:val="14"/>
                <w:szCs w:val="14"/>
                <w:color w:val="auto"/>
                <w:w w:val="98"/>
              </w:rPr>
              <w:t>45,710</w:t>
            </w:r>
          </w:p>
        </w:tc>
        <w:tc>
          <w:tcPr>
            <w:tcW w:w="64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187,611</w:t>
            </w:r>
          </w:p>
        </w:tc>
        <w:tc>
          <w:tcPr>
            <w:tcW w:w="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2"/>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Quoted prices in</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active markets for</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7"/>
              <w:spacing w:after="0" w:line="116"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500" w:type="dxa"/>
            <w:vAlign w:val="bottom"/>
          </w:tcPr>
          <w:p>
            <w:pPr>
              <w:spacing w:after="0"/>
              <w:rPr>
                <w:sz w:val="10"/>
                <w:szCs w:val="10"/>
                <w:color w:val="auto"/>
              </w:rPr>
            </w:pPr>
          </w:p>
        </w:tc>
        <w:tc>
          <w:tcPr>
            <w:tcW w:w="86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w w:val="96"/>
              </w:rPr>
              <w:t>observable inputs</w:t>
            </w:r>
          </w:p>
        </w:tc>
        <w:tc>
          <w:tcPr>
            <w:tcW w:w="520" w:type="dxa"/>
            <w:vAlign w:val="bottom"/>
          </w:tcPr>
          <w:p>
            <w:pPr>
              <w:spacing w:after="0"/>
              <w:rPr>
                <w:sz w:val="10"/>
                <w:szCs w:val="10"/>
                <w:color w:val="auto"/>
              </w:rPr>
            </w:pPr>
          </w:p>
        </w:tc>
        <w:tc>
          <w:tcPr>
            <w:tcW w:w="80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32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equivalents:</w:t>
            </w:r>
          </w:p>
        </w:tc>
        <w:tc>
          <w:tcPr>
            <w:tcW w:w="14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right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308,849</w:t>
            </w:r>
          </w:p>
        </w:tc>
        <w:tc>
          <w:tcPr>
            <w:tcW w:w="58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center"/>
              <w:ind w:left="277"/>
              <w:spacing w:after="0"/>
              <w:rPr>
                <w:sz w:val="20"/>
                <w:szCs w:val="20"/>
                <w:color w:val="auto"/>
              </w:rPr>
            </w:pPr>
            <w:r>
              <w:rPr>
                <w:rFonts w:ascii="Times New Roman" w:cs="Times New Roman" w:eastAsia="Times New Roman" w:hAnsi="Times New Roman"/>
                <w:sz w:val="14"/>
                <w:szCs w:val="14"/>
                <w:color w:val="auto"/>
              </w:rPr>
              <w:t>308,849</w:t>
            </w:r>
          </w:p>
        </w:tc>
        <w:tc>
          <w:tcPr>
            <w:tcW w:w="64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19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308,849</w:t>
            </w:r>
          </w:p>
        </w:tc>
        <w:tc>
          <w:tcPr>
            <w:tcW w:w="5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CCEEFF"/>
            </w:tcBorders>
            <w:shd w:val="clear" w:color="auto" w:fill="CCEEFF"/>
          </w:tcPr>
          <w:p>
            <w:pPr>
              <w:jc w:val="center"/>
              <w:ind w:left="277"/>
              <w:spacing w:after="0"/>
              <w:rPr>
                <w:sz w:val="20"/>
                <w:szCs w:val="20"/>
                <w:color w:val="auto"/>
              </w:rPr>
            </w:pPr>
            <w:r>
              <w:rPr>
                <w:rFonts w:ascii="Times New Roman" w:cs="Times New Roman" w:eastAsia="Times New Roman" w:hAnsi="Times New Roman"/>
                <w:sz w:val="14"/>
                <w:szCs w:val="14"/>
                <w:color w:val="auto"/>
              </w:rPr>
              <w:t>308,849</w:t>
            </w:r>
          </w:p>
        </w:tc>
        <w:tc>
          <w:tcPr>
            <w:tcW w:w="6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and 2024, the Company’s cash equivalents consisted of money market funds which are classified as Level 1 financial assets, as these assets are valued using quoted market prices in active markets without any valuation adjustment. As of December 31, 2025, the Company’s investments consisted of</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386"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United States treasuries, which are classified as Level 2 financial assets. The Company estimates the fair value of the investments by taking into consideration valuations obtained from third-party pricing sources. As of December 31, 2025 and 2024, the Company had no financial liabilities that required fair value measurement.</w:t>
      </w:r>
    </w:p>
    <w:p>
      <w:pPr>
        <w:spacing w:after="0" w:line="136"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During the years ended December 31, 2025 and 2024, there were no transfers or reclassifications between fair value measurement levels of assets. The carrying amounts reflected in the consolidated balance sheets for prepaid expenses and other current assets, accounts payable, related party payable and accrued expenses and other current liabilities approximate fair value due to their short-term nature.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5. INVESTMENTS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summarizes the Company’s investments held as of December 31, 2025.</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880" w:type="dxa"/>
            <w:vAlign w:val="bottom"/>
            <w:gridSpan w:val="3"/>
          </w:tcPr>
          <w:p>
            <w:pPr>
              <w:ind w:left="360"/>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880" w:type="dxa"/>
            <w:vAlign w:val="bottom"/>
            <w:gridSpan w:val="3"/>
          </w:tcPr>
          <w:p>
            <w:pPr>
              <w:ind w:left="360"/>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ind w:right="17"/>
              <w:spacing w:after="0" w:line="116" w:lineRule="exact"/>
              <w:rPr>
                <w:sz w:val="20"/>
                <w:szCs w:val="20"/>
                <w:color w:val="auto"/>
              </w:rPr>
            </w:pPr>
            <w:r>
              <w:rPr>
                <w:rFonts w:ascii="Times New Roman" w:cs="Times New Roman" w:eastAsia="Times New Roman" w:hAnsi="Times New Roman"/>
                <w:sz w:val="11"/>
                <w:szCs w:val="11"/>
                <w:b w:val="1"/>
                <w:bCs w:val="1"/>
                <w:color w:val="auto"/>
                <w:w w:val="94"/>
              </w:rPr>
              <w:t>Holding</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16"/>
              <w:spacing w:after="0" w:line="116" w:lineRule="exact"/>
              <w:rPr>
                <w:sz w:val="20"/>
                <w:szCs w:val="20"/>
                <w:color w:val="auto"/>
              </w:rPr>
            </w:pPr>
            <w:r>
              <w:rPr>
                <w:rFonts w:ascii="Times New Roman" w:cs="Times New Roman" w:eastAsia="Times New Roman" w:hAnsi="Times New Roman"/>
                <w:sz w:val="11"/>
                <w:szCs w:val="11"/>
                <w:b w:val="1"/>
                <w:bCs w:val="1"/>
                <w:color w:val="auto"/>
              </w:rPr>
              <w:t>Holding</w:t>
            </w:r>
          </w:p>
        </w:tc>
        <w:tc>
          <w:tcPr>
            <w:tcW w:w="36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Cost</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Short-term investments:</w:t>
            </w:r>
          </w:p>
        </w:tc>
        <w:tc>
          <w:tcPr>
            <w:tcW w:w="20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 Treasuries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$169,662</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4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5"/>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$169,941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2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 Treasuries</w:t>
            </w:r>
          </w:p>
        </w:tc>
        <w:tc>
          <w:tcPr>
            <w:tcW w:w="20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17,639</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financial assets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187,301</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187,611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As of December 31, 2025, the Company’s investments were in net unrealized gain position of $0.3 million. These amounts are included in other comprehensive income (loss) in the consolidated statements of operations and comprehensive loss. As of December 31, 2025, there were no investments in an unrealized loss position. The Company determined that there was no material credit risk associated with its investments as of December 31, 2025. As a result, the Company did not record any charges for credit-related impairments for its investments during the year ended December 31, 2025. As of December 31, 2025, the Company’s investments had remaining maturities of two years or less. The Company did not have any investments as of December 31, 2024.</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6. PROPERTY AND EQUIPMENT, NET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73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33"/>
              <w:spacing w:after="0" w:line="106"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22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Borders>
              <w:bottom w:val="single" w:sz="8" w:color="CCEEFF"/>
            </w:tcBorders>
          </w:tcPr>
          <w:p>
            <w:pPr>
              <w:spacing w:after="0"/>
              <w:rPr>
                <w:sz w:val="9"/>
                <w:szCs w:val="9"/>
                <w:color w:val="auto"/>
              </w:rPr>
            </w:pPr>
          </w:p>
        </w:tc>
      </w:tr>
      <w:tr>
        <w:trPr>
          <w:trHeight w:val="159"/>
        </w:trPr>
        <w:tc>
          <w:tcPr>
            <w:tcW w:w="73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Lab equipment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943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CCEEFF"/>
          </w:tcPr>
          <w:p>
            <w:pPr>
              <w:spacing w:after="0"/>
              <w:rPr>
                <w:sz w:val="13"/>
                <w:szCs w:val="13"/>
                <w:color w:val="auto"/>
              </w:rPr>
            </w:pPr>
          </w:p>
        </w:tc>
      </w:tr>
      <w:tr>
        <w:trPr>
          <w:trHeight w:val="168"/>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r>
      <w:tr>
        <w:trPr>
          <w:trHeight w:val="16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1,401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1,077</w:t>
            </w:r>
          </w:p>
        </w:tc>
        <w:tc>
          <w:tcPr>
            <w:tcW w:w="80" w:type="dxa"/>
            <w:vAlign w:val="bottom"/>
          </w:tcPr>
          <w:p>
            <w:pPr>
              <w:spacing w:after="0"/>
              <w:rPr>
                <w:sz w:val="14"/>
                <w:szCs w:val="14"/>
                <w:color w:val="auto"/>
              </w:rPr>
            </w:pPr>
          </w:p>
        </w:tc>
      </w:tr>
      <w:tr>
        <w:trPr>
          <w:trHeight w:val="16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(837)</w:t>
            </w:r>
          </w:p>
        </w:tc>
      </w:tr>
      <w:tr>
        <w:trPr>
          <w:trHeight w:val="169"/>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4"/>
                <w:szCs w:val="14"/>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Depreciation expense was $0.2 million and $0.3 million for the years ended December 31, 2025 and 2024, respectively. The depreciation expense recorded for the year ended December 31, 2024 consisted of $0.2 million of depreciation expense on the Company’s assets included on the consolidated balance sheet as of December 31, 2024 and $0.1 million of allocated depreciation expense from PureTech associated with shared assets.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10159"/>
          </w:cols>
          <w:pgMar w:left="300" w:top="386"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7. ACCRUED EXPENSES AND OTHER CURRENT LIABILITIES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80" w:type="dxa"/>
            <w:vAlign w:val="bottom"/>
            <w:tcBorders>
              <w:top w:val="single" w:sz="8" w:color="auto"/>
            </w:tcBorders>
          </w:tcPr>
          <w:p>
            <w:pPr>
              <w:jc w:val="right"/>
              <w:ind w:right="1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top w:val="single" w:sz="8" w:color="auto"/>
            </w:tcBorders>
            <w:gridSpan w:val="2"/>
          </w:tcPr>
          <w:p>
            <w:pPr>
              <w:jc w:val="right"/>
              <w:ind w:right="1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5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Accrued research and development expense</w:t>
            </w:r>
          </w:p>
        </w:tc>
        <w:tc>
          <w:tcPr>
            <w:tcW w:w="25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$2,639</w:t>
            </w:r>
          </w:p>
        </w:tc>
        <w:tc>
          <w:tcPr>
            <w:tcW w:w="2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$1,567</w:t>
            </w:r>
          </w:p>
        </w:tc>
        <w:tc>
          <w:tcPr>
            <w:tcW w:w="6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personnel and bonus expense</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professional and legal fees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6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Accrued other</w:t>
            </w:r>
          </w:p>
        </w:tc>
        <w:tc>
          <w:tcPr>
            <w:tcW w:w="25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9,131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5,208</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8. MONASH LICENSE AGREEMENT</w:t>
      </w:r>
    </w:p>
    <w:p>
      <w:pPr>
        <w:spacing w:after="0" w:line="93" w:lineRule="exact"/>
        <w:rPr>
          <w:sz w:val="20"/>
          <w:szCs w:val="20"/>
          <w:color w:val="auto"/>
        </w:rPr>
      </w:pPr>
    </w:p>
    <w:p>
      <w:pPr>
        <w:ind w:left="1360" w:right="639" w:firstLine="343"/>
        <w:spacing w:after="0" w:line="261" w:lineRule="auto"/>
        <w:rPr>
          <w:sz w:val="20"/>
          <w:szCs w:val="20"/>
          <w:color w:val="auto"/>
        </w:rPr>
      </w:pPr>
      <w:r>
        <w:rPr>
          <w:rFonts w:ascii="Times New Roman" w:cs="Times New Roman" w:eastAsia="Times New Roman" w:hAnsi="Times New Roman"/>
          <w:sz w:val="14"/>
          <w:szCs w:val="14"/>
          <w:color w:val="auto"/>
        </w:rPr>
        <w:t>In April 2024, PureTech Health exclusively assigned to the Company, and the Company assumed all rights and obligations under a license agreement entered into in August 2017 between PureTech Health and Monash University, or the Original License Agreement. In March 2025, the Company entered into an amended and restated license agreement with Monash University, which amended and restated the Original License Agreement, or the Monash License Agreement.</w:t>
      </w:r>
    </w:p>
    <w:p>
      <w:pPr>
        <w:spacing w:after="0" w:line="141"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Pursuant to the Monash License Agreement, Monash University grants the Company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the Company and Monash University agreed to collaborate in conducting research and development activities.</w:t>
      </w:r>
    </w:p>
    <w:p>
      <w:pPr>
        <w:spacing w:after="0" w:line="14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Under the Monash License Agreement, the Company has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The Company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44"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As consideration for the licenses granted by Monash University, the Company is required to pay Monash University: (i) between 3% and 5% on net sales per calendar year (subject to certain reductions); (ii) a low-double digit percentage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386"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The Company is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4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the Company fails to meet its diligence requirements. Either party may terminate the Monash License Agreement if the Company determines that the activities are no longer commercially viable.</w:t>
      </w:r>
    </w:p>
    <w:p>
      <w:pPr>
        <w:spacing w:after="0" w:line="14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Monash License Agreement was determined to represent an asset acquisition, as the acquired licenses and intellectual property did not meet the definition of a business. All upfront consideration paid in exchange for the Monash License Agreement was expensed as research and development upon execution of the agreement, as the Licensed Patents and intellectual property was determined to represent in-process research and development with no alternative future use.</w:t>
      </w:r>
    </w:p>
    <w:p>
      <w:pPr>
        <w:spacing w:after="0" w:line="141"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Prior to the formation of the Company, PureTech paid $0.2 million in development milestones under the Monash License Agreement. During the year ended December 31, 2025 the Company paid $0.1 million in development milestones under the agreement. No milestones were paid by the Company under the Monash License Agreement during the year ended December 31, 2024.</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9. CONVERTIBLE PREFERRED STOCK</w:t>
      </w:r>
    </w:p>
    <w:p>
      <w:pPr>
        <w:spacing w:after="0" w:line="93"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Company has issued Series A-1 convertible preferred stock, or the Series A-1 Preferred Stock, Series A-2 convertible preferred stock, or the Series A-2 Preferred Stock, and Series B convertible preferred stock, or the Series B Preferred Stock, and collectively with the Series A-1 Preferred Stock and Series A-2 Preferred Stock, the Preferred Stock.</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Series A-1 and Series A-2 Preferred Stock</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In April 2024, the Company issued to PureTech LYT, a wholly owned subsidiary of PureTech, 40,000,000 shares of its Series A-1 Preferred Stock, as part of the consideration for the assets contributed to the Company as part of the Asset Transfer Agreement. No value was assigned to the Series A-1 Preferred Stock as it represented consideration paid as part of a common control transaction. See Note 1—Nature of Business and Basis of Presentation, for further disclosure of the Asset Transfer Agreement.</w:t>
      </w:r>
    </w:p>
    <w:p>
      <w:pPr>
        <w:spacing w:after="0" w:line="14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Concurrently, upon the issuance of the Series A-1 Preferred Stock to PureTech LYT, the Company entered into a Series A-2 Preferred Stock Purchase Agreement, or the Series A-2 Financing, with PureTech LYT and other third-party investors pursuant to which the Company issued and sold 26,342,102 shares of its Series A-2 Preferred Stock at a price of $3.80 per share for gross aggregate proceeds of $100.1 million. See Note 17—Related Parties, for further disclosure of the issuances of the Company’s Series A-2 Preferred Stock to related parties.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386"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In October 2024, the Company entered into a stock purchase agreement with new and existing investors, or the Series B Financing, pursuant to which the Company issued and sold an aggregate amount of 47,578,934 shares of its Series B Preferred Stock at a purchase price of $4.75 per share, for gross aggregate proceeds of $226.0 million. See Note 17—Related Parties, for further disclosure around the issuances of the Company’s Series B Preferred Stock to related parties.</w:t>
      </w:r>
    </w:p>
    <w:p>
      <w:pPr>
        <w:spacing w:after="0" w:line="141"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of December 31, 2025 and 2024, Preferred Stock consisted of the following (in thousands, except share and per share amounts):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22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0" w:type="dxa"/>
            <w:vAlign w:val="bottom"/>
          </w:tcPr>
          <w:p>
            <w:pPr>
              <w:spacing w:after="0"/>
              <w:rPr>
                <w:sz w:val="1"/>
                <w:szCs w:val="1"/>
                <w:color w:val="auto"/>
              </w:rPr>
            </w:pPr>
          </w:p>
        </w:tc>
      </w:tr>
      <w:tr>
        <w:trPr>
          <w:trHeight w:val="116"/>
        </w:trPr>
        <w:tc>
          <w:tcPr>
            <w:tcW w:w="3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Stock Issued</w:t>
            </w:r>
          </w:p>
        </w:tc>
        <w:tc>
          <w:tcPr>
            <w:tcW w:w="20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20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Stock Issuable</w:t>
            </w:r>
          </w:p>
        </w:tc>
        <w:tc>
          <w:tcPr>
            <w:tcW w:w="0" w:type="dxa"/>
            <w:vAlign w:val="bottom"/>
          </w:tcPr>
          <w:p>
            <w:pPr>
              <w:spacing w:after="0"/>
              <w:rPr>
                <w:sz w:val="1"/>
                <w:szCs w:val="1"/>
                <w:color w:val="auto"/>
              </w:rPr>
            </w:pPr>
          </w:p>
        </w:tc>
      </w:tr>
      <w:tr>
        <w:trPr>
          <w:trHeight w:val="116"/>
        </w:trPr>
        <w:tc>
          <w:tcPr>
            <w:tcW w:w="334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2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Price per</w:t>
            </w:r>
          </w:p>
        </w:tc>
        <w:tc>
          <w:tcPr>
            <w:tcW w:w="8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Upon</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22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2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0" w:type="dxa"/>
            <w:vAlign w:val="bottom"/>
          </w:tcPr>
          <w:p>
            <w:pPr>
              <w:spacing w:after="0"/>
              <w:rPr>
                <w:sz w:val="1"/>
                <w:szCs w:val="1"/>
                <w:color w:val="auto"/>
              </w:rPr>
            </w:pPr>
          </w:p>
        </w:tc>
      </w:tr>
      <w:tr>
        <w:trPr>
          <w:trHeight w:val="159"/>
        </w:trPr>
        <w:tc>
          <w:tcPr>
            <w:tcW w:w="33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Series A-1 Preferred Stock</w:t>
            </w: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40,000,000</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40,000,000</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4,000</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0.10</w:t>
            </w: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40,000,000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Series A-2 Preferred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26,342,102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26,342,102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26,342,102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47,578,938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47,578,934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225,571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47,578,934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Total Preferred Stock</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113,921,040</w:t>
            </w:r>
          </w:p>
        </w:tc>
        <w:tc>
          <w:tcPr>
            <w:tcW w:w="2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113,921,036</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325,328</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330,100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113,921,036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of December 31, 2025, the holders of the Preferred Stock have the following rights and preferences:</w:t>
      </w: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holders of the Preferred Stock are entitled to vote, together with the holders of common stock, as a single class, on all matters submitted to the shareholders for a vote and are entitled to the number of votes equal to the number of shares of common stock into which the Preferred Stock would convert on the record date for determination of shareholders entitled to vote. The holders of the Preferred Stock generally vote together as a single class with holders of common stock except that, (i) the holders of Series A-1 Preferred Stock, exclusively and voting together as a separate class on an as converted basis, shall be entitled to elect two (2) directors of the Company, each, a Series A-1 Director, (ii) the holders of record of the shares of Series A-2 Preferred Stock, exclusively and voting together as a separate class on an as converted basis, shall be entitled to elect two (2) directors of the Company, each, a Series A-2 Director, (iii) the holders of record of the shares of Series B Preferred Stock, exclusively and voting together as a separate class on an as converted basis, shall be entitled to elect one (1) director of the Company, or the Series B Director and, together with the Series A-1 Directors and Series A-2 Directors, each, a Preferred Director.</w:t>
      </w:r>
    </w:p>
    <w:p>
      <w:pPr>
        <w:spacing w:after="0" w:line="149" w:lineRule="exact"/>
        <w:rPr>
          <w:sz w:val="20"/>
          <w:szCs w:val="20"/>
          <w:color w:val="auto"/>
        </w:rPr>
      </w:pPr>
    </w:p>
    <w:p>
      <w:pPr>
        <w:jc w:val="both"/>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Further, a majority vote of the holders of the Company’s Preferred Stock is required to, among others, liquidate or dissolve the Company, amend the certificate of incorporation or bylaws, reclassify common stock or establish another class of capital stock, create shares that would rank senior to or authorize additional shares of Preferred Stock, declare a dividend or make a distribution, or change the authorized number of directors constituting the board of directors.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3"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The holders of the Preferred Stock are entitled to participate in any dividends payable to common stockholders on an as converted basis and have priority over the payment of dividends to holders of common stock.</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386"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the case of a dividend on common stock or any class of stock that is convertible into common stock, the dividend per share of Preferred Stock would equal the product of (A) the dividend payable on each share of such class or series as if all shares of such class or series had been converted into common stock and (B) the number of shares of common stock issuable upon conversion of such share of Preferred Stock. In the case of a dividend on any class or series that is not convertible into common stock, the dividend per share of Preferred Stock would be determined by (A) dividing the amount of dividend payable on each share of such class or series of capital stock by the original issue price of such class or series and (B) multiplying such fraction by the original issue price of the applicable class or series of Preferred Stock.</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3"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Each outstanding share of Preferred Stock is convertible, at any time, at its holder’s discretion, and without the payment of additional consideration, into such whole number of fully paid, non-assessable shares of common stock, at the applicable conversion ratio then in effect. The conversion price for each share of Preferred Stock shall initially be equal to the original issuance price for such series of Preferred Stock and is subject to standard anti-dilutive adjustments for share splits and similar transactions. In the event certain conditions are not met prior to March 31, 2026, the conversion price of the Series B Preferred Stock will be reduced to $3.80. During the year ended December 31, 2025, the Company satisfied the applicable condition, thereby eliminating the conversion price reduction contingency.</w:t>
      </w:r>
    </w:p>
    <w:p>
      <w:pPr>
        <w:spacing w:after="0" w:line="143"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Each outstanding share of Preferred Stock shall automatically be converted into fully-paid, non-assessable shares of common stock upon the earliest to occur of (i) the consummation of a qualified initial public offering at a public offering price of at least $5.70 per share, in a firm commitment resulting in at least $100.0 million of gross proceeds or (ii) the date specified by vote or written consent of the holders of at least a majority of the outstanding shares of the Preferred Stock, voting together as a single class on an as-converted basis, and the holders of a majority of the outstanding shares of Series A-2 Preferred Stock and Series B Preferred Stock, which majority must include at least one new investor from the Series B Financing that holds at least 2,100,000 shares of Series B Preferred Stock, voting together as a single class on an as-converted basis, or the Requisite Holders, and the holders of at least 65% of the then-outstanding shares of Series B Preferred Stock, or the Series B Majority.</w:t>
      </w:r>
    </w:p>
    <w:p>
      <w:pPr>
        <w:spacing w:after="0" w:line="144"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There shall be no adjustment in the conversion price of the Preferred Stock as a result of the issuance or deemed issuance of additional shares of the Company’s common stock if the Company receives written notice from the holders of at least a majority of the then outstanding shares of Preferred Stock, voting together as a single class, and, solely in the respect of an adjustment in the conversion price of the Series B Preferred Stock, the Series B Majority, agreeing that no such adjustment shall be made as the result of the issuance or deemed issuance of additional shares of the Company’s common stock.</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3"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Company, or upon the occurrence of a Deemed Liquidation Event (as defined below), the holders of shares of Preferred Stock then outstanding shall be entitled, on a pari passu basis among the series of Preferred Stock, to be paid out of the assets or funds of the Company available for distribution to stockholders before any payment is made to the holders of common stock. The holders of Preferred Stock are entitled to an amount per share equal to the greater of (i) the original issue price for such series, plus any dividends declared but unpaid thereon, or (ii) the amount that would have been payable had all shares of each series of Preferred Stock been converted into common stock immediately prior to such liquidation, dissolution, winding up or Deemed Liquidation Event. After the payment in full of the Preferred Stock preference amount, the remaining assets of the Company available for distribution to stockholders shall be distributed among the holders of common stock on a pro rata basis.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386"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jc w:val="both"/>
        <w:ind w:left="1360" w:right="779" w:firstLine="343"/>
        <w:spacing w:after="0" w:line="267" w:lineRule="auto"/>
        <w:rPr>
          <w:sz w:val="20"/>
          <w:szCs w:val="20"/>
          <w:color w:val="auto"/>
        </w:rPr>
      </w:pPr>
      <w:r>
        <w:rPr>
          <w:rFonts w:ascii="Times New Roman" w:cs="Times New Roman" w:eastAsia="Times New Roman" w:hAnsi="Times New Roman"/>
          <w:sz w:val="14"/>
          <w:szCs w:val="14"/>
          <w:color w:val="auto"/>
        </w:rPr>
        <w:t>Each of the following events shall be considered a “Deemed Liquidation Event,” unless the Requisite Holders, elect otherwise; a merger, consolidation, statutory conversion, transfer, domestication, continuance involving the Company or a subsidiary, or a sale, lease, or transfer of substantially all of the assets of the Company.</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3"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Preferred Stock does not have any redemption rights, except for the contingent redemption upon the occurrence of a Deemed Liquidation Event.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10. COMMON STOCK</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The voting, dividend, and liquidation rights of the holders of the Company’s common stock are subject to and qualified by the rights, powers, and preferences of the holders of the Preferred Stock set forth above. Each share of common stock entitles the holder to one vote, together with the holders of the Preferred Stock, on all matters submitted to the stockholders for a vote. The holders of common stock are entitled to receive dividends, if any, as declared by the Company’s board of directors, subject to the preferential dividend rights of Preferred Stock. As of December 31, 2025, no dividends have been declared or paid.</w:t>
      </w:r>
    </w:p>
    <w:p>
      <w:pPr>
        <w:spacing w:after="0" w:line="14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2025, the Company had authorized 159,070,000 shares of common stock, of which 8,151,200 were issued and outstanding, including 486,114 unvested shares of restricted common stock that are subject to service-based vesting as of December 31, 2025.</w:t>
      </w:r>
    </w:p>
    <w:p>
      <w:pPr>
        <w:spacing w:after="0" w:line="125"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Concurrent with the Transaction, the Company issued 2,500,000 shares of restricted common stock in exchange for shares of restricted common stock of SPTX. Such shares were originally issued upon the formation of SPTX in February 2024, or the SPTX February 2024 Shares. SPTX subsequently became a subsidiary of the Company upon the formation date. See Note 11—Stock-Based Compensation for further disclosure of restricted common stock issued by the Company.</w:t>
      </w:r>
    </w:p>
    <w:p>
      <w:pPr>
        <w:spacing w:after="0" w:line="141" w:lineRule="exact"/>
        <w:rPr>
          <w:sz w:val="20"/>
          <w:szCs w:val="20"/>
          <w:color w:val="auto"/>
        </w:rPr>
      </w:pPr>
    </w:p>
    <w:p>
      <w:pPr>
        <w:jc w:val="both"/>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Concurrent with the Transaction, the Company issued 950,000 shares of common stock to a board member in exchange for shares of common stock of SPTX issued in March 2024, or the SPTX March 2024 Shares, and together with the SPTX February 2024 Shares, or the Exchange Shares. SPTX had no other material activity beyond its previously issued shares.</w:t>
      </w:r>
    </w:p>
    <w:p>
      <w:pPr>
        <w:spacing w:after="0" w:line="136"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the SPTX March 2024 Shares, the Company recognized $0.9 million of stock-based compensation expense in its consolidated statements of operations and comprehensive loss for the year ended December 31, 2024.</w:t>
      </w:r>
    </w:p>
    <w:p>
      <w:pPr>
        <w:spacing w:after="0" w:line="12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Company had no shares of common stock outstanding or any potentially dilutive equity instruments for any period prior to its formation and the Asset Transfer.</w:t>
      </w:r>
    </w:p>
    <w:p>
      <w:pPr>
        <w:spacing w:after="0" w:line="207" w:lineRule="exact"/>
        <w:rPr>
          <w:sz w:val="20"/>
          <w:szCs w:val="20"/>
          <w:color w:val="auto"/>
        </w:rPr>
      </w:pPr>
    </w:p>
    <w:p>
      <w:pPr>
        <w:ind w:left="1700" w:right="5999" w:hanging="345"/>
        <w:spacing w:after="0" w:line="406" w:lineRule="auto"/>
        <w:tabs>
          <w:tab w:leader="none" w:pos="1559" w:val="left"/>
        </w:tabs>
        <w:numPr>
          <w:ilvl w:val="0"/>
          <w:numId w:val="1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STOCK-BASED COMPENSATION </w:t>
      </w:r>
      <w:r>
        <w:rPr>
          <w:rFonts w:ascii="Times New Roman" w:cs="Times New Roman" w:eastAsia="Times New Roman" w:hAnsi="Times New Roman"/>
          <w:sz w:val="13"/>
          <w:szCs w:val="13"/>
          <w:b w:val="1"/>
          <w:bCs w:val="1"/>
          <w:i w:val="1"/>
          <w:iCs w:val="1"/>
          <w:color w:val="auto"/>
        </w:rPr>
        <w:t>PureTech Stock-based Compensation Plan</w:t>
      </w:r>
    </w:p>
    <w:p>
      <w:pPr>
        <w:spacing w:after="0" w:line="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PureTech has stock-based compensation plans which provide for granting equity awards, including non-qualified and incentive stock options, restricted stock, restricted stock units, cash-based awards, and performance shares to employees, officers, and directors of, and consultants to, PureTech. All stock-based compensation plans were managed on a consolidated basis by PureTech. Stock-based compensation expense was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386"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allocated to the Company based on the proportion of time each employee or non-employee spent on the Seaport Business in the period. Accordingly, the amounts presented are not necessarily indicative of future stock-based compensation of Seaport and do not necessarily reflect the amount that Seaport would have issued as an independent company for the year presented.</w:t>
      </w:r>
    </w:p>
    <w:p>
      <w:pPr>
        <w:spacing w:after="0" w:line="136"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Under PureTech’s stock-based compensation plan, the Company’s employees transferred pursuant to the Asset Transfer were granted 22,500 stock options during the year ended December 31, 2024. During the year ended December 31, 2025, there were no stock options granted to the Company’s employees under PureTech’s stock-based compensation plan.</w:t>
      </w:r>
    </w:p>
    <w:p>
      <w:pPr>
        <w:spacing w:after="0" w:line="136"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PureTech utilized the Black-Scholes option-pricing model for estimating the fair value of the stock options issued under PureTech’s stock-based compensation plans on each grant date. The following table presents the assumptions used by PureTech in the Black-Scholes option-pricing model during the year ended December 31, 2024:</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560" w:type="dxa"/>
            <w:vAlign w:val="bottom"/>
          </w:tcPr>
          <w:p>
            <w:pPr>
              <w:spacing w:after="0"/>
              <w:rPr>
                <w:sz w:val="11"/>
                <w:szCs w:val="11"/>
                <w:color w:val="auto"/>
              </w:rPr>
            </w:pPr>
          </w:p>
        </w:tc>
        <w:tc>
          <w:tcPr>
            <w:tcW w:w="40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4560" w:type="dxa"/>
            <w:vAlign w:val="bottom"/>
          </w:tcPr>
          <w:p>
            <w:pPr>
              <w:spacing w:after="0"/>
              <w:rPr>
                <w:sz w:val="11"/>
                <w:szCs w:val="11"/>
                <w:color w:val="auto"/>
              </w:rPr>
            </w:pPr>
          </w:p>
        </w:tc>
        <w:tc>
          <w:tcPr>
            <w:tcW w:w="38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r>
      <w:tr>
        <w:trPr>
          <w:trHeight w:val="16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3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6.16</w:t>
            </w:r>
          </w:p>
        </w:tc>
        <w:tc>
          <w:tcPr>
            <w:tcW w:w="160" w:type="dxa"/>
            <w:vAlign w:val="bottom"/>
            <w:tcBorders>
              <w:top w:val="single" w:sz="8" w:color="CCEEFF"/>
            </w:tcBorders>
            <w:shd w:val="clear" w:color="auto" w:fill="CCEEFF"/>
          </w:tcPr>
          <w:p>
            <w:pPr>
              <w:spacing w:after="0"/>
              <w:rPr>
                <w:sz w:val="14"/>
                <w:szCs w:val="14"/>
                <w:color w:val="auto"/>
              </w:rPr>
            </w:pPr>
          </w:p>
        </w:tc>
      </w:tr>
      <w:tr>
        <w:trPr>
          <w:trHeight w:val="17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40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4.21%</w:t>
            </w:r>
          </w:p>
        </w:tc>
      </w:tr>
      <w:tr>
        <w:trPr>
          <w:trHeight w:val="17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4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44.93%</w:t>
            </w:r>
          </w:p>
        </w:tc>
      </w:tr>
      <w:tr>
        <w:trPr>
          <w:trHeight w:val="19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32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r>
    </w:tbl>
    <w:p>
      <w:pPr>
        <w:spacing w:after="0" w:line="13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by PureTech during the year ended December 31, 2024 was $1.02. The aggregate intrinsic value is calculated as the difference between the exercise price and the market price of PureTech’s common stock at December 31, 2024. As of December 31, 2024, all outstanding stock options issued by PureTech to the Company’s employees were fully vested.</w:t>
      </w:r>
    </w:p>
    <w:p>
      <w:pPr>
        <w:spacing w:after="0" w:line="13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Seaport employees continued to vest in their PureTech equity awards until the completion of the Company’s Series B Financing (as discussed in Note 9) in October 2024 at which time PureTech no longer maintained a controlling interest in the Company. Accordingly, Seaport employees forfeited their unvested awards in October 2024 as the employees were no longer deemed to be continuing service providers under PureTech’s plan, except for restricted stock units granted to an employee of Seaport for services performed to PureTech. As of December 31, 2024, Seaport employees held 873,617 of outstanding vested options that Seaport employees had 90 days to exercise from October 2024.</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2024 Equity Incentive Plan</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The 2024 Equity Incentive Plan, or the 2024 Plan, was approved by the Company’s subsidiary’s Board and Stockholders and became effective for the Company in April 2024 and was subsequently amended in April 2024 and October 2024.</w:t>
      </w:r>
    </w:p>
    <w:p>
      <w:pPr>
        <w:spacing w:after="0" w:line="12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Under the 2024 Plan, the Company can issue incentive stock options, stock appreciation rights, restricted stock, restricted stock units, and other stock-based awards to employees, directors, and consultants of the Company. The 2024 Plan is administered by the Company’s Board of Directors, or by a committee at the discretion of the Board of Directors. The exercise prices, vesting, and other restrictions are determined at the discretion of the Board of Directors, or its committee if so delegated, except that exercise prices of each stock option shall not be less than 100% of the fair market value of the Company’s common stock and that each stock option term cannot exceed 10 years. The Company’s Board of Directors determines the fair market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386"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3"/>
          <w:szCs w:val="13"/>
          <w:color w:val="auto"/>
        </w:rPr>
        <w:t>A total of 10,000,000 shares of common stock were initially reserved for issuance under the 2024 Plan, and it was subsequently amended to allow for the issuance of up to 38,607,011 shares of common stock. As of December 31, 2025, there were 4,722,667 awards available for future grants under the 2024 Plan. Shares of common stock underlying any awards that are forfeited, canceled, or reacquired by the Company prior to vesting will again be available for the grant of awards under the 2024 Plan. Through the completion of an Initial Public Offering, the Company will continue to grant additional equity awards to certain individuals to maintain in total a 12.5% ownership on a fully diluted basis as specified by underlying agreements.</w:t>
      </w:r>
    </w:p>
    <w:p>
      <w:pPr>
        <w:spacing w:after="0" w:line="128"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The vesting periods for stock options issued under the 2024 Plan generally vest over four years with a one-year cliff and equal monthly installments thereafter and may be subject to accelerated vesting. Performance-based options vest in three annual installments that are contingent upon the achievement of the Company’s annual goals. For restricted stock awards, the vesting periods can vary and may contain accelerated vesting that would result in unvested shares becoming fully vested upon the occurrence of certain events.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2024 Plan Stock Option Activity</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is a summary of the Company’s stock option award activity under the 2024 Plan during the year ended December 31, 2025:</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418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6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6"/>
        </w:trPr>
        <w:tc>
          <w:tcPr>
            <w:tcW w:w="4180" w:type="dxa"/>
            <w:vAlign w:val="bottom"/>
          </w:tcPr>
          <w:p>
            <w:pPr>
              <w:spacing w:after="0"/>
              <w:rPr>
                <w:sz w:val="10"/>
                <w:szCs w:val="10"/>
                <w:color w:val="auto"/>
              </w:rPr>
            </w:pPr>
          </w:p>
        </w:tc>
        <w:tc>
          <w:tcPr>
            <w:tcW w:w="94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46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220" w:type="dxa"/>
            <w:vAlign w:val="bottom"/>
            <w:gridSpan w:val="2"/>
          </w:tcPr>
          <w:p>
            <w:pPr>
              <w:jc w:val="center"/>
              <w:ind w:left="377"/>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59"/>
        </w:trPr>
        <w:tc>
          <w:tcPr>
            <w:tcW w:w="4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24,535,828</w:t>
            </w: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1.37</w:t>
            </w:r>
          </w:p>
        </w:tc>
        <w:tc>
          <w:tcPr>
            <w:tcW w:w="4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center"/>
              <w:ind w:left="415"/>
              <w:spacing w:after="0" w:line="159" w:lineRule="exact"/>
              <w:rPr>
                <w:sz w:val="20"/>
                <w:szCs w:val="20"/>
                <w:color w:val="auto"/>
              </w:rPr>
            </w:pPr>
            <w:r>
              <w:rPr>
                <w:rFonts w:ascii="Times New Roman" w:cs="Times New Roman" w:eastAsia="Times New Roman" w:hAnsi="Times New Roman"/>
                <w:sz w:val="14"/>
                <w:szCs w:val="14"/>
                <w:color w:val="auto"/>
                <w:w w:val="97"/>
              </w:rPr>
              <w:t>9.60</w:t>
            </w: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23,999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2,837,406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60" w:type="dxa"/>
            <w:vAlign w:val="bottom"/>
          </w:tcPr>
          <w:p>
            <w:pPr>
              <w:spacing w:after="0"/>
              <w:rPr>
                <w:sz w:val="14"/>
                <w:szCs w:val="14"/>
                <w:color w:val="auto"/>
              </w:rPr>
            </w:pPr>
          </w:p>
        </w:tc>
        <w:tc>
          <w:tcPr>
            <w:tcW w:w="760" w:type="dxa"/>
            <w:vAlign w:val="bottom"/>
          </w:tcPr>
          <w:p>
            <w:pPr>
              <w:jc w:val="center"/>
              <w:ind w:left="435"/>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(438,931)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60" w:type="dxa"/>
            <w:vAlign w:val="bottom"/>
          </w:tcPr>
          <w:p>
            <w:pPr>
              <w:spacing w:after="0"/>
              <w:rPr>
                <w:sz w:val="14"/>
                <w:szCs w:val="14"/>
                <w:color w:val="auto"/>
              </w:rPr>
            </w:pPr>
          </w:p>
        </w:tc>
        <w:tc>
          <w:tcPr>
            <w:tcW w:w="760" w:type="dxa"/>
            <w:vAlign w:val="bottom"/>
          </w:tcPr>
          <w:p>
            <w:pPr>
              <w:jc w:val="center"/>
              <w:ind w:left="435"/>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Expired</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(18,459)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26,914,644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center"/>
              <w:ind w:left="415"/>
              <w:spacing w:after="0"/>
              <w:rPr>
                <w:sz w:val="20"/>
                <w:szCs w:val="20"/>
                <w:color w:val="auto"/>
              </w:rPr>
            </w:pPr>
            <w:r>
              <w:rPr>
                <w:rFonts w:ascii="Times New Roman" w:cs="Times New Roman" w:eastAsia="Times New Roman" w:hAnsi="Times New Roman"/>
                <w:sz w:val="14"/>
                <w:szCs w:val="14"/>
                <w:color w:val="auto"/>
                <w:w w:val="97"/>
              </w:rPr>
              <w:t>8.67</w:t>
            </w: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Vested and expected to vest at December 31, 2025</w:t>
            </w:r>
          </w:p>
        </w:tc>
        <w:tc>
          <w:tcPr>
            <w:tcW w:w="66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26,914,644</w:t>
            </w: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1.46</w:t>
            </w:r>
          </w:p>
        </w:tc>
        <w:tc>
          <w:tcPr>
            <w:tcW w:w="1220" w:type="dxa"/>
            <w:vAlign w:val="bottom"/>
            <w:gridSpan w:val="2"/>
            <w:shd w:val="clear" w:color="auto" w:fill="CCEEFF"/>
          </w:tcPr>
          <w:p>
            <w:pPr>
              <w:jc w:val="center"/>
              <w:ind w:left="877"/>
              <w:spacing w:after="0" w:line="150" w:lineRule="exact"/>
              <w:rPr>
                <w:sz w:val="20"/>
                <w:szCs w:val="20"/>
                <w:color w:val="auto"/>
              </w:rPr>
            </w:pPr>
            <w:r>
              <w:rPr>
                <w:rFonts w:ascii="Times New Roman" w:cs="Times New Roman" w:eastAsia="Times New Roman" w:hAnsi="Times New Roman"/>
                <w:sz w:val="14"/>
                <w:szCs w:val="14"/>
                <w:color w:val="auto"/>
                <w:w w:val="97"/>
              </w:rPr>
              <w:t>8.67</w:t>
            </w:r>
          </w:p>
        </w:tc>
        <w:tc>
          <w:tcPr>
            <w:tcW w:w="5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28,669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80" w:type="dxa"/>
            <w:vAlign w:val="bottom"/>
            <w:vMerge w:val="continue"/>
          </w:tcPr>
          <w:p>
            <w:pPr>
              <w:spacing w:after="0"/>
              <w:rPr>
                <w:sz w:val="13"/>
                <w:szCs w:val="13"/>
                <w:color w:val="auto"/>
              </w:rPr>
            </w:pPr>
          </w:p>
        </w:tc>
        <w:tc>
          <w:tcPr>
            <w:tcW w:w="6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15,728,318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1.31</w:t>
            </w:r>
          </w:p>
        </w:tc>
        <w:tc>
          <w:tcPr>
            <w:tcW w:w="460" w:type="dxa"/>
            <w:vAlign w:val="bottom"/>
          </w:tcPr>
          <w:p>
            <w:pPr>
              <w:spacing w:after="0"/>
              <w:rPr>
                <w:sz w:val="13"/>
                <w:szCs w:val="13"/>
                <w:color w:val="auto"/>
              </w:rPr>
            </w:pPr>
          </w:p>
        </w:tc>
        <w:tc>
          <w:tcPr>
            <w:tcW w:w="760" w:type="dxa"/>
            <w:vAlign w:val="bottom"/>
            <w:tcBorders>
              <w:bottom w:val="single" w:sz="8" w:color="auto"/>
            </w:tcBorders>
          </w:tcPr>
          <w:p>
            <w:pPr>
              <w:jc w:val="center"/>
              <w:ind w:left="415"/>
              <w:spacing w:after="0" w:line="150" w:lineRule="exact"/>
              <w:rPr>
                <w:sz w:val="20"/>
                <w:szCs w:val="20"/>
                <w:color w:val="auto"/>
              </w:rPr>
            </w:pPr>
            <w:r>
              <w:rPr>
                <w:rFonts w:ascii="Times New Roman" w:cs="Times New Roman" w:eastAsia="Times New Roman" w:hAnsi="Times New Roman"/>
                <w:sz w:val="14"/>
                <w:szCs w:val="14"/>
                <w:color w:val="auto"/>
                <w:w w:val="97"/>
              </w:rPr>
              <w:t>8.58</w:t>
            </w:r>
          </w:p>
        </w:tc>
        <w:tc>
          <w:tcPr>
            <w:tcW w:w="4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19,208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table above excludes the 718,500 performance-based options which have an exercise price of $2.35 per share, that were approved to be issued by the Company’s Board of Directors in December 2024, but have not yet been deemed granted from an accounting perspective as of December 31, 2025.</w:t>
      </w:r>
    </w:p>
    <w:p>
      <w:pPr>
        <w:spacing w:after="0" w:line="136"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The Company utilized the Black-Scholes option-pricing model for estimating the fair value of the stock options issued under the 2024 Plan on each grant date. The following table presents the ranges of assumptions used by the Company in the Black-Scholes option-pricing model during the years ended:</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27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80" w:type="dxa"/>
            <w:vAlign w:val="bottom"/>
            <w:tcBorders>
              <w:bottom w:val="single" w:sz="8" w:color="auto"/>
            </w:tcBorders>
          </w:tcPr>
          <w:p>
            <w:pPr>
              <w:spacing w:after="0"/>
              <w:rPr>
                <w:sz w:val="12"/>
                <w:szCs w:val="12"/>
                <w:color w:val="auto"/>
              </w:rPr>
            </w:pPr>
          </w:p>
        </w:tc>
      </w:tr>
      <w:tr>
        <w:trPr>
          <w:trHeight w:val="117"/>
        </w:trPr>
        <w:tc>
          <w:tcPr>
            <w:tcW w:w="2760" w:type="dxa"/>
            <w:vAlign w:val="bottom"/>
            <w:tcBorders>
              <w:bottom w:val="single" w:sz="8" w:color="CCEEFF"/>
            </w:tcBorders>
          </w:tcPr>
          <w:p>
            <w:pPr>
              <w:spacing w:after="0"/>
              <w:rPr>
                <w:sz w:val="10"/>
                <w:szCs w:val="10"/>
                <w:color w:val="auto"/>
              </w:rPr>
            </w:pPr>
          </w:p>
        </w:tc>
        <w:tc>
          <w:tcPr>
            <w:tcW w:w="3160" w:type="dxa"/>
            <w:vAlign w:val="bottom"/>
            <w:tcBorders>
              <w:bottom w:val="single" w:sz="8" w:color="CCEEFF"/>
            </w:tcBorders>
          </w:tcPr>
          <w:p>
            <w:pPr>
              <w:spacing w:after="0"/>
              <w:rPr>
                <w:sz w:val="10"/>
                <w:szCs w:val="10"/>
                <w:color w:val="auto"/>
              </w:rPr>
            </w:pPr>
          </w:p>
        </w:tc>
        <w:tc>
          <w:tcPr>
            <w:tcW w:w="1300" w:type="dxa"/>
            <w:vAlign w:val="bottom"/>
            <w:tcBorders>
              <w:bottom w:val="single" w:sz="8" w:color="auto"/>
            </w:tcBorders>
            <w:gridSpan w:val="2"/>
          </w:tcPr>
          <w:p>
            <w:pPr>
              <w:jc w:val="right"/>
              <w:ind w:right="473"/>
              <w:spacing w:after="0" w:line="117"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0"/>
                <w:szCs w:val="10"/>
                <w:color w:val="auto"/>
              </w:rPr>
            </w:pPr>
          </w:p>
        </w:tc>
        <w:tc>
          <w:tcPr>
            <w:tcW w:w="1280" w:type="dxa"/>
            <w:vAlign w:val="bottom"/>
            <w:tcBorders>
              <w:bottom w:val="single" w:sz="8" w:color="auto"/>
            </w:tcBorders>
            <w:gridSpan w:val="2"/>
          </w:tcPr>
          <w:p>
            <w:pPr>
              <w:jc w:val="right"/>
              <w:ind w:right="470"/>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59"/>
        </w:trPr>
        <w:tc>
          <w:tcPr>
            <w:tcW w:w="27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Expected term (in years)</w:t>
            </w:r>
          </w:p>
        </w:tc>
        <w:tc>
          <w:tcPr>
            <w:tcW w:w="3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5.19</w:t>
            </w:r>
          </w:p>
        </w:tc>
        <w:tc>
          <w:tcPr>
            <w:tcW w:w="7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- 6.08</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5.19</w:t>
            </w:r>
          </w:p>
        </w:tc>
        <w:tc>
          <w:tcPr>
            <w:tcW w:w="6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- 6.08</w:t>
            </w: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- 4.39%</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- 4.39%</w:t>
            </w:r>
          </w:p>
        </w:tc>
      </w:tr>
      <w:tr>
        <w:trPr>
          <w:trHeight w:val="168"/>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- 91.67%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87.10%</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- 92.33%</w:t>
            </w:r>
          </w:p>
        </w:tc>
      </w:tr>
      <w:tr>
        <w:trPr>
          <w:trHeight w:val="18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446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5"/>
                <w:szCs w:val="15"/>
                <w:color w:val="auto"/>
              </w:rPr>
            </w:pPr>
          </w:p>
        </w:tc>
        <w:tc>
          <w:tcPr>
            <w:tcW w:w="12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color w:val="auto"/>
              </w:rPr>
              <w:t>0.00%</w:t>
            </w:r>
          </w:p>
        </w:tc>
      </w:tr>
      <w:tr>
        <w:trPr>
          <w:trHeight w:val="269"/>
        </w:trPr>
        <w:tc>
          <w:tcPr>
            <w:tcW w:w="2760" w:type="dxa"/>
            <w:vAlign w:val="bottom"/>
          </w:tcPr>
          <w:p>
            <w:pPr>
              <w:spacing w:after="0"/>
              <w:rPr>
                <w:sz w:val="23"/>
                <w:szCs w:val="23"/>
                <w:color w:val="auto"/>
              </w:rPr>
            </w:pPr>
          </w:p>
        </w:tc>
        <w:tc>
          <w:tcPr>
            <w:tcW w:w="3760" w:type="dxa"/>
            <w:vAlign w:val="bottom"/>
            <w:gridSpan w:val="2"/>
          </w:tcPr>
          <w:p>
            <w:pPr>
              <w:jc w:val="right"/>
              <w:ind w:right="2037"/>
              <w:spacing w:after="0"/>
              <w:rPr>
                <w:sz w:val="20"/>
                <w:szCs w:val="20"/>
                <w:color w:val="auto"/>
              </w:rPr>
            </w:pPr>
            <w:r>
              <w:rPr>
                <w:rFonts w:ascii="Times New Roman" w:cs="Times New Roman" w:eastAsia="Times New Roman" w:hAnsi="Times New Roman"/>
                <w:sz w:val="14"/>
                <w:szCs w:val="14"/>
                <w:color w:val="auto"/>
              </w:rPr>
              <w:t>F-27</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during the years ended December 31, 2025 and 2024 was $1.82 and $1.02 per share, respectively. The aggregate intrinsic value is calculated as the difference between the exercise price and the fair value of the Company’s common stock as of each period end or exercise date. The aggregate intrinsic value of options exercised during the year ended December 31, 2025 was not material. There were no stock options exercised during the year ended December 31, 2024.</w:t>
      </w:r>
    </w:p>
    <w:p>
      <w:pPr>
        <w:spacing w:after="0" w:line="14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there was $14.0 million in unrecognized stock-based compensation expense associated with issued and outstanding service-based stock options, which is expected to be recognized over a weighted-average period of 1.3 years and is partially subject to future accelerated vesting upon the close of an initial public offering.</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2024 Plan Restricted Stock Awards</w:t>
      </w:r>
    </w:p>
    <w:p>
      <w:pPr>
        <w:spacing w:after="0" w:line="93" w:lineRule="exact"/>
        <w:rPr>
          <w:sz w:val="20"/>
          <w:szCs w:val="20"/>
          <w:color w:val="auto"/>
        </w:rPr>
      </w:pPr>
    </w:p>
    <w:p>
      <w:pPr>
        <w:ind w:left="1360" w:right="419" w:firstLine="343"/>
        <w:spacing w:after="0" w:line="258" w:lineRule="auto"/>
        <w:rPr>
          <w:sz w:val="20"/>
          <w:szCs w:val="20"/>
          <w:color w:val="auto"/>
        </w:rPr>
      </w:pPr>
      <w:r>
        <w:rPr>
          <w:rFonts w:ascii="Times New Roman" w:cs="Times New Roman" w:eastAsia="Times New Roman" w:hAnsi="Times New Roman"/>
          <w:sz w:val="14"/>
          <w:szCs w:val="14"/>
          <w:color w:val="auto"/>
        </w:rPr>
        <w:t>The Company has granted restricted stock awards to certain members of the Company’s Board of Directors and Chief Executive Officer. Of the total 6,250,000 restricted stock awards granted: (i) 2,500,000 have service-based vesting in equal monthly installments over a three-year period, of which 50% of the unvested amount was subject to accelerated vesting upon the close of the Series B Financing and 50% of any unvested amounts is subject to future acceleration upon the close of an initial public offering; and (ii) 3,750,000 have performance based vesting which vested in full upon the close of the Series B Financing.</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is a summary of the Company’s restricted stock award activity under the 2024 Plan during the year ended December 31, 2025:</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Pr>
          <w:p>
            <w:pPr>
              <w:spacing w:after="0"/>
              <w:rPr>
                <w:sz w:val="11"/>
                <w:szCs w:val="11"/>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3"/>
              </w:rPr>
              <w:t>Weighted-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3"/>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6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902,778</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0.97</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Vested</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(416,664)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486,114</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total fair value of restricted stock awards granted during the year ended December 31, 2024 was $6.1 million. No restricted stock awards were granted during the year ended December 31, 2025. The total fair value of the restricted stock awards that vested during the year ended December 31, 2025 and 2024 was $0.4 million and $5.2 million, respectively, and the total stock-based compensation associated with the restricted stock awards during the years ended December 31, 2025 and 2024 was $0.4 million and $5.2 million, respectively. As of December 31, 2025, there was $0.5 million in unrecognized stock-based compensation expense associated with issued and outstanding restricted stock awards, which is expected to be recognized over a weighted-average period of 0.6 years.</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3" w:lineRule="exact"/>
        <w:rPr>
          <w:sz w:val="20"/>
          <w:szCs w:val="20"/>
          <w:color w:val="auto"/>
        </w:rPr>
      </w:pPr>
    </w:p>
    <w:p>
      <w:pPr>
        <w:ind w:left="1360" w:right="8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represents stock-based compensation expense recorded in the Company’s consolidated statements of operations and comprehensive loss (in thousands):</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0" w:type="dxa"/>
            <w:vAlign w:val="bottom"/>
          </w:tcPr>
          <w:p>
            <w:pPr>
              <w:spacing w:after="0"/>
              <w:rPr>
                <w:sz w:val="9"/>
                <w:szCs w:val="9"/>
                <w:color w:val="auto"/>
              </w:rPr>
            </w:pPr>
          </w:p>
        </w:tc>
        <w:tc>
          <w:tcPr>
            <w:tcW w:w="3040" w:type="dxa"/>
            <w:vAlign w:val="bottom"/>
            <w:tcBorders>
              <w:bottom w:val="single" w:sz="8" w:color="CCEEFF"/>
            </w:tcBorders>
          </w:tcPr>
          <w:p>
            <w:pPr>
              <w:spacing w:after="0"/>
              <w:rPr>
                <w:sz w:val="9"/>
                <w:szCs w:val="9"/>
                <w:color w:val="auto"/>
              </w:rPr>
            </w:pPr>
          </w:p>
        </w:tc>
        <w:tc>
          <w:tcPr>
            <w:tcW w:w="388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88"/>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Borders>
              <w:bottom w:val="single" w:sz="8" w:color="CCEEFF"/>
            </w:tcBorders>
          </w:tcPr>
          <w:p>
            <w:pPr>
              <w:spacing w:after="0"/>
              <w:rPr>
                <w:sz w:val="9"/>
                <w:szCs w:val="9"/>
                <w:color w:val="auto"/>
              </w:rPr>
            </w:pPr>
          </w:p>
        </w:tc>
      </w:tr>
      <w:tr>
        <w:trPr>
          <w:trHeight w:val="169"/>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2,272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562</w:t>
            </w:r>
          </w:p>
        </w:tc>
        <w:tc>
          <w:tcPr>
            <w:tcW w:w="6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13,962</w:t>
            </w:r>
          </w:p>
        </w:tc>
        <w:tc>
          <w:tcPr>
            <w:tcW w:w="6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   6,883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14,524</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980" w:type="dxa"/>
            <w:vAlign w:val="bottom"/>
            <w:gridSpan w:val="2"/>
          </w:tcPr>
          <w:p>
            <w:pPr>
              <w:jc w:val="right"/>
              <w:ind w:right="2543"/>
              <w:spacing w:after="0"/>
              <w:rPr>
                <w:sz w:val="20"/>
                <w:szCs w:val="20"/>
                <w:color w:val="auto"/>
              </w:rPr>
            </w:pPr>
            <w:r>
              <w:rPr>
                <w:rFonts w:ascii="Times New Roman" w:cs="Times New Roman" w:eastAsia="Times New Roman" w:hAnsi="Times New Roman"/>
                <w:sz w:val="14"/>
                <w:szCs w:val="14"/>
                <w:color w:val="auto"/>
              </w:rPr>
              <w:t>F-28</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Total stock-based compensation expense for the year ended December 31, 2024 of $14.5 million included $14.4 million of stock-based compensation expense for Seaport employees, of which $9.6 million was due to accelerated vesting of certain awards upon the close of the Series B Financing, and $0.1 million of stock-based compensation expense associated with awards issued to Seaport employees prior to the Asset Transfer under PureTech’s stock-based compensation plans. Seaport employees continued to vest in their PureTech equity awards until October 2024, at which time PureTech no longer maintained a controlling interest and the Seaport employees ceased to vest in their PureTech awards. No related tax benefits from stock-based compensation expense were recognized for the years ended 2025 or 2024.</w:t>
      </w:r>
    </w:p>
    <w:p>
      <w:pPr>
        <w:spacing w:after="0" w:line="143"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2024, the Company allocated stock-based compensation of $1.3 million, associated with PureTech employee’s equity awards who spent a proportion of time providing services to the Company through the Asset Transfer, which is excluded from the table above.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9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Prior to the Transaction, income taxes and related income tax accounts have been calculated using the separate return method as if the Company filed income tax returns on a standalone basis. Prior to the Transaction, the Company’s operations were calculated on a carve-out basis and included certain hypothetical tax attributes. Following the Transaction, these hypothetical tax attributes are not available for future utilization by the Company and were removed from the tax provision. Furthermore, the Company operated as part of PureTech until the completion of the Asset Transfer on April 8, 2024, and therefore the Company will be included in PureTech’s U.S. Federal consolidated income tax return until that date.</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presents the components of loss before income taxes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4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3"/>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(76,365)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shd w:val="clear" w:color="auto" w:fill="CCEEFF"/>
          </w:tcPr>
          <w:p>
            <w:pPr>
              <w:ind w:left="80"/>
              <w:spacing w:after="0" w:line="169" w:lineRule="exact"/>
              <w:rPr>
                <w:sz w:val="20"/>
                <w:szCs w:val="20"/>
                <w:color w:val="auto"/>
              </w:rPr>
            </w:pPr>
            <w:r>
              <w:rPr>
                <w:rFonts w:ascii="Times New Roman" w:cs="Times New Roman" w:eastAsia="Times New Roman" w:hAnsi="Times New Roman"/>
                <w:sz w:val="15"/>
                <w:szCs w:val="15"/>
                <w:color w:val="auto"/>
                <w:w w:val="89"/>
              </w:rPr>
              <w:t>(46,879)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7"/>
              </w:rPr>
              <w:t>— </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the provision for income taxes</w:t>
            </w: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 xml:space="preserve">$  </w:t>
            </w:r>
          </w:p>
        </w:tc>
        <w:tc>
          <w:tcPr>
            <w:tcW w:w="7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(74,108)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xml:space="preserve">$  </w:t>
            </w:r>
          </w:p>
        </w:tc>
        <w:tc>
          <w:tcPr>
            <w:tcW w:w="6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(46,879)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The components of the provision for income taxes are as follows (in thousands):</w:t>
            </w: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10"/>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3"/>
          </w:tcPr>
          <w:p>
            <w:pPr>
              <w:ind w:left="24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Current</w:t>
            </w: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5"/>
              </w:rPr>
              <w:t>146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w w:val="95"/>
              </w:rPr>
              <w:t>627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5"/>
              </w:rPr>
              <w:t>773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Deferred</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Provision</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773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ind w:left="4140"/>
              <w:spacing w:after="0"/>
              <w:rPr>
                <w:sz w:val="20"/>
                <w:szCs w:val="20"/>
                <w:color w:val="auto"/>
              </w:rPr>
            </w:pPr>
            <w:r>
              <w:rPr>
                <w:rFonts w:ascii="Times New Roman" w:cs="Times New Roman" w:eastAsia="Times New Roman" w:hAnsi="Times New Roman"/>
                <w:sz w:val="14"/>
                <w:szCs w:val="14"/>
                <w:color w:val="auto"/>
              </w:rPr>
              <w:t>F-29</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574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 reconciliation of the federal statutory income tax rate to the effective tax rate, in accordance with the guidance in ASU 2023-09 which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Company has elected to retrospectively adopt, is as follows: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58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3"/>
          </w:tcPr>
          <w:p>
            <w:pPr>
              <w:jc w:val="right"/>
              <w:ind w:right="1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jc w:val="right"/>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58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U.S. Federal statutory tax rate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(15,563)</w:t>
            </w:r>
          </w:p>
        </w:tc>
        <w:tc>
          <w:tcPr>
            <w:tcW w:w="760" w:type="dxa"/>
            <w:vAlign w:val="bottom"/>
            <w:gridSpan w:val="3"/>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(9,845)</w:t>
            </w:r>
          </w:p>
        </w:tc>
        <w:tc>
          <w:tcPr>
            <w:tcW w:w="56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8"/>
        </w:trPr>
        <w:tc>
          <w:tcPr>
            <w:tcW w:w="58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State and local income tax, net of federal income tax effect</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credits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(2,149)</w:t>
            </w: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(1,043)</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cross border transactions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Nontaxable or nondeductible item</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compensation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17,129</w:t>
            </w:r>
          </w:p>
        </w:tc>
        <w:tc>
          <w:tcPr>
            <w:tcW w:w="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10,106</w:t>
            </w:r>
          </w:p>
        </w:tc>
        <w:tc>
          <w:tcPr>
            <w:tcW w:w="1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6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Tax Rate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w:t>
            </w:r>
          </w:p>
        </w:tc>
        <w:tc>
          <w:tcPr>
            <w:tcW w:w="140" w:type="dxa"/>
            <w:vAlign w:val="bottom"/>
            <w:vMerge w:val="continue"/>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p>
        </w:tc>
        <w:tc>
          <w:tcPr>
            <w:tcW w:w="160" w:type="dxa"/>
            <w:vAlign w:val="bottom"/>
            <w:vMerge w:val="continue"/>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hanging="345"/>
        <w:spacing w:after="0"/>
        <w:tabs>
          <w:tab w:leader="none" w:pos="17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 that contributes to the majority (greater than 50%) of the tax effect in this category is Massachusetts.</w:t>
      </w:r>
    </w:p>
    <w:p>
      <w:pPr>
        <w:spacing w:after="0" w:line="17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The effective income tax rate differs from the U.S. federal statutory rate of 21.0% primarily as a result of the valuation allowance maintained against the Company’s U.S. net deferred tax assets.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amounts of cash taxes paid, net of refunds, by Seaport are as follows: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6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620" w:type="dxa"/>
            <w:vAlign w:val="bottom"/>
            <w:tcBorders>
              <w:bottom w:val="single" w:sz="8" w:color="CCEEFF"/>
            </w:tcBorders>
          </w:tcPr>
          <w:p>
            <w:pPr>
              <w:spacing w:after="0"/>
              <w:rPr>
                <w:sz w:val="9"/>
                <w:szCs w:val="9"/>
                <w:color w:val="auto"/>
              </w:rPr>
            </w:pPr>
          </w:p>
        </w:tc>
        <w:tc>
          <w:tcPr>
            <w:tcW w:w="45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9"/>
                <w:szCs w:val="9"/>
                <w:color w:val="auto"/>
              </w:rPr>
            </w:pPr>
          </w:p>
        </w:tc>
      </w:tr>
      <w:tr>
        <w:trPr>
          <w:trHeight w:val="159"/>
        </w:trPr>
        <w:tc>
          <w:tcPr>
            <w:tcW w:w="2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US Federal</w:t>
            </w:r>
          </w:p>
        </w:tc>
        <w:tc>
          <w:tcPr>
            <w:tcW w:w="4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3"/>
                <w:szCs w:val="13"/>
                <w:color w:val="auto"/>
              </w:rPr>
            </w:pPr>
          </w:p>
        </w:tc>
      </w:tr>
      <w:tr>
        <w:trPr>
          <w:trHeight w:val="16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US State and local:</w:t>
            </w: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2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Massachusetts</w:t>
            </w:r>
          </w:p>
        </w:tc>
        <w:tc>
          <w:tcPr>
            <w:tcW w:w="4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2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Australia</w:t>
            </w:r>
          </w:p>
        </w:tc>
        <w:tc>
          <w:tcPr>
            <w:tcW w:w="4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5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8"/>
              </w:rPr>
              <w:t>   258</w:t>
            </w: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xml:space="preserve">   — </w:t>
            </w:r>
          </w:p>
        </w:tc>
        <w:tc>
          <w:tcPr>
            <w:tcW w:w="40" w:type="dxa"/>
            <w:vAlign w:val="bottom"/>
          </w:tcPr>
          <w:p>
            <w:pPr>
              <w:spacing w:after="0"/>
              <w:rPr>
                <w:sz w:val="15"/>
                <w:szCs w:val="15"/>
                <w:color w:val="auto"/>
              </w:rPr>
            </w:pPr>
          </w:p>
        </w:tc>
      </w:tr>
      <w:tr>
        <w:trPr>
          <w:trHeight w:val="20"/>
        </w:trPr>
        <w:tc>
          <w:tcPr>
            <w:tcW w:w="2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2620" w:type="dxa"/>
            <w:vAlign w:val="bottom"/>
          </w:tcPr>
          <w:p>
            <w:pPr>
              <w:spacing w:after="0"/>
              <w:rPr>
                <w:sz w:val="23"/>
                <w:szCs w:val="23"/>
                <w:color w:val="auto"/>
              </w:rPr>
            </w:pPr>
          </w:p>
        </w:tc>
        <w:tc>
          <w:tcPr>
            <w:tcW w:w="458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F-30</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 (in thousands):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9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69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Deferred tax assets: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operating losses</w:t>
            </w: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$ 14,616</w:t>
            </w:r>
          </w:p>
        </w:tc>
        <w:tc>
          <w:tcPr>
            <w:tcW w:w="200" w:type="dxa"/>
            <w:vAlign w:val="bottom"/>
          </w:tcPr>
          <w:p>
            <w:pPr>
              <w:spacing w:after="0"/>
              <w:rPr>
                <w:sz w:val="15"/>
                <w:szCs w:val="15"/>
                <w:color w:val="auto"/>
              </w:rPr>
            </w:pPr>
          </w:p>
        </w:tc>
        <w:tc>
          <w:tcPr>
            <w:tcW w:w="240" w:type="dxa"/>
            <w:vAlign w:val="bottom"/>
            <w:gridSpan w:val="2"/>
          </w:tcPr>
          <w:p>
            <w:pPr>
              <w:jc w:val="center"/>
              <w:ind w:left="6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1,940</w:t>
            </w:r>
          </w:p>
        </w:tc>
        <w:tc>
          <w:tcPr>
            <w:tcW w:w="10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credits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100" w:type="dxa"/>
            <w:vAlign w:val="bottom"/>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Lease liability</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1,360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1,349</w:t>
            </w:r>
          </w:p>
        </w:tc>
        <w:tc>
          <w:tcPr>
            <w:tcW w:w="10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100" w:type="dxa"/>
            <w:vAlign w:val="bottom"/>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9,456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4,505</w:t>
            </w:r>
          </w:p>
        </w:tc>
        <w:tc>
          <w:tcPr>
            <w:tcW w:w="10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2,293</w:t>
            </w:r>
          </w:p>
        </w:tc>
        <w:tc>
          <w:tcPr>
            <w:tcW w:w="100" w:type="dxa"/>
            <w:vAlign w:val="bottom"/>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temporary differences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r>
      <w:tr>
        <w:trPr>
          <w:trHeight w:val="179"/>
        </w:trPr>
        <w:tc>
          <w:tcPr>
            <w:tcW w:w="20" w:type="dxa"/>
            <w:vAlign w:val="bottom"/>
          </w:tcPr>
          <w:p>
            <w:pPr>
              <w:spacing w:after="0"/>
              <w:rPr>
                <w:sz w:val="15"/>
                <w:szCs w:val="15"/>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5"/>
                <w:szCs w:val="15"/>
                <w:color w:val="auto"/>
              </w:rPr>
              <w:t>(32,506)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7"/>
              </w:rPr>
              <w:t>(10,447)</w:t>
            </w:r>
          </w:p>
        </w:tc>
      </w:tr>
      <w:tr>
        <w:trPr>
          <w:trHeight w:val="170"/>
        </w:trPr>
        <w:tc>
          <w:tcPr>
            <w:tcW w:w="2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Right of use lease asset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5"/>
                <w:szCs w:val="15"/>
                <w:color w:val="auto"/>
              </w:rPr>
              <w:t>(1,288)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(1,329)</w:t>
            </w:r>
          </w:p>
        </w:tc>
      </w:tr>
      <w:tr>
        <w:trPr>
          <w:trHeight w:val="179"/>
        </w:trPr>
        <w:tc>
          <w:tcPr>
            <w:tcW w:w="20" w:type="dxa"/>
            <w:vAlign w:val="bottom"/>
          </w:tcPr>
          <w:p>
            <w:pPr>
              <w:spacing w:after="0"/>
              <w:rPr>
                <w:sz w:val="15"/>
                <w:szCs w:val="15"/>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 and equipment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w:t>
            </w:r>
          </w:p>
        </w:tc>
      </w:tr>
      <w:tr>
        <w:trPr>
          <w:trHeight w:val="170"/>
        </w:trPr>
        <w:tc>
          <w:tcPr>
            <w:tcW w:w="2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79"/>
        </w:trPr>
        <w:tc>
          <w:tcPr>
            <w:tcW w:w="20" w:type="dxa"/>
            <w:vAlign w:val="bottom"/>
          </w:tcPr>
          <w:p>
            <w:pPr>
              <w:spacing w:after="0"/>
              <w:rPr>
                <w:sz w:val="15"/>
                <w:szCs w:val="15"/>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5"/>
                <w:szCs w:val="15"/>
                <w:color w:val="auto"/>
              </w:rPr>
              <w:t xml:space="preserve">— </w:t>
            </w:r>
          </w:p>
        </w:tc>
        <w:tc>
          <w:tcPr>
            <w:tcW w:w="2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xml:space="preserve">— </w:t>
            </w:r>
          </w:p>
        </w:tc>
      </w:tr>
      <w:tr>
        <w:trPr>
          <w:trHeight w:val="20"/>
        </w:trPr>
        <w:tc>
          <w:tcPr>
            <w:tcW w:w="2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740" w:type="dxa"/>
            <w:vAlign w:val="bottom"/>
            <w:gridSpan w:val="7"/>
          </w:tcPr>
          <w:p>
            <w:pPr>
              <w:ind w:left="320"/>
              <w:spacing w:after="0"/>
              <w:rPr>
                <w:sz w:val="20"/>
                <w:szCs w:val="20"/>
                <w:color w:val="auto"/>
              </w:rPr>
            </w:pPr>
            <w:r>
              <w:rPr>
                <w:rFonts w:ascii="Times New Roman" w:cs="Times New Roman" w:eastAsia="Times New Roman" w:hAnsi="Times New Roman"/>
                <w:sz w:val="14"/>
                <w:szCs w:val="14"/>
                <w:color w:val="auto"/>
              </w:rPr>
              <w:t>The Company’s change in its valuation allowance account with respect to deferred tax assets is as follows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0" w:type="dxa"/>
            <w:vAlign w:val="bottom"/>
          </w:tcPr>
          <w:p>
            <w:pPr>
              <w:spacing w:after="0"/>
              <w:rPr>
                <w:sz w:val="9"/>
                <w:szCs w:val="9"/>
                <w:color w:val="auto"/>
              </w:rPr>
            </w:pPr>
          </w:p>
        </w:tc>
        <w:tc>
          <w:tcPr>
            <w:tcW w:w="69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06"/>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r>
      <w:tr>
        <w:trPr>
          <w:trHeight w:val="169"/>
        </w:trPr>
        <w:tc>
          <w:tcPr>
            <w:tcW w:w="20" w:type="dxa"/>
            <w:vAlign w:val="bottom"/>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4"/>
              </w:rPr>
              <w:t>$10,447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15,850</w:t>
            </w:r>
          </w:p>
        </w:tc>
        <w:tc>
          <w:tcPr>
            <w:tcW w:w="100" w:type="dxa"/>
            <w:vAlign w:val="bottom"/>
            <w:shd w:val="clear" w:color="auto" w:fill="CCEEFF"/>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22,059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13,039</w:t>
            </w:r>
          </w:p>
        </w:tc>
        <w:tc>
          <w:tcPr>
            <w:tcW w:w="10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7"/>
              </w:rPr>
              <w:t>(18,442)</w:t>
            </w:r>
          </w:p>
        </w:tc>
      </w:tr>
      <w:tr>
        <w:trPr>
          <w:trHeight w:val="180"/>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w w:val="94"/>
              </w:rPr>
              <w:t>$</w:t>
            </w:r>
            <w:r>
              <w:rPr>
                <w:rFonts w:ascii="Times New Roman" w:cs="Times New Roman" w:eastAsia="Times New Roman" w:hAnsi="Times New Roman"/>
                <w:sz w:val="15"/>
                <w:szCs w:val="15"/>
                <w:color w:val="auto"/>
                <w:w w:val="94"/>
              </w:rPr>
              <w:t>32,506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10,447</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The valuation allowance increased during the year ended December 31, 2025 primarily as a result of the increase to the Company’s taxable loss. The valuation allowance decreased during the year ended December 31, 2024 primarily as a result of the hypothetical tax attributes which are not available for future utilization by the Company as a result of the Transaction, partially offset by U.S. operating losses incurred, research credits generated, and capitalized research and other expenses generated after the Transaction.</w:t>
      </w:r>
    </w:p>
    <w:p>
      <w:pPr>
        <w:spacing w:after="0" w:line="14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In determining the need for a valuation allowance, the Company considers the cumulative income or loss position. The Company has assessed, on a jurisdictional basis, the available means of recovering deferred tax assets, including the ability to carryback net operating losses, or NOLs, the existence of reversing taxable temporary differences, the availability of tax planning strategies, and forecasted future taxable income. At December 31, 2025, the Company maintained a full valuation allowance against its net deferred tax assets, as it has concluded that it is more likely than not that the deferred assets will not be utilized.</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10159"/>
          </w:cols>
          <w:pgMar w:left="300" w:top="386"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and 2024, the Company had U.S. federal NOLs of $53.4 million and $7.2 million, respectively. The U.S. federal NOLs do not expire. As of December 31, 2025 and 2024, the Company had U.S. federal tax credit carryforwards of $2.9 million and $0.7 million, respectively, that begin to expire in 2044.</w:t>
      </w:r>
    </w:p>
    <w:p>
      <w:pPr>
        <w:spacing w:after="0" w:line="136"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2025 and 2024, the Company had $53.7 million and $6.9 million, of state NOLs, respectively. These NOLs were generated in Massachusetts and that begin to expire in 2044. As of December 31, 2025 and 2024, the Company had U.S. state tax credit carryforwards of $1.0 million and $0.3 million, respectively, that begin to expire in 2039.</w:t>
      </w:r>
    </w:p>
    <w:p>
      <w:pPr>
        <w:spacing w:after="0" w:line="136" w:lineRule="exact"/>
        <w:rPr>
          <w:sz w:val="20"/>
          <w:szCs w:val="20"/>
          <w:color w:val="auto"/>
        </w:rPr>
      </w:pPr>
    </w:p>
    <w:p>
      <w:pPr>
        <w:ind w:left="1360" w:right="379" w:firstLine="343"/>
        <w:spacing w:after="0" w:line="257" w:lineRule="auto"/>
        <w:rPr>
          <w:sz w:val="20"/>
          <w:szCs w:val="20"/>
          <w:color w:val="auto"/>
        </w:rPr>
      </w:pPr>
      <w:r>
        <w:rPr>
          <w:rFonts w:ascii="Times New Roman" w:cs="Times New Roman" w:eastAsia="Times New Roman" w:hAnsi="Times New Roman"/>
          <w:sz w:val="14"/>
          <w:szCs w:val="14"/>
          <w:color w:val="auto"/>
        </w:rPr>
        <w:t>Under Sections 382 and 383 of the U.S. Internal Revenue Code, if a corporation undergoes an ownership change, the corporation’s ability to use its pre-ownership change NOLs and other pre-ownership change tax attributes, such as research tax credits, to offset its post-change income and taxes may be limited. In general, an ownership change will occur if there is a cumulative change in the Company’s ownership by 5% shareholders that exceeds 50 percentage points over a rolling three-year period. Similar rules may apply under U.S. state tax laws. Under the Tax Cuts and Jobs Act of 2017, the use of federal NOLs arising in taxable years beginning after December 31, 2017 is limited to 80% of current year taxable income and NOLs arising in taxable years ending after December 31, 2017 may not be carried back (though any such NOLs may be carried forward indefinitely).</w:t>
      </w:r>
    </w:p>
    <w:p>
      <w:pPr>
        <w:spacing w:after="0" w:line="14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Company may have experienced an ownership change in the current period and may experience ownership changes in the future as a result of future transactions in its share capital, some of which may be outside of the control of the Company. As a result, if the Company earns net taxable income, its ability to use its pre-ownership change NOLs, or other pre-ownership change tax attributes, to offset U.S. federal and state taxable income and taxes may be subject to significant limitations.</w:t>
      </w:r>
    </w:p>
    <w:p>
      <w:pPr>
        <w:spacing w:after="0" w:line="14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Undistributed earnings of Seaport’s foreign subsidiary are indefinitely invested outside the U.S. The majority of Seaport’s cash flow is generated from domestic operations, and the Company is not dependent on foreign cash or earnings to meet funding requirements, nor does the Company intend to repatriate these undistributed foreign earnings to fund U.S. operations. As a result, the Company has not provided U.S. deferred taxes on these undistributed earnings because it intends that it will remain indefinitely reinvested outside of the U.S. and, therefore unavailable for use in funding U.S. operations. The Company estimates the income taxes that would be payable on the repatriation of the unremitted earnings would not be material.</w:t>
      </w:r>
    </w:p>
    <w:p>
      <w:pPr>
        <w:spacing w:after="0" w:line="14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The Company is subject to taxation in the United States and Australia. At December 31, 2025, the Company is subject to examination by taxing authorities in the United States and Australia for the years ended December 31, 2025 and 2024.</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the years ended December 31, 2025, and 2024, the Company had no tax reserves accrued for uncertain tax positions.</w:t>
      </w:r>
    </w:p>
    <w:p>
      <w:pPr>
        <w:spacing w:after="0" w:line="175"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On July 4, 2025, the One Big Beautiful Bill Act H.R. 1 was signed into law in the U.S. The legislation has multiple effective dates, with certain provisions effective in 2025 and others implemented through 2027. The bill did not have a material impact on the Company’s consolidated financial statements.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13. LEASES</w:t>
      </w:r>
    </w:p>
    <w:p>
      <w:pPr>
        <w:spacing w:after="0" w:line="93"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In October 2024, the Company entered into an operating lease for office space in Boston, Massachusetts, which commenced in December 2024 and has an initial lease term that continues through October 20, 2030, with no options to extend. In conjunction with entering into the lease, the Company paid a security deposit of $0.2 million in the form of a letter of credit, which is recorded as restricted cash within other non-current assets on the Company’s consolidated balance sheets as of December 31, 2025 and 2024.</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386"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December 2024, the Company entered into a laboratory license agreement with a third party for lab space located in Boston, Massachusetts.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license commenced in January 2025 and is for an initial term of 24 months from the commencement date, with no renewal option.</w:t>
      </w:r>
    </w:p>
    <w:p>
      <w:pPr>
        <w:spacing w:after="0" w:line="161"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Prior to entering into the lease and laboratory license agreement, the Company did not have any leases as it shared office and lab space with PureTech and made payments to PureTech under the TSA. See Note 17—Related Parties for further disclosure of transactions with PureTech.</w:t>
      </w:r>
    </w:p>
    <w:p>
      <w:pPr>
        <w:spacing w:after="0" w:line="125"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The following table contains a summary of the components of lease costs recognized pertaining to the Company’s operating leases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7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71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3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3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Borders>
              <w:bottom w:val="single" w:sz="8" w:color="CCEEFF"/>
            </w:tcBorders>
          </w:tcPr>
          <w:p>
            <w:pPr>
              <w:spacing w:after="0"/>
              <w:rPr>
                <w:sz w:val="9"/>
                <w:szCs w:val="9"/>
                <w:color w:val="auto"/>
              </w:rPr>
            </w:pPr>
          </w:p>
        </w:tc>
      </w:tr>
      <w:tr>
        <w:trPr>
          <w:trHeight w:val="169"/>
        </w:trPr>
        <w:tc>
          <w:tcPr>
            <w:tcW w:w="7100" w:type="dxa"/>
            <w:vAlign w:val="bottom"/>
            <w:shd w:val="clear" w:color="auto" w:fill="CCEEFF"/>
          </w:tcPr>
          <w:p>
            <w:pPr>
              <w:jc w:val="right"/>
              <w:ind w:right="5890"/>
              <w:spacing w:after="0"/>
              <w:rPr>
                <w:sz w:val="20"/>
                <w:szCs w:val="20"/>
                <w:color w:val="auto"/>
              </w:rPr>
            </w:pPr>
            <w:r>
              <w:rPr>
                <w:rFonts w:ascii="Times New Roman" w:cs="Times New Roman" w:eastAsia="Times New Roman" w:hAnsi="Times New Roman"/>
                <w:sz w:val="14"/>
                <w:szCs w:val="14"/>
                <w:color w:val="auto"/>
                <w:w w:val="98"/>
              </w:rPr>
              <w:t>Operating lease cost</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1,593</w:t>
            </w: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75</w:t>
            </w:r>
          </w:p>
        </w:tc>
        <w:tc>
          <w:tcPr>
            <w:tcW w:w="60" w:type="dxa"/>
            <w:vAlign w:val="bottom"/>
            <w:shd w:val="clear" w:color="auto" w:fill="CCEEFF"/>
          </w:tcPr>
          <w:p>
            <w:pPr>
              <w:spacing w:after="0"/>
              <w:rPr>
                <w:sz w:val="14"/>
                <w:szCs w:val="14"/>
                <w:color w:val="auto"/>
              </w:rPr>
            </w:pPr>
          </w:p>
        </w:tc>
      </w:tr>
      <w:tr>
        <w:trPr>
          <w:trHeight w:val="180"/>
        </w:trPr>
        <w:tc>
          <w:tcPr>
            <w:tcW w:w="7100" w:type="dxa"/>
            <w:vAlign w:val="bottom"/>
          </w:tcPr>
          <w:p>
            <w:pPr>
              <w:jc w:val="right"/>
              <w:ind w:right="5890"/>
              <w:spacing w:after="0"/>
              <w:rPr>
                <w:sz w:val="20"/>
                <w:szCs w:val="20"/>
                <w:color w:val="auto"/>
              </w:rPr>
            </w:pPr>
            <w:r>
              <w:rPr>
                <w:rFonts w:ascii="Times New Roman" w:cs="Times New Roman" w:eastAsia="Times New Roman" w:hAnsi="Times New Roman"/>
                <w:sz w:val="14"/>
                <w:szCs w:val="14"/>
                <w:color w:val="auto"/>
              </w:rPr>
              <w:t>Total lease cost</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2"/>
              </w:rPr>
              <w:t>   1,593</w:t>
            </w:r>
          </w:p>
        </w:tc>
        <w:tc>
          <w:tcPr>
            <w:tcW w:w="3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5"/>
              </w:rPr>
              <w:t>   75</w:t>
            </w:r>
          </w:p>
        </w:tc>
        <w:tc>
          <w:tcPr>
            <w:tcW w:w="60" w:type="dxa"/>
            <w:vAlign w:val="bottom"/>
          </w:tcPr>
          <w:p>
            <w:pPr>
              <w:spacing w:after="0"/>
              <w:rPr>
                <w:sz w:val="15"/>
                <w:szCs w:val="15"/>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contains a summary of other supplemental lease information pertaining to the Company’s operating lease for the year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2025 and 2024:</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6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Borders>
              <w:top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jc w:val="right"/>
              <w:ind w:right="4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r>
      <w:tr>
        <w:trPr>
          <w:trHeight w:val="148"/>
        </w:trPr>
        <w:tc>
          <w:tcPr>
            <w:tcW w:w="62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Other Lease Information</w:t>
            </w:r>
          </w:p>
        </w:tc>
        <w:tc>
          <w:tcPr>
            <w:tcW w:w="5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62"/>
        </w:trPr>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5"/>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liability—operating leases (in thousands)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1,400</w:t>
            </w:r>
          </w:p>
        </w:tc>
        <w:tc>
          <w:tcPr>
            <w:tcW w:w="38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  — </w:t>
            </w:r>
          </w:p>
        </w:tc>
      </w:tr>
      <w:tr>
        <w:trPr>
          <w:trHeight w:val="17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term—operating leases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3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60" w:type="dxa"/>
            <w:vAlign w:val="bottom"/>
            <w:shd w:val="clear" w:color="auto" w:fill="CCEEFF"/>
          </w:tcPr>
          <w:p>
            <w:pPr>
              <w:spacing w:after="0"/>
              <w:rPr>
                <w:sz w:val="15"/>
                <w:szCs w:val="15"/>
                <w:color w:val="auto"/>
              </w:rPr>
            </w:pPr>
          </w:p>
        </w:tc>
      </w:tr>
      <w:tr>
        <w:trPr>
          <w:trHeight w:val="162"/>
        </w:trPr>
        <w:tc>
          <w:tcPr>
            <w:tcW w:w="6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 </w:t>
            </w:r>
          </w:p>
        </w:tc>
      </w:tr>
      <w:tr>
        <w:trPr>
          <w:trHeight w:val="199"/>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rate—operating leases</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6.53%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6.61%</w:t>
            </w:r>
          </w:p>
        </w:tc>
      </w:tr>
    </w:tbl>
    <w:p>
      <w:pPr>
        <w:spacing w:after="0" w:line="1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table below reconciles future minimum payments under non-cancellable operating leases as of December 31, 2025 (in thousands):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7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Operating</w:t>
            </w: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Leases</w:t>
            </w:r>
          </w:p>
        </w:tc>
      </w:tr>
      <w:tr>
        <w:trPr>
          <w:trHeight w:val="169"/>
        </w:trPr>
        <w:tc>
          <w:tcPr>
            <w:tcW w:w="20" w:type="dxa"/>
            <w:vAlign w:val="bottom"/>
          </w:tcPr>
          <w:p>
            <w:pPr>
              <w:spacing w:after="0"/>
              <w:rPr>
                <w:sz w:val="14"/>
                <w:szCs w:val="14"/>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5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$ 1,635</w:t>
            </w:r>
          </w:p>
        </w:tc>
        <w:tc>
          <w:tcPr>
            <w:tcW w:w="100" w:type="dxa"/>
            <w:vAlign w:val="bottom"/>
            <w:tcBorders>
              <w:top w:val="single" w:sz="8" w:color="CCEEFF"/>
            </w:tcBorders>
            <w:shd w:val="clear" w:color="auto" w:fill="CCEEFF"/>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10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5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w:t>
            </w:r>
          </w:p>
        </w:tc>
        <w:tc>
          <w:tcPr>
            <w:tcW w:w="100" w:type="dxa"/>
            <w:vAlign w:val="bottom"/>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1,112</w:t>
            </w:r>
          </w:p>
        </w:tc>
        <w:tc>
          <w:tcPr>
            <w:tcW w:w="10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5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518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lease payments</w:t>
            </w:r>
          </w:p>
        </w:tc>
        <w:tc>
          <w:tcPr>
            <w:tcW w:w="5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w:t>
            </w:r>
          </w:p>
        </w:tc>
        <w:tc>
          <w:tcPr>
            <w:tcW w:w="10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Less: interest</w:t>
            </w:r>
          </w:p>
        </w:tc>
        <w:tc>
          <w:tcPr>
            <w:tcW w:w="518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(763)</w:t>
            </w:r>
          </w:p>
        </w:tc>
      </w:tr>
      <w:tr>
        <w:trPr>
          <w:trHeight w:val="179"/>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5180" w:type="dxa"/>
            <w:vAlign w:val="bottom"/>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$ 5,081</w:t>
            </w: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5780" w:type="dxa"/>
            <w:vAlign w:val="bottom"/>
            <w:gridSpan w:val="3"/>
          </w:tcPr>
          <w:p>
            <w:pPr>
              <w:jc w:val="right"/>
              <w:ind w:right="4160"/>
              <w:spacing w:after="0"/>
              <w:rPr>
                <w:sz w:val="20"/>
                <w:szCs w:val="20"/>
                <w:color w:val="auto"/>
              </w:rPr>
            </w:pPr>
            <w:r>
              <w:rPr>
                <w:rFonts w:ascii="Times New Roman" w:cs="Times New Roman" w:eastAsia="Times New Roman" w:hAnsi="Times New Roman"/>
                <w:sz w:val="14"/>
                <w:szCs w:val="14"/>
                <w:color w:val="auto"/>
              </w:rPr>
              <w:t>F-33</w:t>
            </w:r>
          </w:p>
        </w:tc>
      </w:tr>
    </w:tbl>
    <w:p>
      <w:pPr>
        <w:sectPr>
          <w:pgSz w:w="11900" w:h="16838" w:orient="portrait"/>
          <w:cols w:equalWidth="0" w:num="1">
            <w:col w:w="10159"/>
          </w:cols>
          <w:pgMar w:left="300" w:top="386"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ind w:left="1700" w:right="5899" w:hanging="345"/>
        <w:spacing w:after="0" w:line="377" w:lineRule="auto"/>
        <w:tabs>
          <w:tab w:leader="none" w:pos="1567"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b w:val="1"/>
          <w:bCs w:val="1"/>
          <w:i w:val="1"/>
          <w:iCs w:val="1"/>
          <w:color w:val="auto"/>
        </w:rPr>
        <w:t>Legal Matters</w:t>
      </w:r>
    </w:p>
    <w:p>
      <w:pPr>
        <w:spacing w:after="0" w:line="1"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The Company, from time to time, may be involved with lawsuits arising in the ordinary course of business. The Company is not involved in any pending legal proceedings that it believes could have a material adverse effect on its financial condition, results of operations, or cash flows.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Contracts</w:t>
      </w:r>
    </w:p>
    <w:p>
      <w:pPr>
        <w:spacing w:after="0" w:line="9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License and Other Agreements</w:t>
      </w:r>
    </w:p>
    <w:p>
      <w:pPr>
        <w:spacing w:after="0" w:line="9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Company is obligated to make fixed and contingent payments under the Asset Transfer Agreement and Monash License Agreement. See Note 1—Nature of Business and Basis of Presentation, for further disclosure of the Asset Transfer Agreement and see Note 8—Monash License Agreement, for further disclosure of the Monash license agreement.</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Guarantees and Indemnification</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401(k) Plan</w:t>
      </w:r>
    </w:p>
    <w:p>
      <w:pPr>
        <w:spacing w:after="0" w:line="93" w:lineRule="exact"/>
        <w:rPr>
          <w:sz w:val="20"/>
          <w:szCs w:val="20"/>
          <w:color w:val="auto"/>
        </w:rPr>
      </w:pPr>
    </w:p>
    <w:p>
      <w:pPr>
        <w:jc w:val="both"/>
        <w:ind w:left="1360" w:right="279" w:firstLine="343"/>
        <w:spacing w:after="0" w:line="277" w:lineRule="auto"/>
        <w:rPr>
          <w:sz w:val="20"/>
          <w:szCs w:val="20"/>
          <w:color w:val="auto"/>
        </w:rPr>
      </w:pPr>
      <w:r>
        <w:rPr>
          <w:rFonts w:ascii="Times New Roman" w:cs="Times New Roman" w:eastAsia="Times New Roman" w:hAnsi="Times New Roman"/>
          <w:sz w:val="13"/>
          <w:szCs w:val="13"/>
          <w:color w:val="auto"/>
        </w:rPr>
        <w:t>The Company has a defined-contribution savings plan under Section 401(k) of the IRC (the “401(k) Plan”). The 401(k) Plan covers all employees who meet defined minimum age and service requirements and allows participants to defer a portion of their annual compensation on a pretax basis. The Company will make a contribution of 3% of each employee’s annual compensation up to annual safe harbor limits. The Company has expensed</w:t>
      </w:r>
    </w:p>
    <w:p>
      <w:pPr>
        <w:spacing w:after="0" w:line="2" w:lineRule="exact"/>
        <w:rPr>
          <w:sz w:val="20"/>
          <w:szCs w:val="20"/>
          <w:color w:val="auto"/>
        </w:rPr>
      </w:pPr>
    </w:p>
    <w:p>
      <w:pPr>
        <w:ind w:left="1360" w:right="379"/>
        <w:spacing w:after="0" w:line="256" w:lineRule="auto"/>
        <w:rPr>
          <w:sz w:val="20"/>
          <w:szCs w:val="20"/>
          <w:color w:val="auto"/>
        </w:rPr>
      </w:pPr>
      <w:r>
        <w:rPr>
          <w:rFonts w:ascii="Times New Roman" w:cs="Times New Roman" w:eastAsia="Times New Roman" w:hAnsi="Times New Roman"/>
          <w:sz w:val="14"/>
          <w:szCs w:val="14"/>
          <w:color w:val="auto"/>
        </w:rPr>
        <w:t>$0.4 million and $0.1 million in 401(k) contributions for the years ended December 31, 2025 and 2024, respectively. The Company participated in the PureTech defined-contribution plan through July 2025. Beginning in August 2025, the Company implemented its own defined-contribution plan for eligible employees.</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See Note 13—Leases, for information related to the Company’s lease obligations.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15. SEGMENTS</w:t>
      </w:r>
    </w:p>
    <w:p>
      <w:pPr>
        <w:spacing w:after="0" w:line="93" w:lineRule="exact"/>
        <w:rPr>
          <w:sz w:val="20"/>
          <w:szCs w:val="20"/>
          <w:color w:val="auto"/>
        </w:rPr>
      </w:pPr>
    </w:p>
    <w:p>
      <w:pPr>
        <w:ind w:left="1360" w:right="619" w:firstLine="343"/>
        <w:spacing w:after="0" w:line="269" w:lineRule="auto"/>
        <w:rPr>
          <w:sz w:val="20"/>
          <w:szCs w:val="20"/>
          <w:color w:val="auto"/>
        </w:rPr>
      </w:pPr>
      <w:r>
        <w:rPr>
          <w:rFonts w:ascii="Times New Roman" w:cs="Times New Roman" w:eastAsia="Times New Roman" w:hAnsi="Times New Roman"/>
          <w:sz w:val="14"/>
          <w:szCs w:val="14"/>
          <w:color w:val="auto"/>
        </w:rPr>
        <w:t>The Company has one operating and reportable segment focused on inventing and developing novel medicines for patients with depression, anxiety, and other debilitating neuropsychiatric disorders using the Company’s proprietary Glyph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Platform.</w:t>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386"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CODM manages the Company’s operations on a consolidated basis, and assesses performance based on consolidated net loss that is reported on the consolidated statements of operations and comprehensive loss. The CODM makes decisions about allocating resources and assessing performance for the entire company. The measure of segment assets is reported on the consolidated balance sheet as total consolidated assets.</w:t>
      </w:r>
    </w:p>
    <w:p>
      <w:pPr>
        <w:spacing w:after="0" w:line="1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following table presents certain significant segment expenses that are regularly provided to the CODM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20" w:type="dxa"/>
            <w:vAlign w:val="bottom"/>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6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GlyphAllo direct research and development expenses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25,858</w:t>
            </w:r>
          </w:p>
        </w:tc>
        <w:tc>
          <w:tcPr>
            <w:tcW w:w="18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GlyphAgo direct research and development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Glyph2BLSD direct research and development expenses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7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Preclinical and early discovery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8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7040" w:type="dxa"/>
            <w:vAlign w:val="bottom"/>
            <w:gridSpan w:val="2"/>
          </w:tcPr>
          <w:p>
            <w:pPr>
              <w:ind w:left="260"/>
              <w:spacing w:after="0" w:line="153" w:lineRule="exact"/>
              <w:rPr>
                <w:sz w:val="20"/>
                <w:szCs w:val="20"/>
                <w:color w:val="auto"/>
              </w:rPr>
            </w:pPr>
            <w:r>
              <w:rPr>
                <w:rFonts w:ascii="Times New Roman" w:cs="Times New Roman" w:eastAsia="Times New Roman" w:hAnsi="Times New Roman"/>
                <w:sz w:val="14"/>
                <w:szCs w:val="14"/>
                <w:color w:val="auto"/>
              </w:rPr>
              <w:t>Personnel-related (including stock-based compensation expense of $2.3 million and $0.7 million for 2025 and 2024,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8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7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indirect research and development expenses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4"/>
                <w:szCs w:val="14"/>
                <w:color w:val="auto"/>
              </w:rPr>
            </w:pPr>
          </w:p>
        </w:tc>
      </w:tr>
      <w:tr>
        <w:trPr>
          <w:trHeight w:val="170"/>
        </w:trPr>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25,070</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7040" w:type="dxa"/>
            <w:vAlign w:val="bottom"/>
            <w:gridSpan w:val="2"/>
          </w:tcPr>
          <w:p>
            <w:pPr>
              <w:ind w:left="260"/>
              <w:spacing w:after="0" w:line="153" w:lineRule="exact"/>
              <w:rPr>
                <w:sz w:val="20"/>
                <w:szCs w:val="20"/>
                <w:color w:val="auto"/>
              </w:rPr>
            </w:pPr>
            <w:r>
              <w:rPr>
                <w:rFonts w:ascii="Times New Roman" w:cs="Times New Roman" w:eastAsia="Times New Roman" w:hAnsi="Times New Roman"/>
                <w:sz w:val="14"/>
                <w:szCs w:val="14"/>
                <w:color w:val="auto"/>
              </w:rPr>
              <w:t>Personnel-related (including stock-based compensation expense of $4.6 million and $15.2 million for 2025 and 2024,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70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20,661</w:t>
            </w:r>
          </w:p>
        </w:tc>
        <w:tc>
          <w:tcPr>
            <w:tcW w:w="8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7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80" w:type="dxa"/>
            <w:vAlign w:val="bottom"/>
            <w:shd w:val="clear" w:color="auto" w:fill="CCEEFF"/>
          </w:tcPr>
          <w:p>
            <w:pPr>
              <w:spacing w:after="0"/>
              <w:rPr>
                <w:sz w:val="14"/>
                <w:szCs w:val="14"/>
                <w:color w:val="auto"/>
              </w:rPr>
            </w:pPr>
          </w:p>
        </w:tc>
      </w:tr>
      <w:tr>
        <w:trPr>
          <w:trHeight w:val="170"/>
        </w:trPr>
        <w:tc>
          <w:tcPr>
            <w:tcW w:w="7060" w:type="dxa"/>
            <w:vAlign w:val="bottom"/>
            <w:gridSpan w:val="3"/>
          </w:tcPr>
          <w:p>
            <w:pPr>
              <w:spacing w:after="0" w:line="169" w:lineRule="exact"/>
              <w:rPr>
                <w:sz w:val="20"/>
                <w:szCs w:val="20"/>
                <w:color w:val="auto"/>
              </w:rPr>
            </w:pPr>
            <w:r>
              <w:rPr>
                <w:rFonts w:ascii="Times New Roman" w:cs="Times New Roman" w:eastAsia="Times New Roman" w:hAnsi="Times New Roman"/>
                <w:sz w:val="13"/>
                <w:szCs w:val="13"/>
                <w:color w:val="auto"/>
              </w:rPr>
              <w:t>Total general and administrative expenses</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27,346</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9"/>
                <w:szCs w:val="19"/>
                <w:color w:val="auto"/>
                <w:vertAlign w:val="superscript"/>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(5,537)</w:t>
            </w:r>
          </w:p>
        </w:tc>
      </w:tr>
      <w:tr>
        <w:trPr>
          <w:trHeight w:val="169"/>
        </w:trPr>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46,879</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r>
    </w:tbl>
    <w:p>
      <w:pPr>
        <w:ind w:left="1700" w:hanging="345"/>
        <w:spacing w:after="0" w:line="198" w:lineRule="auto"/>
        <w:tabs>
          <w:tab w:leader="none" w:pos="1700" w:val="left"/>
        </w:tabs>
        <w:numPr>
          <w:ilvl w:val="0"/>
          <w:numId w:val="1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Other general and administrative expenses include professional fees, facilities, depreciation, IT, and other expenses.</w:t>
      </w:r>
    </w:p>
    <w:p>
      <w:pPr>
        <w:spacing w:after="0" w:line="1" w:lineRule="exact"/>
        <w:rPr>
          <w:rFonts w:ascii="Times New Roman" w:cs="Times New Roman" w:eastAsia="Times New Roman" w:hAnsi="Times New Roman"/>
          <w:sz w:val="21"/>
          <w:szCs w:val="21"/>
          <w:color w:val="auto"/>
          <w:vertAlign w:val="superscript"/>
        </w:rPr>
      </w:pPr>
    </w:p>
    <w:p>
      <w:pPr>
        <w:ind w:left="1700" w:hanging="345"/>
        <w:spacing w:after="0" w:line="183" w:lineRule="auto"/>
        <w:tabs>
          <w:tab w:leader="none" w:pos="1700" w:val="left"/>
        </w:tabs>
        <w:numPr>
          <w:ilvl w:val="0"/>
          <w:numId w:val="1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Other segment items include interest income, net, research and development tax credit, income tax provision, and other (expense), net.</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16. NET LOSS PER SHARE</w:t>
      </w:r>
    </w:p>
    <w:p>
      <w:pPr>
        <w:spacing w:after="0" w:line="93"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Upon the Company’s formation on April 1, 2024, the Company issued 1,000 shares of its common stock to PureTech and on April 8, 2024, the effective date of the Asset Transfer, an additional 949,000 shares of its common stock were issued to PureTech. The aggregate 950,000 shares were considered outstanding for the full year and the Exchange Shares were considered outstanding based on their issuance or vesting dates, as applicable, in the calculation of basic and diluted earnings per share for the year ended December 31, 2024, as the formation, Asset Transfer and Exchange Shares were deemed to be common control transactions. There were no shares of the Company outstanding prior to the Company’s formation and the Asset Transfer Date.</w:t>
      </w:r>
    </w:p>
    <w:p>
      <w:pPr>
        <w:spacing w:after="0" w:line="14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Preferred Stock as the holders did not have a contractual obligation to share in losses. Diluted net loss per share is the same as basic net loss per share for the years presented since the effects of any potentially dilutive securities, would be antidilutive given the net loss of the Company.</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386"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Basic and diluted net loss per share is calculated as follows (in thousands except share and per share amounts):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9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4960" w:type="dxa"/>
            <w:vAlign w:val="bottom"/>
            <w:tcBorders>
              <w:bottom w:val="single" w:sz="8" w:color="CCEEFF"/>
            </w:tcBorders>
          </w:tcPr>
          <w:p>
            <w:pPr>
              <w:spacing w:after="0"/>
              <w:rPr>
                <w:sz w:val="9"/>
                <w:szCs w:val="9"/>
                <w:color w:val="auto"/>
              </w:rPr>
            </w:pPr>
          </w:p>
        </w:tc>
        <w:tc>
          <w:tcPr>
            <w:tcW w:w="18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9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18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(74,881</w:t>
            </w:r>
          </w:p>
        </w:tc>
        <w:tc>
          <w:tcPr>
            <w:tcW w:w="4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(46,879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19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50"/>
        </w:trPr>
        <w:tc>
          <w:tcPr>
            <w:tcW w:w="496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(10.04</w:t>
            </w:r>
          </w:p>
        </w:tc>
        <w:tc>
          <w:tcPr>
            <w:tcW w:w="420" w:type="dxa"/>
            <w:vAlign w:val="bottom"/>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(15.83</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Weighted-average shares outstanding, basic and diluted</w:t>
            </w:r>
          </w:p>
        </w:tc>
        <w:tc>
          <w:tcPr>
            <w:tcW w:w="1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7,456,011</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w w:val="96"/>
              </w:rPr>
              <w:t>2,961,543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accounting purposes, the computation of basic and diluted weighted-average common shares outstanding for the years ended December 31,</w:t>
      </w:r>
    </w:p>
    <w:p>
      <w:pPr>
        <w:spacing w:after="0" w:line="22" w:lineRule="exact"/>
        <w:rPr>
          <w:sz w:val="20"/>
          <w:szCs w:val="20"/>
          <w:color w:val="auto"/>
        </w:rPr>
      </w:pPr>
    </w:p>
    <w:p>
      <w:pPr>
        <w:ind w:left="1360" w:right="579"/>
        <w:spacing w:after="0" w:line="261" w:lineRule="auto"/>
        <w:rPr>
          <w:sz w:val="20"/>
          <w:szCs w:val="20"/>
          <w:color w:val="auto"/>
        </w:rPr>
      </w:pPr>
      <w:r>
        <w:rPr>
          <w:rFonts w:ascii="Times New Roman" w:cs="Times New Roman" w:eastAsia="Times New Roman" w:hAnsi="Times New Roman"/>
          <w:sz w:val="14"/>
          <w:szCs w:val="14"/>
          <w:color w:val="auto"/>
        </w:rPr>
        <w:t>2025 and 2024, excludes all shares of unvested restricted common stock as such shares are not considered outstanding. See Note 11—Stock-Based Compensation, for more information.</w:t>
      </w:r>
    </w:p>
    <w:p>
      <w:pPr>
        <w:spacing w:after="0" w:line="140"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The following outstanding potentially dilutive securities have been excluded from the calculation of diluted net loss per share attributable to common stockholders, as their effect is antidilutive:</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160" w:type="dxa"/>
            <w:vAlign w:val="bottom"/>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9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980" w:type="dxa"/>
            <w:vAlign w:val="bottom"/>
            <w:tcBorders>
              <w:top w:val="single" w:sz="8" w:color="auto"/>
            </w:tcBorders>
          </w:tcPr>
          <w:p>
            <w:pPr>
              <w:jc w:val="right"/>
              <w:ind w:right="308"/>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120" w:type="dxa"/>
            <w:vAlign w:val="bottom"/>
            <w:tcBorders>
              <w:top w:val="single" w:sz="8" w:color="auto"/>
            </w:tcBorders>
            <w:gridSpan w:val="2"/>
          </w:tcPr>
          <w:p>
            <w:pPr>
              <w:jc w:val="right"/>
              <w:ind w:right="30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r>
      <w:tr>
        <w:trPr>
          <w:trHeight w:val="169"/>
        </w:trPr>
        <w:tc>
          <w:tcPr>
            <w:tcW w:w="642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 xml:space="preserve">Stock options to purchase common stock </w:t>
            </w:r>
            <w:r>
              <w:rPr>
                <w:rFonts w:ascii="Times New Roman" w:cs="Times New Roman" w:eastAsia="Times New Roman" w:hAnsi="Times New Roman"/>
                <w:sz w:val="19"/>
                <w:szCs w:val="19"/>
                <w:color w:val="auto"/>
                <w:vertAlign w:val="superscript"/>
              </w:rPr>
              <w:t>(1)</w:t>
            </w:r>
          </w:p>
        </w:tc>
        <w:tc>
          <w:tcPr>
            <w:tcW w:w="9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26,914,644</w:t>
            </w: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24,535,828</w:t>
            </w:r>
          </w:p>
        </w:tc>
        <w:tc>
          <w:tcPr>
            <w:tcW w:w="60" w:type="dxa"/>
            <w:vAlign w:val="bottom"/>
            <w:tcBorders>
              <w:top w:val="single" w:sz="8" w:color="CCEEFF"/>
            </w:tcBorders>
            <w:shd w:val="clear" w:color="auto" w:fill="CCEEFF"/>
          </w:tcPr>
          <w:p>
            <w:pPr>
              <w:spacing w:after="0"/>
              <w:rPr>
                <w:sz w:val="14"/>
                <w:szCs w:val="14"/>
                <w:color w:val="auto"/>
              </w:rPr>
            </w:pPr>
          </w:p>
        </w:tc>
      </w:tr>
      <w:tr>
        <w:trPr>
          <w:trHeight w:val="179"/>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Unvested restricted stock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486,114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902,778</w:t>
            </w:r>
          </w:p>
        </w:tc>
        <w:tc>
          <w:tcPr>
            <w:tcW w:w="60" w:type="dxa"/>
            <w:vAlign w:val="bottom"/>
          </w:tcPr>
          <w:p>
            <w:pPr>
              <w:spacing w:after="0"/>
              <w:rPr>
                <w:sz w:val="15"/>
                <w:szCs w:val="15"/>
                <w:color w:val="auto"/>
              </w:rPr>
            </w:pPr>
          </w:p>
        </w:tc>
      </w:tr>
      <w:tr>
        <w:trPr>
          <w:trHeight w:val="179"/>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A-1 Preferred Stock (as converted to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40,000,000</w:t>
            </w:r>
          </w:p>
        </w:tc>
        <w:tc>
          <w:tcPr>
            <w:tcW w:w="60" w:type="dxa"/>
            <w:vAlign w:val="bottom"/>
            <w:shd w:val="clear" w:color="auto" w:fill="CCEEFF"/>
          </w:tcPr>
          <w:p>
            <w:pPr>
              <w:spacing w:after="0"/>
              <w:rPr>
                <w:sz w:val="15"/>
                <w:szCs w:val="15"/>
                <w:color w:val="auto"/>
              </w:rPr>
            </w:pPr>
          </w:p>
        </w:tc>
      </w:tr>
      <w:tr>
        <w:trPr>
          <w:trHeight w:val="179"/>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A-2 Preferred Stock (as converted to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26,342,102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26,342,102</w:t>
            </w:r>
          </w:p>
        </w:tc>
        <w:tc>
          <w:tcPr>
            <w:tcW w:w="60" w:type="dxa"/>
            <w:vAlign w:val="bottom"/>
          </w:tcPr>
          <w:p>
            <w:pPr>
              <w:spacing w:after="0"/>
              <w:rPr>
                <w:sz w:val="15"/>
                <w:szCs w:val="15"/>
                <w:color w:val="auto"/>
              </w:rPr>
            </w:pPr>
          </w:p>
        </w:tc>
      </w:tr>
      <w:tr>
        <w:trPr>
          <w:trHeight w:val="179"/>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B Preferred Stock (as converted to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47,578,934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47,578,934</w:t>
            </w:r>
          </w:p>
        </w:tc>
        <w:tc>
          <w:tcPr>
            <w:tcW w:w="60" w:type="dxa"/>
            <w:vAlign w:val="bottom"/>
            <w:shd w:val="clear" w:color="auto" w:fill="CCEEFF"/>
          </w:tcPr>
          <w:p>
            <w:pPr>
              <w:spacing w:after="0"/>
              <w:rPr>
                <w:sz w:val="15"/>
                <w:szCs w:val="15"/>
                <w:color w:val="auto"/>
              </w:rPr>
            </w:pPr>
          </w:p>
        </w:tc>
      </w:tr>
      <w:tr>
        <w:trPr>
          <w:trHeight w:val="180"/>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141,321,794</w:t>
            </w:r>
          </w:p>
        </w:tc>
        <w:tc>
          <w:tcPr>
            <w:tcW w:w="1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139,359,642</w:t>
            </w:r>
          </w:p>
        </w:tc>
        <w:tc>
          <w:tcPr>
            <w:tcW w:w="6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5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17" w:lineRule="exact"/>
        <w:rPr>
          <w:sz w:val="20"/>
          <w:szCs w:val="20"/>
          <w:color w:val="auto"/>
        </w:rPr>
      </w:pPr>
    </w:p>
    <w:p>
      <w:pPr>
        <w:ind w:left="1700" w:right="319" w:hanging="345"/>
        <w:spacing w:after="0" w:line="283" w:lineRule="auto"/>
        <w:tabs>
          <w:tab w:leader="none" w:pos="17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excludes the performance-based options, as they were not yet been deemed granted from an accounting perspective. See Note 11 —Stock-Based Compensation, for more information.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17. RELATED PARTIES</w:t>
      </w:r>
    </w:p>
    <w:p>
      <w:pPr>
        <w:spacing w:after="0" w:line="93" w:lineRule="exact"/>
        <w:rPr>
          <w:sz w:val="20"/>
          <w:szCs w:val="20"/>
          <w:color w:val="auto"/>
        </w:rPr>
      </w:pPr>
    </w:p>
    <w:p>
      <w:pPr>
        <w:ind w:left="1360" w:right="759" w:firstLine="343"/>
        <w:spacing w:after="0" w:line="283" w:lineRule="auto"/>
        <w:rPr>
          <w:sz w:val="20"/>
          <w:szCs w:val="20"/>
          <w:color w:val="auto"/>
        </w:rPr>
      </w:pPr>
      <w:r>
        <w:rPr>
          <w:rFonts w:ascii="Times New Roman" w:cs="Times New Roman" w:eastAsia="Times New Roman" w:hAnsi="Times New Roman"/>
          <w:sz w:val="14"/>
          <w:szCs w:val="14"/>
          <w:color w:val="auto"/>
        </w:rPr>
        <w:t>During the year ended December 31, 2024, there was $5.5 million of corporate expense allocations from PureTech Health plc prior to the Transaction and $14.2 million of expenses incurred pursuant to the TSA after the Asset Transfer Date.</w:t>
      </w:r>
    </w:p>
    <w:p>
      <w:pPr>
        <w:spacing w:after="0" w:line="125"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Prior to the Transaction, the Company historically operated as part of PureTech and not as a separate entity. Accordingly, for the period prior to the Transaction, certain corporate expenses represent shared costs of PureTech that were allocated to the Company based on a systematic and rational methodology and are reflected as expenses in these consolidated financial statements. These amounts include, but are not limited to, items such as payroll, general management and executive oversight, costs to support Seaport’s information technology infrastructure, facilities, compliance, human resources, legal, and finance functions, risk management, and stock-based compensation, all of which supported the operations of PureTech as a whole. Corporate expense and shared cost allocations are generally allocated to the Company based on proportional cost allocation methods using headcount or proportional time worked supporting the Seaport Business and other organizational activities, as applicable, which were considered to be reasonable reflections of the utilization of services provided or benefit received by the Company during the periods presented prior to the Transaction. Total corporate expense allocations were $1.7 million in research and development and $3.8 million in general and administrative</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386"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2"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expenses during the year ended December 31, 2024. Net transfers from PureTech Health plc within financing activities in the consolidated statements of cash flows and the consolidated statements of convertible preferred stock and stockholders’ deficit consist of the following (in thousands):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35"/>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3480" w:type="dxa"/>
            <w:vAlign w:val="bottom"/>
            <w:gridSpan w:val="4"/>
          </w:tcPr>
          <w:p>
            <w:pPr>
              <w:ind w:left="27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6"/>
        </w:trPr>
        <w:tc>
          <w:tcPr>
            <w:tcW w:w="20" w:type="dxa"/>
            <w:vAlign w:val="bottom"/>
          </w:tcPr>
          <w:p>
            <w:pPr>
              <w:spacing w:after="0"/>
              <w:rPr>
                <w:sz w:val="9"/>
                <w:szCs w:val="9"/>
                <w:color w:val="auto"/>
              </w:rPr>
            </w:pPr>
          </w:p>
        </w:tc>
        <w:tc>
          <w:tcPr>
            <w:tcW w:w="5080" w:type="dxa"/>
            <w:vAlign w:val="bottom"/>
            <w:tcBorders>
              <w:bottom w:val="single" w:sz="8" w:color="CCEEFF"/>
            </w:tcBorders>
          </w:tcPr>
          <w:p>
            <w:pPr>
              <w:spacing w:after="0"/>
              <w:rPr>
                <w:sz w:val="9"/>
                <w:szCs w:val="9"/>
                <w:color w:val="auto"/>
              </w:rPr>
            </w:pPr>
          </w:p>
        </w:tc>
        <w:tc>
          <w:tcPr>
            <w:tcW w:w="278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48"/>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9"/>
                <w:szCs w:val="9"/>
                <w:color w:val="auto"/>
              </w:rPr>
            </w:pPr>
          </w:p>
        </w:tc>
      </w:tr>
      <w:tr>
        <w:trPr>
          <w:trHeight w:val="169"/>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cost allocations from PureTech</w:t>
            </w:r>
          </w:p>
        </w:tc>
        <w:tc>
          <w:tcPr>
            <w:tcW w:w="2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5,459</w:t>
            </w:r>
          </w:p>
        </w:tc>
        <w:tc>
          <w:tcPr>
            <w:tcW w:w="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General finance activities</w:t>
            </w:r>
          </w:p>
        </w:tc>
        <w:tc>
          <w:tcPr>
            <w:tcW w:w="2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8,508</w:t>
            </w:r>
          </w:p>
        </w:tc>
        <w:tc>
          <w:tcPr>
            <w:tcW w:w="4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transfers from PureTech</w:t>
            </w:r>
          </w:p>
        </w:tc>
        <w:tc>
          <w:tcPr>
            <w:tcW w:w="2920" w:type="dxa"/>
            <w:vAlign w:val="bottom"/>
            <w:gridSpan w:val="2"/>
            <w:shd w:val="clear" w:color="auto" w:fill="CCEEFF"/>
          </w:tcPr>
          <w:p>
            <w:pPr>
              <w:ind w:left="27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13,967</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disclosed in Note 1—Nature of Business and Basis of Presentation, the Company entered into the Asset Transfer Agreement with PureTech</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issued 40,000,000 shares of its Series A-1 Preferred Stock to PureTech LYT. In connection with entering into the Asset Transfer Agreement,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Company entered into the TSA with PureTech, under which the Company made an up-front payment of $0.5 million to reimburse PureTech for work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performed by certain third-parties prior to the closing of the Asset Transfer Agreement to advance the Company’s programs and activities. During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year ended December 31, 2025, the Company incurred $0.4 million of expenses from PureTech under the TSA of which $0.3 million related to research</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development and $0.1 million related to general and administrative expenses. During the year ended December 31, 2024, the Company incurred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$14.2 million of expenses from PureTech under the TSA of which $12.4 million related to research and development and $1.8 million related to general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administrative expenses.</w:t>
      </w:r>
    </w:p>
    <w:p>
      <w:pPr>
        <w:spacing w:after="0" w:line="161"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In April 2024, as part of its Series A-2 Financing, the Company issued and sold 8,421,052 shares of its Series A-2 Preferred Stock to PureTech LYT, at a purchase price of $3.80 per share for gross aggregate proceeds of $32.0 million. Subsequent to the Series A-2 financing, PureTech LYT remained the controlling investor of the Company.</w:t>
      </w:r>
    </w:p>
    <w:p>
      <w:pPr>
        <w:spacing w:after="0" w:line="136"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In October 2024, as part of its Series B Financing, the Company issued and sold an aggregate 3,031,578 and 494,734 shares of its Series B Preferred Stock to PureTech LYT and to certain of the Company’s management and board of directors, respectively, at a purchase price of $4.75 per share, for gross aggregate proceeds of $14.4 million and $2.3 million, respectively. Subsequent to the Series B Financing, PureTech LYT was no longer a controlling investor of the Company.</w:t>
      </w:r>
    </w:p>
    <w:p>
      <w:pPr>
        <w:spacing w:after="0" w:line="141" w:lineRule="exact"/>
        <w:rPr>
          <w:sz w:val="20"/>
          <w:szCs w:val="20"/>
          <w:color w:val="auto"/>
        </w:rPr>
      </w:pPr>
    </w:p>
    <w:p>
      <w:pPr>
        <w:ind w:left="1360" w:right="439" w:firstLine="343"/>
        <w:spacing w:after="0" w:line="323" w:lineRule="auto"/>
        <w:rPr>
          <w:sz w:val="20"/>
          <w:szCs w:val="20"/>
          <w:color w:val="auto"/>
        </w:rPr>
      </w:pPr>
      <w:r>
        <w:rPr>
          <w:rFonts w:ascii="Times New Roman" w:cs="Times New Roman" w:eastAsia="Times New Roman" w:hAnsi="Times New Roman"/>
          <w:sz w:val="13"/>
          <w:szCs w:val="13"/>
          <w:color w:val="auto"/>
        </w:rPr>
        <w:t>During the year ended December 31, 2024 the Company paid $0.2 million, to Third Rock Ventures for professional fees. Such amounts were included in general and administrative expenses. During the year ended December 31, 2025, amounts paid to Third Rock Ventures were not material.</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The Company has evaluated subsequent events through February 27, 2026, the date these consolidated financial statements were available to be issued. In January and February 2026, the Company granted 3,023,510 stock options, under the 2024 Plan, at an exercise price of $3.28 to the Company’s board of directors and employees, which vest over a one year and four-year period, respectively. The aggregate grant date fair value of these stock options granted by the Company was determined to be approximately $7.6 million. There were no other subsequent events that require adjustments to or disclosure in the financial statements.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386"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182880</wp:posOffset>
            </wp:positionV>
            <wp:extent cx="544703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215900</wp:posOffset>
            </wp:positionV>
            <wp:extent cx="544703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            Shares</w:t>
      </w:r>
    </w:p>
    <w:p>
      <w:pPr>
        <w:spacing w:after="0" w:line="200" w:lineRule="exact"/>
        <w:rPr>
          <w:sz w:val="20"/>
          <w:szCs w:val="20"/>
          <w:color w:val="auto"/>
        </w:rPr>
      </w:pPr>
    </w:p>
    <w:p>
      <w:pPr>
        <w:spacing w:after="0" w:line="2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Seaport Therapeutics, Inc.</w:t>
      </w:r>
    </w:p>
    <w:p>
      <w:pPr>
        <w:spacing w:after="0" w:line="1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435610</wp:posOffset>
            </wp:positionV>
            <wp:extent cx="114173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41730" cy="698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1477010</wp:posOffset>
            </wp:positionV>
            <wp:extent cx="114173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41730" cy="698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582295</wp:posOffset>
            </wp:positionV>
            <wp:extent cx="1915795" cy="7207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157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Citigroup</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60" w:right="3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Through and including         , 2026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368935</wp:posOffset>
            </wp:positionV>
            <wp:extent cx="544703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402590</wp:posOffset>
            </wp:positionV>
            <wp:extent cx="544703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7"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Unless otherwise indicated, all references to “Seaport,” the “company,” “we,” “our,” “us”, or similar terms refer to Seaport Therapeutics, Inc. and its wholly owned, consolidated subsidiaries, or either or both of them as the context may require.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3"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all expenses to be paid by us, other than underwriting discounts and commissions, in connection with this offering. All amounts shown are estimates except for the Securities and Exchange Commission, or SEC, registration fee, the Financial Industry Regulatory Authority, Inc., or FINRA, filing fee and the Nasdaq Global Market, or Nasdaq, listing fee.</w:t>
      </w:r>
    </w:p>
    <w:p>
      <w:pPr>
        <w:sectPr>
          <w:pgSz w:w="11900" w:h="16838" w:orient="portrait"/>
          <w:cols w:equalWidth="0" w:num="1">
            <w:col w:w="10159"/>
          </w:cols>
          <w:pgMar w:left="300" w:top="386" w:right="1440" w:bottom="1440" w:gutter="0" w:footer="0" w:header="0"/>
        </w:sectPr>
      </w:pPr>
    </w:p>
    <w:p>
      <w:pPr>
        <w:spacing w:after="0" w:line="1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-92075</wp:posOffset>
            </wp:positionV>
            <wp:extent cx="5447030" cy="1066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447030" cy="106680"/>
                    </a:xfrm>
                    <a:prstGeom prst="rect">
                      <a:avLst/>
                    </a:prstGeom>
                    <a:noFill/>
                  </pic:spPr>
                </pic:pic>
              </a:graphicData>
            </a:graphic>
          </wp:anchor>
        </w:drawing>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5447030" cy="1066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4703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Printing and mailing expenses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5447030" cy="1066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44703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Custodian 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-93980</wp:posOffset>
            </wp:positionV>
            <wp:extent cx="5447030" cy="1066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47030" cy="10668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Miscellaneous expenses</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-92075</wp:posOffset>
            </wp:positionV>
            <wp:extent cx="5447030" cy="1066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47030" cy="10668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107315</wp:posOffset>
            </wp:positionV>
            <wp:extent cx="59436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76" w:lineRule="exact"/>
        <w:rPr>
          <w:sz w:val="20"/>
          <w:szCs w:val="20"/>
          <w:color w:val="auto"/>
        </w:rPr>
      </w:pPr>
    </w:p>
    <w:p>
      <w:pPr>
        <w:ind w:left="1700" w:hanging="345"/>
        <w:spacing w:after="0"/>
        <w:tabs>
          <w:tab w:leader="none" w:pos="17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provided by amendment.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65" w:hanging="165"/>
        <w:spacing w:after="0"/>
        <w:tabs>
          <w:tab w:leader="none" w:pos="165"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13,810.00</w:t>
      </w:r>
    </w:p>
    <w:p>
      <w:pPr>
        <w:spacing w:after="0" w:line="21" w:lineRule="exact"/>
        <w:rPr>
          <w:rFonts w:ascii="Times New Roman" w:cs="Times New Roman" w:eastAsia="Times New Roman" w:hAnsi="Times New Roman"/>
          <w:sz w:val="14"/>
          <w:szCs w:val="14"/>
          <w:color w:val="auto"/>
        </w:rPr>
      </w:pPr>
    </w:p>
    <w:p>
      <w:pPr>
        <w:ind w:left="1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15,500.00</w:t>
      </w:r>
    </w:p>
    <w:p>
      <w:pPr>
        <w:spacing w:after="0" w:line="7" w:lineRule="exact"/>
        <w:rPr>
          <w:rFonts w:ascii="Times New Roman" w:cs="Times New Roman" w:eastAsia="Times New Roman" w:hAnsi="Times New Roman"/>
          <w:sz w:val="14"/>
          <w:szCs w:val="14"/>
          <w:color w:val="auto"/>
        </w:rPr>
      </w:pPr>
    </w:p>
    <w:p>
      <w:pPr>
        <w:ind w:left="6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p>
    <w:p>
      <w:pPr>
        <w:spacing w:after="0" w:line="30" w:lineRule="exact"/>
        <w:rPr>
          <w:rFonts w:ascii="Times New Roman" w:cs="Times New Roman" w:eastAsia="Times New Roman" w:hAnsi="Times New Roman"/>
          <w:sz w:val="14"/>
          <w:szCs w:val="14"/>
          <w:color w:val="auto"/>
        </w:rPr>
      </w:pPr>
    </w:p>
    <w:p>
      <w:pPr>
        <w:ind w:left="6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p>
    <w:p>
      <w:pPr>
        <w:spacing w:after="0" w:line="30" w:lineRule="exact"/>
        <w:rPr>
          <w:rFonts w:ascii="Times New Roman" w:cs="Times New Roman" w:eastAsia="Times New Roman" w:hAnsi="Times New Roman"/>
          <w:sz w:val="14"/>
          <w:szCs w:val="14"/>
          <w:color w:val="auto"/>
        </w:rPr>
      </w:pPr>
    </w:p>
    <w:p>
      <w:pPr>
        <w:ind w:left="6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p>
    <w:p>
      <w:pPr>
        <w:spacing w:after="0" w:line="30" w:lineRule="exact"/>
        <w:rPr>
          <w:rFonts w:ascii="Times New Roman" w:cs="Times New Roman" w:eastAsia="Times New Roman" w:hAnsi="Times New Roman"/>
          <w:sz w:val="14"/>
          <w:szCs w:val="14"/>
          <w:color w:val="auto"/>
        </w:rPr>
      </w:pPr>
    </w:p>
    <w:p>
      <w:pPr>
        <w:ind w:left="6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p>
    <w:p>
      <w:pPr>
        <w:spacing w:after="0" w:line="30" w:lineRule="exact"/>
        <w:rPr>
          <w:rFonts w:ascii="Times New Roman" w:cs="Times New Roman" w:eastAsia="Times New Roman" w:hAnsi="Times New Roman"/>
          <w:sz w:val="14"/>
          <w:szCs w:val="14"/>
          <w:color w:val="auto"/>
        </w:rPr>
      </w:pPr>
    </w:p>
    <w:p>
      <w:pPr>
        <w:ind w:left="6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p>
    <w:p>
      <w:pPr>
        <w:spacing w:after="0" w:line="30" w:lineRule="exact"/>
        <w:rPr>
          <w:rFonts w:ascii="Times New Roman" w:cs="Times New Roman" w:eastAsia="Times New Roman" w:hAnsi="Times New Roman"/>
          <w:sz w:val="14"/>
          <w:szCs w:val="14"/>
          <w:color w:val="auto"/>
        </w:rPr>
      </w:pPr>
    </w:p>
    <w:p>
      <w:pPr>
        <w:ind w:left="66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46037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60375" cy="6985"/>
                    </a:xfrm>
                    <a:prstGeom prst="rect">
                      <a:avLst/>
                    </a:prstGeom>
                    <a:noFill/>
                  </pic:spPr>
                </pic:pic>
              </a:graphicData>
            </a:graphic>
          </wp:anchor>
        </w:drawing>
      </w:r>
    </w:p>
    <w:p>
      <w:pPr>
        <w:spacing w:after="0" w:line="17" w:lineRule="exact"/>
        <w:rPr>
          <w:sz w:val="20"/>
          <w:szCs w:val="20"/>
          <w:color w:val="auto"/>
        </w:rPr>
      </w:pPr>
    </w:p>
    <w:p>
      <w:pPr>
        <w:ind w:left="665" w:hanging="665"/>
        <w:spacing w:after="0"/>
        <w:tabs>
          <w:tab w:leader="none" w:pos="665"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46037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6037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wp:posOffset>
            </wp:positionV>
            <wp:extent cx="46037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60375" cy="6985"/>
                    </a:xfrm>
                    <a:prstGeom prst="rect">
                      <a:avLst/>
                    </a:prstGeom>
                    <a:noFill/>
                  </pic:spPr>
                </pic:pic>
              </a:graphicData>
            </a:graphic>
          </wp:anchor>
        </w:drawing>
      </w:r>
    </w:p>
    <w:p>
      <w:pPr>
        <w:spacing w:after="0" w:line="891" w:lineRule="exact"/>
        <w:rPr>
          <w:sz w:val="20"/>
          <w:szCs w:val="20"/>
          <w:color w:val="auto"/>
        </w:rPr>
      </w:pPr>
    </w:p>
    <w:p>
      <w:pPr>
        <w:sectPr>
          <w:pgSz w:w="11900" w:h="16838" w:orient="portrait"/>
          <w:cols w:equalWidth="0" w:num="2">
            <w:col w:w="8435" w:space="720"/>
            <w:col w:w="1004"/>
          </w:cols>
          <w:pgMar w:left="300" w:top="386" w:right="1440" w:bottom="1440" w:gutter="0" w:footer="0" w:header="0"/>
          <w:type w:val="continuous"/>
        </w:sect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4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We will adopt provisions in our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will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p>
    <w:p>
      <w:pPr>
        <w:spacing w:after="0" w:line="70" w:lineRule="exact"/>
        <w:rPr>
          <w:sz w:val="20"/>
          <w:szCs w:val="20"/>
          <w:color w:val="auto"/>
        </w:rPr>
      </w:pPr>
    </w:p>
    <w:p>
      <w:pPr>
        <w:ind w:left="2120" w:hanging="345"/>
        <w:spacing w:after="0"/>
        <w:tabs>
          <w:tab w:leader="none" w:pos="21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us or our stockholders;</w:t>
      </w:r>
    </w:p>
    <w:p>
      <w:pPr>
        <w:spacing w:after="0" w:line="101" w:lineRule="exact"/>
        <w:rPr>
          <w:rFonts w:ascii="Times New Roman" w:cs="Times New Roman" w:eastAsia="Times New Roman" w:hAnsi="Times New Roman"/>
          <w:sz w:val="14"/>
          <w:szCs w:val="14"/>
          <w:color w:val="auto"/>
        </w:rPr>
      </w:pPr>
    </w:p>
    <w:p>
      <w:pPr>
        <w:ind w:left="5540" w:right="2039" w:hanging="3765"/>
        <w:spacing w:after="0" w:line="455" w:lineRule="auto"/>
        <w:tabs>
          <w:tab w:leader="none" w:pos="2113"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 II-1</w:t>
      </w:r>
    </w:p>
    <w:p>
      <w:pPr>
        <w:sectPr>
          <w:pgSz w:w="11900" w:h="16838" w:orient="portrait"/>
          <w:cols w:equalWidth="0" w:num="1">
            <w:col w:w="10159"/>
          </w:cols>
          <w:pgMar w:left="300" w:top="386" w:right="1440" w:bottom="1440" w:gutter="0" w:footer="0" w:header="0"/>
          <w:type w:val="continuous"/>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any unlawful payments related to dividends or unlawful stock purchases, redemptions or other distributions;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they derived an improper personal benefit;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w:t>
      </w:r>
    </w:p>
    <w:p>
      <w:pPr>
        <w:spacing w:after="0" w:line="175"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color w:val="auto"/>
        </w:rPr>
        <w:t>These limitations of liability do not alter director and officer liability under the federal securities laws and do not affect the availability of equitable remedies such as an injunction or rescission.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our amended and restated bylaws will provide that:</w:t>
      </w:r>
    </w:p>
    <w:p>
      <w:pPr>
        <w:spacing w:after="0" w:line="102" w:lineRule="exact"/>
        <w:rPr>
          <w:sz w:val="20"/>
          <w:szCs w:val="20"/>
          <w:color w:val="auto"/>
        </w:rPr>
      </w:pPr>
    </w:p>
    <w:p>
      <w:pPr>
        <w:ind w:left="2120" w:right="399" w:hanging="345"/>
        <w:spacing w:after="0" w:line="283" w:lineRule="auto"/>
        <w:tabs>
          <w:tab w:leader="none" w:pos="21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and, in the discretion of our board of directors, certain employees to the fullest extent permitted by the DGCL, as it now exists or may in the future be amended; and</w:t>
      </w:r>
    </w:p>
    <w:p>
      <w:pPr>
        <w:spacing w:after="0" w:line="51" w:lineRule="exact"/>
        <w:rPr>
          <w:rFonts w:ascii="Times New Roman" w:cs="Times New Roman" w:eastAsia="Times New Roman" w:hAnsi="Times New Roman"/>
          <w:sz w:val="14"/>
          <w:szCs w:val="14"/>
          <w:color w:val="auto"/>
        </w:rPr>
      </w:pPr>
    </w:p>
    <w:p>
      <w:pPr>
        <w:jc w:val="both"/>
        <w:ind w:left="2120" w:right="559" w:hanging="345"/>
        <w:spacing w:after="0" w:line="267" w:lineRule="auto"/>
        <w:tabs>
          <w:tab w:leader="none" w:pos="21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3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46"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Securities Act.</w:t>
      </w:r>
    </w:p>
    <w:p>
      <w:pPr>
        <w:spacing w:after="0" w:line="12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Set forth below is information regarding securities we have issued within the past three years that were not registered under the Securities Act.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 Preferred Stock Issuances</w:t>
      </w:r>
    </w:p>
    <w:p>
      <w:pPr>
        <w:spacing w:after="0" w:line="93"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In April 2024, we issued an aggregate of 40,000,000 shares of Series A-1 convertible preferred stock in connection with entry into an asset transfer agreement, dated as of April 8, 2024, or the Asset Transfer Agreement, with PureTech LYT.</w:t>
      </w:r>
    </w:p>
    <w:p>
      <w:pPr>
        <w:spacing w:after="0" w:line="12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We also issued and sold to accredited investors an aggregate of 26,342,102 shares of Series A-2 convertible preferred stock at a price per share of $3.80, for an aggregate purchase price of $100.1 million.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6"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In October and November 2024, we issued and sold to accredited investors an aggregate of 47,578,934 shares of Series B convertible preferred stock at a price per share of $4.75, for an aggregate purchase price of approximately $226.0 million.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 Common Stock Issuances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April 2024, we issued an aggregate of 1,000 shares of common stock to PureTech LYT in connection with our formation.</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April 2024, we issued an aggregate of 949,000 shares of common stock to PureTech LYT in connection with the Asset Transfer Agreement.</w:t>
      </w:r>
    </w:p>
    <w:p>
      <w:pPr>
        <w:spacing w:after="0" w:line="175"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Since April 2024, we have sold or issued by exchange to our founders an aggregate of 7,200,000 shares of restricted common stock under our 2024 Plan or pursuant to agreement, at a purchase price of $0.0 million.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 Grants and exercises of stock options</w:t>
      </w:r>
    </w:p>
    <w:p>
      <w:pPr>
        <w:spacing w:after="0" w:line="93"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Since April 2024, we have granted certain employees, consultants, and directors options to purchase an aggregate of 31,144,262 shares of our common stock under our 2024 Plan and 2026 Plan, at exercise prices ranging from $0.97 to $3.28 per share.</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Since April 2024, 1,200 stock options have been exercised under our 2024 Plan and 2026 Plan at a weighted average purchase price of $0.97 per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w:t>
      </w:r>
    </w:p>
    <w:p>
      <w:pPr>
        <w:spacing w:after="0" w:line="161"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 Exhibits.</w:t>
      </w:r>
    </w:p>
    <w:p>
      <w:pPr>
        <w:spacing w:after="0" w:line="198" w:lineRule="exact"/>
        <w:rPr>
          <w:sz w:val="20"/>
          <w:szCs w:val="20"/>
          <w:color w:val="auto"/>
        </w:rPr>
      </w:pPr>
    </w:p>
    <w:tbl>
      <w:tblPr>
        <w:tblLayout w:type="fixed"/>
        <w:tblInd w:w="1360" w:type="dxa"/>
        <w:tblCellMar>
          <w:top w:w="0" w:type="dxa"/>
          <w:left w:w="0" w:type="dxa"/>
          <w:bottom w:w="0" w:type="dxa"/>
          <w:right w:w="0" w:type="dxa"/>
        </w:tblCellMar>
      </w:tblPr>
      <w:tr>
        <w:trPr>
          <w:trHeight w:val="158"/>
        </w:trPr>
        <w:tc>
          <w:tcPr>
            <w:tcW w:w="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780" w:type="dxa"/>
            <w:vAlign w:val="bottom"/>
          </w:tcPr>
          <w:p>
            <w:pPr>
              <w:spacing w:after="0"/>
              <w:rPr>
                <w:sz w:val="13"/>
                <w:szCs w:val="13"/>
                <w:color w:val="auto"/>
              </w:rPr>
            </w:pPr>
          </w:p>
        </w:tc>
      </w:tr>
      <w:tr>
        <w:trPr>
          <w:trHeight w:val="18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596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480" w:type="dxa"/>
            <w:vAlign w:val="bottom"/>
          </w:tcPr>
          <w:p>
            <w:pPr>
              <w:spacing w:after="0"/>
              <w:rPr>
                <w:sz w:val="17"/>
                <w:szCs w:val="17"/>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4"/>
                <w:szCs w:val="14"/>
                <w:color w:val="0000EE"/>
              </w:rPr>
              <w:t>Amended and Restated Certificate of Incorporation, as amended, as currently in effect.</w:t>
            </w: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480" w:type="dxa"/>
            <w:vAlign w:val="bottom"/>
          </w:tcPr>
          <w:p>
            <w:pPr>
              <w:spacing w:after="0"/>
              <w:rPr>
                <w:sz w:val="22"/>
                <w:szCs w:val="22"/>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Certificate of Amendment to Amended and Restated Certificate of Incorporation, as amended.</w:t>
            </w: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480" w:type="dxa"/>
            <w:vAlign w:val="bottom"/>
          </w:tcPr>
          <w:p>
            <w:pPr>
              <w:spacing w:after="0"/>
              <w:rPr>
                <w:sz w:val="21"/>
                <w:szCs w:val="21"/>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Form of Amended and Restated Certificate of Incorporation, to be in effect immediately prior to the completion of this offering.</w:t>
            </w:r>
          </w:p>
        </w:tc>
      </w:tr>
      <w:tr>
        <w:trPr>
          <w:trHeight w:val="22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480" w:type="dxa"/>
            <w:vAlign w:val="bottom"/>
          </w:tcPr>
          <w:p>
            <w:pPr>
              <w:spacing w:after="0"/>
              <w:rPr>
                <w:sz w:val="19"/>
                <w:szCs w:val="19"/>
                <w:color w:val="auto"/>
              </w:rPr>
            </w:pPr>
          </w:p>
        </w:tc>
        <w:tc>
          <w:tcPr>
            <w:tcW w:w="1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8"/>
              </w:rPr>
              <w:t>Bylaws, as currently in effect.</w:t>
            </w:r>
          </w:p>
        </w:tc>
        <w:tc>
          <w:tcPr>
            <w:tcW w:w="5960" w:type="dxa"/>
            <w:vAlign w:val="bottom"/>
            <w:gridSpan w:val="2"/>
          </w:tcPr>
          <w:p>
            <w:pPr>
              <w:spacing w:after="0"/>
              <w:rPr>
                <w:sz w:val="19"/>
                <w:szCs w:val="19"/>
                <w:color w:val="auto"/>
              </w:rPr>
            </w:pPr>
          </w:p>
        </w:tc>
      </w:tr>
      <w:tr>
        <w:trPr>
          <w:trHeight w:val="249"/>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  3.5*</w:t>
            </w:r>
          </w:p>
        </w:tc>
        <w:tc>
          <w:tcPr>
            <w:tcW w:w="480" w:type="dxa"/>
            <w:vAlign w:val="bottom"/>
          </w:tcPr>
          <w:p>
            <w:pPr>
              <w:spacing w:after="0"/>
              <w:rPr>
                <w:sz w:val="21"/>
                <w:szCs w:val="21"/>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Form of Amended and Restated Bylaws, to be in effect as of the effectiveness of the registration statement of which this prospectus</w:t>
            </w:r>
          </w:p>
        </w:tc>
      </w:tr>
      <w:tr>
        <w:trPr>
          <w:trHeight w:val="183"/>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forms a part.</w:t>
            </w:r>
          </w:p>
        </w:tc>
      </w:tr>
    </w:tbl>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6"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tbl>
      <w:tblPr>
        <w:tblLayout w:type="fixed"/>
        <w:tblInd w:w="1360" w:type="dxa"/>
        <w:tblCellMar>
          <w:top w:w="0" w:type="dxa"/>
          <w:left w:w="0" w:type="dxa"/>
          <w:bottom w:w="0" w:type="dxa"/>
          <w:right w:w="0" w:type="dxa"/>
        </w:tblCellMar>
      </w:tblPr>
      <w:tr>
        <w:trPr>
          <w:trHeight w:val="158"/>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gridSpan w:val="12"/>
          </w:tcPr>
          <w:p>
            <w:pPr>
              <w:ind w:left="7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Specimen Common Stock Certificate.</w:t>
            </w:r>
          </w:p>
        </w:tc>
      </w:tr>
      <w:tr>
        <w:trPr>
          <w:trHeight w:val="20"/>
        </w:trPr>
        <w:tc>
          <w:tcPr>
            <w:tcW w:w="94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7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9"/>
              </w:rPr>
              <w:t>Amended and Restated Investors’ Rights Agreement, by and between the Registrant and certain of its stockholders, dated as of</w:t>
            </w:r>
          </w:p>
        </w:tc>
        <w:tc>
          <w:tcPr>
            <w:tcW w:w="520" w:type="dxa"/>
            <w:vAlign w:val="bottom"/>
            <w:gridSpan w:val="4"/>
          </w:tcPr>
          <w:p>
            <w:pPr>
              <w:spacing w:after="0"/>
              <w:rPr>
                <w:sz w:val="20"/>
                <w:szCs w:val="20"/>
                <w:color w:val="auto"/>
              </w:rPr>
            </w:pPr>
          </w:p>
        </w:tc>
      </w:tr>
      <w:tr>
        <w:trPr>
          <w:trHeight w:val="148"/>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8"/>
              </w:rPr>
              <w:t>October 18, 2024.</w:t>
            </w:r>
          </w:p>
        </w:tc>
        <w:tc>
          <w:tcPr>
            <w:tcW w:w="6620" w:type="dxa"/>
            <w:vAlign w:val="bottom"/>
            <w:gridSpan w:val="19"/>
          </w:tcPr>
          <w:p>
            <w:pPr>
              <w:spacing w:after="0"/>
              <w:rPr>
                <w:sz w:val="12"/>
                <w:szCs w:val="12"/>
                <w:color w:val="auto"/>
              </w:rPr>
            </w:pPr>
          </w:p>
        </w:tc>
      </w:tr>
      <w:tr>
        <w:trPr>
          <w:trHeight w:val="264"/>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Opinion of Goodwin Procter LLP.</w:t>
            </w:r>
          </w:p>
        </w:tc>
      </w:tr>
      <w:tr>
        <w:trPr>
          <w:trHeight w:val="22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80" w:type="dxa"/>
            <w:vAlign w:val="bottom"/>
          </w:tcPr>
          <w:p>
            <w:pPr>
              <w:spacing w:after="0"/>
              <w:rPr>
                <w:sz w:val="19"/>
                <w:szCs w:val="19"/>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2024 Equity Incentive Plan, as amended, and form of award agreements thereunder.</w:t>
            </w: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480" w:type="dxa"/>
            <w:vAlign w:val="bottom"/>
          </w:tcPr>
          <w:p>
            <w:pPr>
              <w:spacing w:after="0"/>
              <w:rPr>
                <w:sz w:val="22"/>
                <w:szCs w:val="22"/>
                <w:color w:val="auto"/>
              </w:rPr>
            </w:pPr>
          </w:p>
        </w:tc>
        <w:tc>
          <w:tcPr>
            <w:tcW w:w="47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auto"/>
              </w:rPr>
              <w:t>2026 Equity Incentive Plan and form of award agreements thereunder.</w:t>
            </w:r>
          </w:p>
        </w:tc>
        <w:tc>
          <w:tcPr>
            <w:tcW w:w="2940" w:type="dxa"/>
            <w:vAlign w:val="bottom"/>
            <w:gridSpan w:val="10"/>
          </w:tcPr>
          <w:p>
            <w:pPr>
              <w:spacing w:after="0"/>
              <w:rPr>
                <w:sz w:val="22"/>
                <w:szCs w:val="22"/>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480" w:type="dxa"/>
            <w:vAlign w:val="bottom"/>
          </w:tcPr>
          <w:p>
            <w:pPr>
              <w:spacing w:after="0"/>
              <w:rPr>
                <w:sz w:val="21"/>
                <w:szCs w:val="21"/>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2026 Employee Stock Purchase Plan.</w:t>
            </w:r>
          </w:p>
        </w:tc>
      </w:tr>
      <w:tr>
        <w:trPr>
          <w:trHeight w:val="22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9"/>
                <w:szCs w:val="19"/>
                <w:color w:val="auto"/>
              </w:rPr>
            </w:pPr>
          </w:p>
        </w:tc>
        <w:tc>
          <w:tcPr>
            <w:tcW w:w="55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9"/>
              </w:rPr>
              <w:t>Form of Officer Indemnification Agreement, by and between the Registrant and executive officers.</w:t>
            </w:r>
          </w:p>
        </w:tc>
        <w:tc>
          <w:tcPr>
            <w:tcW w:w="2080" w:type="dxa"/>
            <w:vAlign w:val="bottom"/>
            <w:gridSpan w:val="5"/>
          </w:tcPr>
          <w:p>
            <w:pPr>
              <w:spacing w:after="0"/>
              <w:rPr>
                <w:sz w:val="19"/>
                <w:szCs w:val="19"/>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480" w:type="dxa"/>
            <w:vAlign w:val="bottom"/>
          </w:tcPr>
          <w:p>
            <w:pPr>
              <w:spacing w:after="0"/>
              <w:rPr>
                <w:sz w:val="20"/>
                <w:szCs w:val="20"/>
                <w:color w:val="auto"/>
              </w:rPr>
            </w:pPr>
          </w:p>
        </w:tc>
        <w:tc>
          <w:tcPr>
            <w:tcW w:w="52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w w:val="99"/>
              </w:rPr>
              <w:t>Form of Director Indemnification Agreement, by and between the Registrant and its directors.</w:t>
            </w:r>
          </w:p>
        </w:tc>
        <w:tc>
          <w:tcPr>
            <w:tcW w:w="2360" w:type="dxa"/>
            <w:vAlign w:val="bottom"/>
            <w:gridSpan w:val="6"/>
          </w:tcPr>
          <w:p>
            <w:pPr>
              <w:spacing w:after="0"/>
              <w:rPr>
                <w:sz w:val="20"/>
                <w:szCs w:val="20"/>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480" w:type="dxa"/>
            <w:vAlign w:val="bottom"/>
          </w:tcPr>
          <w:p>
            <w:pPr>
              <w:spacing w:after="0"/>
              <w:rPr>
                <w:sz w:val="20"/>
                <w:szCs w:val="20"/>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Senior Executive Cash Incentive Bonus Plan.</w:t>
            </w: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80" w:type="dxa"/>
            <w:vAlign w:val="bottom"/>
          </w:tcPr>
          <w:p>
            <w:pPr>
              <w:spacing w:after="0"/>
              <w:rPr>
                <w:sz w:val="20"/>
                <w:szCs w:val="20"/>
                <w:color w:val="auto"/>
              </w:rPr>
            </w:pPr>
          </w:p>
        </w:tc>
        <w:tc>
          <w:tcPr>
            <w:tcW w:w="15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Executive Severance Plan.</w:t>
            </w:r>
          </w:p>
        </w:tc>
        <w:tc>
          <w:tcPr>
            <w:tcW w:w="1040" w:type="dxa"/>
            <w:vAlign w:val="bottom"/>
            <w:tcBorders>
              <w:top w:val="single" w:sz="8" w:color="0000EE"/>
            </w:tcBorders>
            <w:gridSpan w:val="3"/>
          </w:tcPr>
          <w:p>
            <w:pPr>
              <w:spacing w:after="0"/>
              <w:rPr>
                <w:sz w:val="20"/>
                <w:szCs w:val="20"/>
                <w:color w:val="auto"/>
              </w:rPr>
            </w:pPr>
          </w:p>
        </w:tc>
        <w:tc>
          <w:tcPr>
            <w:tcW w:w="5100" w:type="dxa"/>
            <w:vAlign w:val="bottom"/>
            <w:gridSpan w:val="14"/>
          </w:tcPr>
          <w:p>
            <w:pPr>
              <w:spacing w:after="0"/>
              <w:rPr>
                <w:sz w:val="20"/>
                <w:szCs w:val="20"/>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480" w:type="dxa"/>
            <w:vAlign w:val="bottom"/>
          </w:tcPr>
          <w:p>
            <w:pPr>
              <w:spacing w:after="0"/>
              <w:rPr>
                <w:sz w:val="20"/>
                <w:szCs w:val="20"/>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Non-Employee Director Compensation Policy.</w:t>
            </w: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480" w:type="dxa"/>
            <w:vAlign w:val="bottom"/>
          </w:tcPr>
          <w:p>
            <w:pPr>
              <w:spacing w:after="0"/>
              <w:rPr>
                <w:sz w:val="20"/>
                <w:szCs w:val="20"/>
                <w:color w:val="auto"/>
              </w:rPr>
            </w:pPr>
          </w:p>
        </w:tc>
        <w:tc>
          <w:tcPr>
            <w:tcW w:w="26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Compensation Recovery Policy.</w:t>
            </w:r>
          </w:p>
        </w:tc>
        <w:tc>
          <w:tcPr>
            <w:tcW w:w="5020" w:type="dxa"/>
            <w:vAlign w:val="bottom"/>
            <w:gridSpan w:val="13"/>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480" w:type="dxa"/>
            <w:vAlign w:val="bottom"/>
          </w:tcPr>
          <w:p>
            <w:pPr>
              <w:spacing w:after="0"/>
              <w:rPr>
                <w:sz w:val="20"/>
                <w:szCs w:val="20"/>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Offer Letter, by and between the Registrant and Daphne Zohar, dated as of April 8, 2024.</w:t>
            </w: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480" w:type="dxa"/>
            <w:vAlign w:val="bottom"/>
          </w:tcPr>
          <w:p>
            <w:pPr>
              <w:spacing w:after="0"/>
              <w:rPr>
                <w:sz w:val="20"/>
                <w:szCs w:val="20"/>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Offer Letter, by and between the Registrant and Michael Chen, dated as of April 29, 2024.</w:t>
            </w: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480" w:type="dxa"/>
            <w:vAlign w:val="bottom"/>
          </w:tcPr>
          <w:p>
            <w:pPr>
              <w:spacing w:after="0"/>
              <w:rPr>
                <w:sz w:val="20"/>
                <w:szCs w:val="20"/>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Offer Letter, by and between the Registrant and Anthony Loebel, dated as of June 11, 2024.</w:t>
            </w:r>
          </w:p>
        </w:tc>
      </w:tr>
      <w:tr>
        <w:trPr>
          <w:trHeight w:val="20"/>
        </w:trPr>
        <w:tc>
          <w:tcPr>
            <w:tcW w:w="94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gridSpan w:val="4"/>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10.14†+</w:t>
            </w:r>
          </w:p>
        </w:tc>
        <w:tc>
          <w:tcPr>
            <w:tcW w:w="72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w w:val="99"/>
              </w:rPr>
              <w:t>Asset Transfer Agreement, by and between the Registrant, PureTech Health LLC and PureTech LYT, Inc., dated April 8, 2024, as</w:t>
            </w:r>
          </w:p>
        </w:tc>
        <w:tc>
          <w:tcPr>
            <w:tcW w:w="380" w:type="dxa"/>
            <w:vAlign w:val="bottom"/>
            <w:gridSpan w:val="3"/>
          </w:tcPr>
          <w:p>
            <w:pPr>
              <w:spacing w:after="0"/>
              <w:rPr>
                <w:sz w:val="20"/>
                <w:szCs w:val="20"/>
                <w:color w:val="auto"/>
              </w:rPr>
            </w:pPr>
          </w:p>
        </w:tc>
      </w:tr>
      <w:tr>
        <w:trPr>
          <w:trHeight w:val="148"/>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80" w:type="dxa"/>
            <w:vAlign w:val="bottom"/>
            <w:tcBorders>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9"/>
              </w:rPr>
              <w:t>amended by that certain amendment, dated December 16, 2025.</w:t>
            </w:r>
          </w:p>
        </w:tc>
        <w:tc>
          <w:tcPr>
            <w:tcW w:w="4060" w:type="dxa"/>
            <w:vAlign w:val="bottom"/>
            <w:gridSpan w:val="11"/>
          </w:tcPr>
          <w:p>
            <w:pPr>
              <w:spacing w:after="0"/>
              <w:rPr>
                <w:sz w:val="12"/>
                <w:szCs w:val="12"/>
                <w:color w:val="auto"/>
              </w:rPr>
            </w:pPr>
          </w:p>
        </w:tc>
      </w:tr>
      <w:tr>
        <w:trPr>
          <w:trHeight w:val="232"/>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10.15†+</w:t>
            </w: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Amended and Restated License Agreement between Monash University, ABN 12 377 614 012, a body politic and corporate constituted</w:t>
            </w:r>
          </w:p>
        </w:tc>
      </w:tr>
      <w:tr>
        <w:trPr>
          <w:trHeight w:val="148"/>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0" w:type="dxa"/>
            <w:vAlign w:val="bottom"/>
            <w:tcBorders>
              <w:top w:val="single" w:sz="8" w:color="0000EE"/>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EE"/>
              </w:rPr>
              <w:t>in accordance with the Monash University Act 2009 of Wellington Road, Clayton, Victoria, Australia 3800 and the Registrant, dated</w:t>
            </w:r>
          </w:p>
        </w:tc>
        <w:tc>
          <w:tcPr>
            <w:tcW w:w="40" w:type="dxa"/>
            <w:vAlign w:val="bottom"/>
          </w:tcPr>
          <w:p>
            <w:pPr>
              <w:spacing w:after="0"/>
              <w:rPr>
                <w:sz w:val="12"/>
                <w:szCs w:val="12"/>
                <w:color w:val="auto"/>
              </w:rPr>
            </w:pPr>
          </w:p>
        </w:tc>
      </w:tr>
      <w:tr>
        <w:trPr>
          <w:trHeight w:val="148"/>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20" w:type="dxa"/>
            <w:vAlign w:val="bottom"/>
            <w:tcBorders>
              <w:top w:val="single" w:sz="8" w:color="0000EE"/>
            </w:tcBorders>
            <w:gridSpan w:val="19"/>
          </w:tcPr>
          <w:p>
            <w:pPr>
              <w:spacing w:after="0" w:line="148" w:lineRule="exact"/>
              <w:rPr>
                <w:sz w:val="20"/>
                <w:szCs w:val="20"/>
                <w:color w:val="auto"/>
              </w:rPr>
            </w:pPr>
            <w:r>
              <w:rPr>
                <w:rFonts w:ascii="Times New Roman" w:cs="Times New Roman" w:eastAsia="Times New Roman" w:hAnsi="Times New Roman"/>
                <w:sz w:val="14"/>
                <w:szCs w:val="14"/>
                <w:color w:val="0000EE"/>
              </w:rPr>
              <w:t>March 12, 2025.</w:t>
            </w:r>
          </w:p>
        </w:tc>
        <w:tc>
          <w:tcPr>
            <w:tcW w:w="220" w:type="dxa"/>
            <w:vAlign w:val="bottom"/>
            <w:gridSpan w:val="2"/>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480" w:type="dxa"/>
            <w:vAlign w:val="bottom"/>
          </w:tcPr>
          <w:p>
            <w:pPr>
              <w:spacing w:after="0"/>
              <w:rPr>
                <w:sz w:val="20"/>
                <w:szCs w:val="20"/>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Subsidiaries of Registrant.</w:t>
            </w: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r>
      <w:tr>
        <w:trPr>
          <w:trHeight w:val="23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80" w:type="dxa"/>
            <w:vAlign w:val="bottom"/>
          </w:tcPr>
          <w:p>
            <w:pPr>
              <w:spacing w:after="0"/>
              <w:rPr>
                <w:sz w:val="20"/>
                <w:szCs w:val="20"/>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w:t>
            </w: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80" w:type="dxa"/>
            <w:vAlign w:val="bottom"/>
          </w:tcPr>
          <w:p>
            <w:pPr>
              <w:spacing w:after="0"/>
              <w:rPr>
                <w:sz w:val="22"/>
                <w:szCs w:val="22"/>
                <w:color w:val="auto"/>
              </w:rPr>
            </w:pPr>
          </w:p>
        </w:tc>
        <w:tc>
          <w:tcPr>
            <w:tcW w:w="51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auto"/>
              </w:rPr>
              <w:t>Consent of Goodwin Procter LLP (included in Exhibit 5.1).</w:t>
            </w:r>
          </w:p>
        </w:tc>
        <w:tc>
          <w:tcPr>
            <w:tcW w:w="2500" w:type="dxa"/>
            <w:vAlign w:val="bottom"/>
            <w:gridSpan w:val="7"/>
          </w:tcPr>
          <w:p>
            <w:pPr>
              <w:spacing w:after="0"/>
              <w:rPr>
                <w:sz w:val="22"/>
                <w:szCs w:val="22"/>
                <w:color w:val="auto"/>
              </w:rPr>
            </w:pPr>
          </w:p>
        </w:tc>
      </w:tr>
      <w:tr>
        <w:trPr>
          <w:trHeight w:val="22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80" w:type="dxa"/>
            <w:vAlign w:val="bottom"/>
          </w:tcPr>
          <w:p>
            <w:pPr>
              <w:spacing w:after="0"/>
              <w:rPr>
                <w:sz w:val="19"/>
                <w:szCs w:val="19"/>
                <w:color w:val="auto"/>
              </w:rPr>
            </w:pPr>
          </w:p>
        </w:tc>
        <w:tc>
          <w:tcPr>
            <w:tcW w:w="2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9"/>
              </w:rPr>
              <w:t>Power of Attorney (included on signature page).</w:t>
            </w:r>
          </w:p>
        </w:tc>
        <w:tc>
          <w:tcPr>
            <w:tcW w:w="4920" w:type="dxa"/>
            <w:vAlign w:val="bottom"/>
            <w:gridSpan w:val="12"/>
          </w:tcPr>
          <w:p>
            <w:pPr>
              <w:spacing w:after="0"/>
              <w:rPr>
                <w:sz w:val="19"/>
                <w:szCs w:val="19"/>
                <w:color w:val="auto"/>
              </w:rPr>
            </w:pPr>
          </w:p>
        </w:tc>
      </w:tr>
    </w:tbl>
    <w:p>
      <w:pPr>
        <w:spacing w:after="0" w:line="90" w:lineRule="exact"/>
        <w:rPr>
          <w:sz w:val="20"/>
          <w:szCs w:val="20"/>
          <w:color w:val="auto"/>
        </w:rPr>
      </w:pPr>
    </w:p>
    <w:p>
      <w:pPr>
        <w:ind w:left="2300" w:hanging="945"/>
        <w:spacing w:after="0"/>
        <w:tabs>
          <w:tab w:leader="none" w:pos="23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80645</wp:posOffset>
            </wp:positionV>
            <wp:extent cx="59436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34" w:lineRule="exact"/>
        <w:rPr>
          <w:sz w:val="20"/>
          <w:szCs w:val="20"/>
          <w:color w:val="auto"/>
        </w:rPr>
      </w:pPr>
    </w:p>
    <w:p>
      <w:pPr>
        <w:ind w:left="1700" w:hanging="345"/>
        <w:spacing w:after="0"/>
        <w:tabs>
          <w:tab w:leader="none" w:pos="170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22" w:lineRule="exact"/>
        <w:rPr>
          <w:sz w:val="20"/>
          <w:szCs w:val="20"/>
          <w:color w:val="auto"/>
        </w:rPr>
      </w:pPr>
    </w:p>
    <w:p>
      <w:pPr>
        <w:ind w:left="1700" w:hanging="345"/>
        <w:spacing w:after="0"/>
        <w:tabs>
          <w:tab w:leader="none" w:pos="170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7" w:lineRule="exact"/>
        <w:rPr>
          <w:sz w:val="20"/>
          <w:szCs w:val="20"/>
          <w:color w:val="auto"/>
        </w:rPr>
      </w:pPr>
    </w:p>
    <w:p>
      <w:pPr>
        <w:ind w:left="1360" w:right="439" w:hanging="5"/>
        <w:spacing w:after="0" w:line="250" w:lineRule="auto"/>
        <w:tabs>
          <w:tab w:leader="none" w:pos="1696"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document that constitute confidential information have been redacted pursuant to Item 601(b)(10) of Regulation S-K. + Certain exhibits and schedules to these agreements have been omitted pursuant to Item 601(a)(5) and (6) of Regulation S-K. The registrant will</w:t>
      </w:r>
    </w:p>
    <w:p>
      <w:pPr>
        <w:spacing w:after="0" w:line="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copies of any of the exhibits and schedules to the Securities and Exchange Commission upon request.</w:t>
      </w:r>
    </w:p>
    <w:p>
      <w:pPr>
        <w:spacing w:after="0" w:line="2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 Financial Statement Schedules.</w:t>
      </w:r>
    </w:p>
    <w:p>
      <w:pPr>
        <w:spacing w:after="0" w:line="91"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All financial statement schedules are omitted because the information required to be set forth therein is not applicable or is shown in the financial statements or the notes thereto.</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6"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registrant hereby undertakes that:</w:t>
      </w:r>
    </w:p>
    <w:p>
      <w:pPr>
        <w:spacing w:after="0" w:line="102" w:lineRule="exact"/>
        <w:rPr>
          <w:sz w:val="20"/>
          <w:szCs w:val="20"/>
          <w:color w:val="auto"/>
        </w:rPr>
      </w:pPr>
    </w:p>
    <w:p>
      <w:pPr>
        <w:ind w:left="2120" w:right="259" w:hanging="429"/>
        <w:spacing w:after="0" w:line="261"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67" w:lineRule="exact"/>
        <w:rPr>
          <w:rFonts w:ascii="Times New Roman" w:cs="Times New Roman" w:eastAsia="Times New Roman" w:hAnsi="Times New Roman"/>
          <w:sz w:val="14"/>
          <w:szCs w:val="14"/>
          <w:color w:val="auto"/>
        </w:rPr>
      </w:pPr>
    </w:p>
    <w:p>
      <w:pPr>
        <w:ind w:left="2120" w:right="359" w:hanging="429"/>
        <w:spacing w:after="0" w:line="267"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6"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left="1360" w:right="319" w:firstLine="343"/>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on Form S-1 to be signed on its behalf by the undersigned, thereunto duly authorized, in the City of Boston, Massachusetts, on the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of April, 2026.</w:t>
      </w:r>
    </w:p>
    <w:p>
      <w:pPr>
        <w:spacing w:after="0" w:line="4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Daphne Zohar</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 and Director</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177"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Each individual whose signature appears below hereby constitutes and appoints Daphne Zohar and Lauren A. White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45"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has been signed by the following person in the capacities and on the date indicated.</w:t>
      </w:r>
    </w:p>
    <w:p>
      <w:pPr>
        <w:spacing w:after="0" w:line="144"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7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Daphne Zohar</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560" w:type="dxa"/>
            <w:vAlign w:val="bottom"/>
          </w:tcPr>
          <w:p>
            <w:pPr>
              <w:spacing w:after="0"/>
              <w:rPr>
                <w:sz w:val="24"/>
                <w:szCs w:val="24"/>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Daphne Zohar</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33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Lauren A. White</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 and</w:t>
            </w:r>
          </w:p>
        </w:tc>
        <w:tc>
          <w:tcPr>
            <w:tcW w:w="1560" w:type="dxa"/>
            <w:vAlign w:val="bottom"/>
          </w:tcPr>
          <w:p>
            <w:pPr>
              <w:spacing w:after="0"/>
              <w:rPr>
                <w:sz w:val="24"/>
                <w:szCs w:val="24"/>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Lauren A. White</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33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Steven M. Paul</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Steven M. Paul, M.D.</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 and Chairman</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33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J. Hombach</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Robert J. Hombach</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33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Eric Elenko</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Eric Elenko, Ph.D.</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33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James I. Healy</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James I. Healy, M.D., Ph.D.</w:t>
            </w: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28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II-6</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21590</wp:posOffset>
            </wp:positionV>
            <wp:extent cx="192278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1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Robert Nelsen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Robert Nelsen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192278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Jason Pitts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Jason Pitts,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192278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Sandra E. Peterson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Sandra 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192278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Denice Torres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Denice Torres,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192278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David Wheadon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David Wheadon,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192278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Robert Lyne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Robert Lyne, LLB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-101600</wp:posOffset>
            </wp:positionV>
            <wp:extent cx="192278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9227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11"/>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526"/>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526"/>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526"/>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526"/>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526"/>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10, 2026</w:t>
            </w:r>
          </w:p>
        </w:tc>
      </w:tr>
      <w:tr>
        <w:trPr>
          <w:trHeight w:val="284"/>
        </w:trPr>
        <w:tc>
          <w:tcPr>
            <w:tcW w:w="20" w:type="dxa"/>
            <w:vAlign w:val="bottom"/>
          </w:tcPr>
          <w:p>
            <w:pPr>
              <w:spacing w:after="0"/>
              <w:rPr>
                <w:sz w:val="24"/>
                <w:szCs w:val="24"/>
                <w:color w:val="auto"/>
              </w:rPr>
            </w:pPr>
          </w:p>
        </w:tc>
        <w:tc>
          <w:tcPr>
            <w:tcW w:w="39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II-7</w:t>
            </w: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-2722880</wp:posOffset>
            </wp:positionV>
            <wp:extent cx="7201535"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ectPr>
          <w:pgSz w:w="11900" w:h="16838" w:orient="portrait"/>
          <w:cols w:equalWidth="0" w:num="2">
            <w:col w:w="3740" w:space="720"/>
            <w:col w:w="5699"/>
          </w:cols>
          <w:pgMar w:left="300" w:top="386" w:right="1440" w:bottom="1440" w:gutter="0" w:footer="0" w:header="0"/>
        </w:sectPr>
      </w:pPr>
    </w:p>
    <w:bookmarkStart w:id="289" w:name="page290"/>
    <w:bookmarkEnd w:id="289"/>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Sections 242 and 245 of the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General Corporation Law of the State of Delaware)</w:t>
      </w:r>
    </w:p>
    <w:p>
      <w:pPr>
        <w:spacing w:after="0" w:line="161"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Seaport Therapeutics, Inc., a corporation organized and existing under and by virtue of the provisions of the General Corporation Law of the State of Delaware (the “</w:t>
      </w:r>
      <w:r>
        <w:rPr>
          <w:rFonts w:ascii="Times New Roman" w:cs="Times New Roman" w:eastAsia="Times New Roman" w:hAnsi="Times New Roman"/>
          <w:sz w:val="14"/>
          <w:szCs w:val="14"/>
          <w:b w:val="1"/>
          <w:bCs w:val="1"/>
          <w:color w:val="auto"/>
        </w:rPr>
        <w:t>General Corporation Law</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DOES HEREBY CERTIFY:</w:t>
      </w:r>
    </w:p>
    <w:p>
      <w:pPr>
        <w:spacing w:after="0" w:line="177" w:lineRule="exact"/>
        <w:rPr>
          <w:sz w:val="20"/>
          <w:szCs w:val="20"/>
          <w:color w:val="auto"/>
        </w:rPr>
      </w:pPr>
    </w:p>
    <w:p>
      <w:pPr>
        <w:ind w:left="220" w:right="499" w:firstLine="767"/>
        <w:spacing w:after="0" w:line="283" w:lineRule="auto"/>
        <w:tabs>
          <w:tab w:leader="none" w:pos="1132" w:val="left"/>
        </w:tabs>
        <w:numPr>
          <w:ilvl w:val="0"/>
          <w:numId w:val="1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the name of this corporation is Seaport Therapeutics, Inc., and that this corporation was originally incorporated pursuant to the General Corporation Law on April 1, 2024 under the name SP Therapeutics, Inc.</w:t>
      </w:r>
    </w:p>
    <w:p>
      <w:pPr>
        <w:spacing w:after="0" w:line="122" w:lineRule="exact"/>
        <w:rPr>
          <w:rFonts w:ascii="Times New Roman" w:cs="Times New Roman" w:eastAsia="Times New Roman" w:hAnsi="Times New Roman"/>
          <w:sz w:val="14"/>
          <w:szCs w:val="14"/>
          <w:b w:val="1"/>
          <w:bCs w:val="1"/>
          <w:color w:val="auto"/>
        </w:rPr>
      </w:pPr>
    </w:p>
    <w:p>
      <w:pPr>
        <w:ind w:left="220" w:right="339" w:firstLine="767"/>
        <w:spacing w:after="0" w:line="262" w:lineRule="auto"/>
        <w:tabs>
          <w:tab w:leader="none" w:pos="1132" w:val="left"/>
        </w:tabs>
        <w:numPr>
          <w:ilvl w:val="0"/>
          <w:numId w:val="1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the Board of Directors of this corporation (the “</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duly adopted resolutions proposing to further amend and restate the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38" w:lineRule="exact"/>
        <w:rPr>
          <w:sz w:val="20"/>
          <w:szCs w:val="20"/>
          <w:color w:val="auto"/>
        </w:rPr>
      </w:pPr>
    </w:p>
    <w:p>
      <w:pPr>
        <w:ind w:left="220" w:right="4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RESOLVED</w:t>
      </w:r>
      <w:r>
        <w:rPr>
          <w:rFonts w:ascii="Times New Roman" w:cs="Times New Roman" w:eastAsia="Times New Roman" w:hAnsi="Times New Roman"/>
          <w:sz w:val="14"/>
          <w:szCs w:val="14"/>
          <w:color w:val="auto"/>
        </w:rPr>
        <w:t>, that the Amended and Restated Certificate of Incorporation of this corporation be further amended and restated in its entirety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read as follows: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4"/>
          <w:szCs w:val="14"/>
          <w:color w:val="auto"/>
        </w:rPr>
        <w:t>: The name of this corporation is Seaport Therapeutics, Inc.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879" w:firstLine="772"/>
        <w:spacing w:after="0" w:line="286" w:lineRule="auto"/>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4"/>
          <w:szCs w:val="14"/>
          <w:color w:val="auto"/>
        </w:rPr>
        <w:t>: The address of the registered office of the Corporation in the State of Delaware is 1209 Orange Street, in the City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Wilmington, County of New Castle, 19801. The name of its registered agent at such address is The Corporation Trust Company.</w:t>
      </w:r>
    </w:p>
    <w:p>
      <w:pPr>
        <w:spacing w:after="0" w:line="121" w:lineRule="exact"/>
        <w:rPr>
          <w:sz w:val="20"/>
          <w:szCs w:val="20"/>
          <w:color w:val="auto"/>
        </w:rPr>
      </w:pPr>
    </w:p>
    <w:p>
      <w:pPr>
        <w:ind w:left="220" w:right="839" w:firstLine="772"/>
        <w:spacing w:after="0" w:line="286" w:lineRule="auto"/>
        <w:rPr>
          <w:sz w:val="20"/>
          <w:szCs w:val="20"/>
          <w:color w:val="auto"/>
        </w:rPr>
      </w:pPr>
      <w:r>
        <w:rPr>
          <w:rFonts w:ascii="Times New Roman" w:cs="Times New Roman" w:eastAsia="Times New Roman" w:hAnsi="Times New Roman"/>
          <w:sz w:val="14"/>
          <w:szCs w:val="14"/>
          <w:b w:val="1"/>
          <w:bCs w:val="1"/>
          <w:color w:val="auto"/>
        </w:rPr>
        <w:t>THIRD</w:t>
      </w:r>
      <w:r>
        <w:rPr>
          <w:rFonts w:ascii="Times New Roman" w:cs="Times New Roman" w:eastAsia="Times New Roman" w:hAnsi="Times New Roman"/>
          <w:sz w:val="14"/>
          <w:szCs w:val="14"/>
          <w:color w:val="auto"/>
        </w:rPr>
        <w:t>: The nature of the business or purposes to be conducted or promoted is to engage in any lawful act or activity for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corporations may be organized under the General Corporation Law.</w:t>
      </w:r>
    </w:p>
    <w:p>
      <w:pPr>
        <w:spacing w:after="0" w:line="121" w:lineRule="exact"/>
        <w:rPr>
          <w:sz w:val="20"/>
          <w:szCs w:val="20"/>
          <w:color w:val="auto"/>
        </w:rPr>
      </w:pPr>
    </w:p>
    <w:p>
      <w:pPr>
        <w:ind w:left="220" w:right="379" w:firstLine="772"/>
        <w:spacing w:after="0" w:line="259" w:lineRule="auto"/>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14"/>
          <w:szCs w:val="14"/>
          <w:color w:val="auto"/>
        </w:rPr>
        <w:t>: The total number of shares of all classes of stock which the Corporation shall have the authority to issue is 272,991,040.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has two classes of stock, referred to as Common Stock and Preferred Stock. There are 159,070,000 shares of authorized Common Stock, $0.0001 par value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and 113,921,040 shares of authorized Preferred Stock, $0.0001 par value per share (“</w:t>
      </w:r>
      <w:r>
        <w:rPr>
          <w:rFonts w:ascii="Times New Roman" w:cs="Times New Roman" w:eastAsia="Times New Roman" w:hAnsi="Times New Roman"/>
          <w:sz w:val="14"/>
          <w:szCs w:val="14"/>
          <w:b w:val="1"/>
          <w:bCs w:val="1"/>
          <w:color w:val="auto"/>
        </w:rPr>
        <w:t>Preferred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4"/>
          <w:szCs w:val="14"/>
          <w:color w:val="auto"/>
        </w:rPr>
        <w:t>”), 40,000,000 of which are hereby designated as “</w:t>
      </w:r>
      <w:r>
        <w:rPr>
          <w:rFonts w:ascii="Times New Roman" w:cs="Times New Roman" w:eastAsia="Times New Roman" w:hAnsi="Times New Roman"/>
          <w:sz w:val="14"/>
          <w:szCs w:val="14"/>
          <w:b w:val="1"/>
          <w:bCs w:val="1"/>
          <w:color w:val="auto"/>
        </w:rPr>
        <w:t>Series A-1 Preferred Stock</w:t>
      </w:r>
      <w:r>
        <w:rPr>
          <w:rFonts w:ascii="Times New Roman" w:cs="Times New Roman" w:eastAsia="Times New Roman" w:hAnsi="Times New Roman"/>
          <w:sz w:val="14"/>
          <w:szCs w:val="14"/>
          <w:color w:val="auto"/>
        </w:rPr>
        <w:t>”, 26,342,102 of which are hereby designated as “</w:t>
      </w:r>
      <w:r>
        <w:rPr>
          <w:rFonts w:ascii="Times New Roman" w:cs="Times New Roman" w:eastAsia="Times New Roman" w:hAnsi="Times New Roman"/>
          <w:sz w:val="14"/>
          <w:szCs w:val="14"/>
          <w:b w:val="1"/>
          <w:bCs w:val="1"/>
          <w:color w:val="auto"/>
        </w:rPr>
        <w:t>Series A-2 Preferred Stock</w:t>
      </w:r>
      <w:r>
        <w:rPr>
          <w:rFonts w:ascii="Times New Roman" w:cs="Times New Roman" w:eastAsia="Times New Roman" w:hAnsi="Times New Roman"/>
          <w:sz w:val="14"/>
          <w:szCs w:val="14"/>
          <w:color w:val="auto"/>
        </w:rPr>
        <w:t>”, and 47,578,938 of which are hereby designated as “</w:t>
      </w:r>
      <w:r>
        <w:rPr>
          <w:rFonts w:ascii="Times New Roman" w:cs="Times New Roman" w:eastAsia="Times New Roman" w:hAnsi="Times New Roman"/>
          <w:sz w:val="14"/>
          <w:szCs w:val="14"/>
          <w:b w:val="1"/>
          <w:bCs w:val="1"/>
          <w:color w:val="auto"/>
        </w:rPr>
        <w:t>Series B Preferred Stock</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290" w:name="page291"/>
    <w:bookmarkEnd w:id="290"/>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following is a statement of the designations and the powers, preferences and special rights, and the qualifications, limitations or restrictions thereof in respect of each class of capital stock of the Corporation.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 COMMON STOCK</w:t>
      </w:r>
    </w:p>
    <w:p>
      <w:pPr>
        <w:spacing w:after="0" w:line="175" w:lineRule="exact"/>
        <w:rPr>
          <w:sz w:val="20"/>
          <w:szCs w:val="20"/>
          <w:color w:val="auto"/>
        </w:rPr>
      </w:pPr>
    </w:p>
    <w:p>
      <w:pPr>
        <w:ind w:left="220" w:right="499" w:firstLine="767"/>
        <w:spacing w:after="0" w:line="283" w:lineRule="auto"/>
        <w:tabs>
          <w:tab w:leader="none" w:pos="1132"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voting, dividend and liquidation rights of the holders of the Common Stock are subject to and qualified by the powers, preferences and special rights of the holders of the Preferred Stock set forth herein.</w:t>
      </w:r>
    </w:p>
    <w:p>
      <w:pPr>
        <w:spacing w:after="0" w:line="124" w:lineRule="exact"/>
        <w:rPr>
          <w:rFonts w:ascii="Times New Roman" w:cs="Times New Roman" w:eastAsia="Times New Roman" w:hAnsi="Times New Roman"/>
          <w:sz w:val="14"/>
          <w:szCs w:val="14"/>
          <w:color w:val="auto"/>
        </w:rPr>
      </w:pPr>
    </w:p>
    <w:p>
      <w:pPr>
        <w:ind w:left="220" w:right="299" w:firstLine="767"/>
        <w:spacing w:after="0" w:line="254" w:lineRule="auto"/>
        <w:tabs>
          <w:tab w:leader="none" w:pos="1132"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xml:space="preserve">. Except as otherwise provided herein or by applicable law, the holders of the Common Stock shall be entitled to one vote for each share of Common Stock held as of the applicable record date for each meeting of stockholders (and written actions in lieu of meetings);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otherwise required by law, holders of Common Stock, as such, shall not be entitled to vote on any amendment to this Amended and Restated Certificate of Incorporation (this “</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46"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175" w:lineRule="exact"/>
        <w:rPr>
          <w:sz w:val="20"/>
          <w:szCs w:val="20"/>
          <w:color w:val="auto"/>
        </w:rPr>
      </w:pPr>
    </w:p>
    <w:p>
      <w:pPr>
        <w:ind w:left="220" w:right="579" w:firstLine="343"/>
        <w:spacing w:after="0" w:line="296" w:lineRule="auto"/>
        <w:rPr>
          <w:sz w:val="20"/>
          <w:szCs w:val="20"/>
          <w:color w:val="auto"/>
        </w:rPr>
      </w:pPr>
      <w:r>
        <w:rPr>
          <w:rFonts w:ascii="Times New Roman" w:cs="Times New Roman" w:eastAsia="Times New Roman" w:hAnsi="Times New Roman"/>
          <w:sz w:val="13"/>
          <w:szCs w:val="13"/>
          <w:color w:val="auto"/>
        </w:rPr>
        <w:t xml:space="preserve">The shares of the Preferred Stock shall have the powers, preferences and special rights set forth in this Part B of this </w:t>
      </w:r>
      <w:r>
        <w:rPr>
          <w:rFonts w:ascii="Times New Roman" w:cs="Times New Roman" w:eastAsia="Times New Roman" w:hAnsi="Times New Roman"/>
          <w:sz w:val="13"/>
          <w:szCs w:val="13"/>
          <w:u w:val="single" w:color="auto"/>
          <w:color w:val="auto"/>
        </w:rPr>
        <w:t>Article Fourth</w:t>
      </w:r>
      <w:r>
        <w:rPr>
          <w:rFonts w:ascii="Times New Roman" w:cs="Times New Roman" w:eastAsia="Times New Roman" w:hAnsi="Times New Roman"/>
          <w:sz w:val="13"/>
          <w:szCs w:val="13"/>
          <w:color w:val="auto"/>
        </w:rPr>
        <w:t xml:space="preserve">. Unless otherwise indicated, references to “sections” or “Sections” in this Part B of this </w:t>
      </w:r>
      <w:r>
        <w:rPr>
          <w:rFonts w:ascii="Times New Roman" w:cs="Times New Roman" w:eastAsia="Times New Roman" w:hAnsi="Times New Roman"/>
          <w:sz w:val="13"/>
          <w:szCs w:val="13"/>
          <w:u w:val="single" w:color="auto"/>
          <w:color w:val="auto"/>
        </w:rPr>
        <w:t>Article Fourth</w:t>
      </w:r>
      <w:r>
        <w:rPr>
          <w:rFonts w:ascii="Times New Roman" w:cs="Times New Roman" w:eastAsia="Times New Roman" w:hAnsi="Times New Roman"/>
          <w:sz w:val="13"/>
          <w:szCs w:val="13"/>
          <w:color w:val="auto"/>
        </w:rPr>
        <w:t xml:space="preserve"> refer to sections of Part B of this </w:t>
      </w:r>
      <w:r>
        <w:rPr>
          <w:rFonts w:ascii="Times New Roman" w:cs="Times New Roman" w:eastAsia="Times New Roman" w:hAnsi="Times New Roman"/>
          <w:sz w:val="13"/>
          <w:szCs w:val="13"/>
          <w:u w:val="single" w:color="auto"/>
          <w:color w:val="auto"/>
        </w:rPr>
        <w:t>Article Fourth</w:t>
      </w:r>
      <w:r>
        <w:rPr>
          <w:rFonts w:ascii="Times New Roman" w:cs="Times New Roman" w:eastAsia="Times New Roman" w:hAnsi="Times New Roman"/>
          <w:sz w:val="13"/>
          <w:szCs w:val="13"/>
          <w:color w:val="auto"/>
        </w:rPr>
        <w:t>. References to “</w:t>
      </w:r>
      <w:r>
        <w:rPr>
          <w:rFonts w:ascii="Times New Roman" w:cs="Times New Roman" w:eastAsia="Times New Roman" w:hAnsi="Times New Roman"/>
          <w:sz w:val="13"/>
          <w:szCs w:val="13"/>
          <w:b w:val="1"/>
          <w:bCs w:val="1"/>
          <w:color w:val="auto"/>
        </w:rPr>
        <w:t>Preferred Stock</w:t>
      </w:r>
      <w:r>
        <w:rPr>
          <w:rFonts w:ascii="Times New Roman" w:cs="Times New Roman" w:eastAsia="Times New Roman" w:hAnsi="Times New Roman"/>
          <w:sz w:val="13"/>
          <w:szCs w:val="13"/>
          <w:color w:val="auto"/>
        </w:rPr>
        <w:t>” mean, together, the Series A-1 Preferred Stock, the Series A-2 Preferred Stock, and the Series B Preferred Stock.</w:t>
      </w:r>
    </w:p>
    <w:p>
      <w:pPr>
        <w:spacing w:after="0" w:line="120" w:lineRule="exact"/>
        <w:rPr>
          <w:sz w:val="20"/>
          <w:szCs w:val="20"/>
          <w:color w:val="auto"/>
        </w:rPr>
      </w:pPr>
    </w:p>
    <w:p>
      <w:pPr>
        <w:ind w:left="1120" w:hanging="133"/>
        <w:spacing w:after="0"/>
        <w:tabs>
          <w:tab w:leader="none" w:pos="1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Certificate of Incorporation) the holders of the Preferred Stock then outstanding shall,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first receive, or simultaneously receive, a dividend on each outstanding share of Preferred Stock in an amount at least equal to (i) in the case of a dividend on Common Stock, the product of (A) the dividend declared, paid or set aside on such Common Stock and (B) the number of shares of Common Stock issuable upon conversion of a share of such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291" w:name="page292"/>
    <w:bookmarkEnd w:id="291"/>
    <w:p>
      <w:pPr>
        <w:ind w:left="220" w:right="23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Preferred Stock; (ii) 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Preferred Stock, </w:t>
      </w:r>
      <w:r>
        <w:rPr>
          <w:rFonts w:ascii="Times New Roman" w:cs="Times New Roman" w:eastAsia="Times New Roman" w:hAnsi="Times New Roman"/>
          <w:sz w:val="14"/>
          <w:szCs w:val="14"/>
          <w:u w:val="single" w:color="auto"/>
          <w:color w:val="auto"/>
        </w:rPr>
        <w:t>divided</w:t>
      </w:r>
      <w:r>
        <w:rPr>
          <w:rFonts w:ascii="Times New Roman" w:cs="Times New Roman" w:eastAsia="Times New Roman" w:hAnsi="Times New Roman"/>
          <w:sz w:val="14"/>
          <w:szCs w:val="14"/>
          <w:color w:val="auto"/>
        </w:rPr>
        <w:t xml:space="preserve"> by the number of shares of Common Stock issuable upon conversion of a share of such class or series of capital stock; or (iii) in the case of a dividend on any class or series that is not convertible into Common Stock, the product of (A) the amount of the dividend payable on each share of such class or series of capital stock divi</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ed by the original issuance price of such class or series of capital stock (subject to appropriate adjustment in the event of any stock dividend, stock split, combination or other similar recapitalization with respect to such class or series) and (B) the applicable Original Issue Price (as defined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shall be calculated based upon the dividend on the class or series of capital stock that would result in the highest Preferred Stock dividend for the applicable series of Preferred Stock, The “</w:t>
      </w:r>
      <w:r>
        <w:rPr>
          <w:rFonts w:ascii="Times New Roman" w:cs="Times New Roman" w:eastAsia="Times New Roman" w:hAnsi="Times New Roman"/>
          <w:sz w:val="14"/>
          <w:szCs w:val="14"/>
          <w:b w:val="1"/>
          <w:bCs w:val="1"/>
          <w:color w:val="auto"/>
        </w:rPr>
        <w:t>Original Issue Price</w:t>
      </w:r>
      <w:r>
        <w:rPr>
          <w:rFonts w:ascii="Times New Roman" w:cs="Times New Roman" w:eastAsia="Times New Roman" w:hAnsi="Times New Roman"/>
          <w:sz w:val="14"/>
          <w:szCs w:val="14"/>
          <w:color w:val="auto"/>
        </w:rPr>
        <w:t>” shall mean, with respect to the Series A-1 Preferred Stock, $0.10 per share, with respect to the Series A-2 Preferred Stock, $3.80 per share, and with respect to the Series B Preferred Stock, $4.75 per share, subject to, in each case, appropriate adjustment in the event of any stock dividend, stock split, combination or other similar recapitalization with respect to the applicable Preferred Stock.</w:t>
      </w:r>
    </w:p>
    <w:p>
      <w:pPr>
        <w:spacing w:after="0" w:line="149" w:lineRule="exact"/>
        <w:rPr>
          <w:sz w:val="20"/>
          <w:szCs w:val="20"/>
          <w:color w:val="auto"/>
        </w:rPr>
      </w:pPr>
    </w:p>
    <w:p>
      <w:pPr>
        <w:ind w:left="1120" w:hanging="133"/>
        <w:spacing w:after="0"/>
        <w:tabs>
          <w:tab w:leader="none" w:pos="11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Liquidation, Dissolution or Winding Up; Certain Mergers, Consolidations and Asset Sales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19" w:firstLine="1115"/>
        <w:spacing w:after="0" w:line="252"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Preferential Payments to Holders of Preferred Stock</w:t>
      </w:r>
      <w:r>
        <w:rPr>
          <w:rFonts w:ascii="Times New Roman" w:cs="Times New Roman" w:eastAsia="Times New Roman" w:hAnsi="Times New Roman"/>
          <w:sz w:val="14"/>
          <w:szCs w:val="14"/>
          <w:color w:val="auto"/>
        </w:rPr>
        <w:t xml:space="preserve">. In the event of (a) any voluntary or involuntary liquidation, dissolution or winding up of the Corporation, the holders of shares of each series of Preferred Stock then outstanding shall be entitled to be paid out of the assets of the Corporation available for distribution to its stockholders, and (b) a Deemed Liquidation Event (as defined below), the holders of shares of each series of Preferred Stock then outstanding shall be entitled to be paid out of the consideration payable to stockholders in such Deemed Liquidation Event or out of the Available Proceeds (as defined below), as applicable,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based on their respective Liquidation Amounts (as defined below) and before any payment shall be made to the holders of Common Stock by reason of their ownership thereof, an amount per share of each such series of Preferred Stock equal to the greater of (i) the Original Issue Price for such series, plus any dividends declared but unpaid thereon, and (ii) such amount per share as would have been payable had all shares of such series of Preferred Stock (and all shares of all other series of Preferred Stock that would receive a larger distribution per share if such series of Preferred Stock were converted into Common Stock) been converted into Common Stock pursuant to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immediately prior to such liquidation, dissolution, winding up or Deemed Liquidation Event (the amount payable pursuant to this sentence is hereinafter referred to, for each series of Preferred Stock, as applicable, as the “</w:t>
      </w:r>
      <w:r>
        <w:rPr>
          <w:rFonts w:ascii="Times New Roman" w:cs="Times New Roman" w:eastAsia="Times New Roman" w:hAnsi="Times New Roman"/>
          <w:sz w:val="14"/>
          <w:szCs w:val="14"/>
          <w:b w:val="1"/>
          <w:bCs w:val="1"/>
          <w:color w:val="auto"/>
        </w:rPr>
        <w:t>Liquidation Amount</w:t>
      </w:r>
      <w:r>
        <w:rPr>
          <w:rFonts w:ascii="Times New Roman" w:cs="Times New Roman" w:eastAsia="Times New Roman" w:hAnsi="Times New Roman"/>
          <w:sz w:val="14"/>
          <w:szCs w:val="14"/>
          <w:color w:val="auto"/>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292" w:name="page293"/>
    <w:bookmarkEnd w:id="292"/>
    <w:p>
      <w:pPr>
        <w:ind w:left="220" w:right="239" w:firstLine="1115"/>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2.2 </w:t>
      </w:r>
      <w:r>
        <w:rPr>
          <w:rFonts w:ascii="Times New Roman" w:cs="Times New Roman" w:eastAsia="Times New Roman" w:hAnsi="Times New Roman"/>
          <w:sz w:val="14"/>
          <w:szCs w:val="14"/>
          <w:u w:val="single" w:color="auto"/>
          <w:color w:val="auto"/>
        </w:rPr>
        <w:t>Payments to Holders of Common Stock</w:t>
      </w:r>
      <w:r>
        <w:rPr>
          <w:rFonts w:ascii="Times New Roman" w:cs="Times New Roman" w:eastAsia="Times New Roman" w:hAnsi="Times New Roman"/>
          <w:sz w:val="14"/>
          <w:szCs w:val="14"/>
          <w:color w:val="auto"/>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or the remaining Available Proceeds, as the case may be, shall be distributed among the holders of shares of Common Stock, pro rata based on the number of shares of Common Stock held by each such holder.</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Deemed Liquidation Events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right="299" w:firstLine="1544"/>
        <w:spacing w:after="0" w:line="256" w:lineRule="auto"/>
        <w:rPr>
          <w:sz w:val="20"/>
          <w:szCs w:val="20"/>
          <w:color w:val="auto"/>
        </w:rPr>
      </w:pP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14"/>
          <w:szCs w:val="14"/>
          <w:u w:val="single" w:color="auto"/>
          <w:color w:val="auto"/>
        </w:rPr>
        <w:t>Definition</w:t>
      </w:r>
      <w:r>
        <w:rPr>
          <w:rFonts w:ascii="Times New Roman" w:cs="Times New Roman" w:eastAsia="Times New Roman" w:hAnsi="Times New Roman"/>
          <w:sz w:val="14"/>
          <w:szCs w:val="14"/>
          <w:color w:val="auto"/>
        </w:rPr>
        <w:t>. Each of the following events shall be considered a “</w:t>
      </w:r>
      <w:r>
        <w:rPr>
          <w:rFonts w:ascii="Times New Roman" w:cs="Times New Roman" w:eastAsia="Times New Roman" w:hAnsi="Times New Roman"/>
          <w:sz w:val="14"/>
          <w:szCs w:val="14"/>
          <w:b w:val="1"/>
          <w:bCs w:val="1"/>
          <w:color w:val="auto"/>
        </w:rPr>
        <w:t>Deemed Liquidation Event</w:t>
      </w:r>
      <w:r>
        <w:rPr>
          <w:rFonts w:ascii="Times New Roman" w:cs="Times New Roman" w:eastAsia="Times New Roman" w:hAnsi="Times New Roman"/>
          <w:sz w:val="14"/>
          <w:szCs w:val="14"/>
          <w:color w:val="auto"/>
        </w:rPr>
        <w:t>” unless (x) the holders of at least a majority of the outstanding shares of Preferred Stock, voting together as a single class on an as-converted to Common Stock basis, and (y) the holders of a majority of the outstanding shares of Series A-2 Preferred Stock and Series B Preferred Stock, voting together as a single class on an as-converted to Common Stock basis, which majority must include at least one New Series B Investor (as defined in the Amended and Restated Investors’ Rights Agreement, dated on or about the Original Issue Date (as defined below), by and among the Corporation and the other parties thereto, as such agreement may be amended and/or restated from time to time (the “</w:t>
      </w:r>
      <w:r>
        <w:rPr>
          <w:rFonts w:ascii="Times New Roman" w:cs="Times New Roman" w:eastAsia="Times New Roman" w:hAnsi="Times New Roman"/>
          <w:sz w:val="14"/>
          <w:szCs w:val="14"/>
          <w:b w:val="1"/>
          <w:bCs w:val="1"/>
          <w:color w:val="auto"/>
        </w:rPr>
        <w:t>Investors’ Rights Agreement</w:t>
      </w:r>
      <w:r>
        <w:rPr>
          <w:rFonts w:ascii="Times New Roman" w:cs="Times New Roman" w:eastAsia="Times New Roman" w:hAnsi="Times New Roman"/>
          <w:sz w:val="14"/>
          <w:szCs w:val="14"/>
          <w:color w:val="auto"/>
        </w:rPr>
        <w:t>”)) (together, the “</w:t>
      </w:r>
      <w:r>
        <w:rPr>
          <w:rFonts w:ascii="Times New Roman" w:cs="Times New Roman" w:eastAsia="Times New Roman" w:hAnsi="Times New Roman"/>
          <w:sz w:val="14"/>
          <w:szCs w:val="14"/>
          <w:b w:val="1"/>
          <w:bCs w:val="1"/>
          <w:color w:val="auto"/>
        </w:rPr>
        <w:t>Requisite Holders</w:t>
      </w:r>
      <w:r>
        <w:rPr>
          <w:rFonts w:ascii="Times New Roman" w:cs="Times New Roman" w:eastAsia="Times New Roman" w:hAnsi="Times New Roman"/>
          <w:sz w:val="14"/>
          <w:szCs w:val="14"/>
          <w:color w:val="auto"/>
        </w:rPr>
        <w:t>”), elect otherwise by written notice sent to the Corporation at least 10 days prior to the effective date of any such event:</w:t>
      </w:r>
    </w:p>
    <w:p>
      <w:pPr>
        <w:spacing w:after="0" w:line="146" w:lineRule="exact"/>
        <w:rPr>
          <w:sz w:val="20"/>
          <w:szCs w:val="20"/>
          <w:color w:val="auto"/>
        </w:rPr>
      </w:pPr>
    </w:p>
    <w:p>
      <w:pPr>
        <w:ind w:left="2300" w:hanging="198"/>
        <w:spacing w:after="0"/>
        <w:tabs>
          <w:tab w:leader="none" w:pos="230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consolidation, statutory conversion, transfer, domestication, or continuance in which</w:t>
      </w:r>
    </w:p>
    <w:p>
      <w:pPr>
        <w:spacing w:after="0" w:line="101" w:lineRule="exact"/>
        <w:rPr>
          <w:rFonts w:ascii="Times New Roman" w:cs="Times New Roman" w:eastAsia="Times New Roman" w:hAnsi="Times New Roman"/>
          <w:sz w:val="14"/>
          <w:szCs w:val="14"/>
          <w:color w:val="auto"/>
        </w:rPr>
      </w:pPr>
    </w:p>
    <w:p>
      <w:pPr>
        <w:ind w:left="2860" w:hanging="416"/>
        <w:spacing w:after="0"/>
        <w:tabs>
          <w:tab w:leader="none" w:pos="286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is a constituent party or</w:t>
      </w:r>
    </w:p>
    <w:p>
      <w:pPr>
        <w:spacing w:after="0" w:line="101" w:lineRule="exact"/>
        <w:rPr>
          <w:rFonts w:ascii="Times New Roman" w:cs="Times New Roman" w:eastAsia="Times New Roman" w:hAnsi="Times New Roman"/>
          <w:sz w:val="14"/>
          <w:szCs w:val="14"/>
          <w:color w:val="auto"/>
        </w:rPr>
      </w:pPr>
    </w:p>
    <w:p>
      <w:pPr>
        <w:ind w:left="2860" w:right="239" w:hanging="416"/>
        <w:spacing w:after="0" w:line="283" w:lineRule="auto"/>
        <w:tabs>
          <w:tab w:leader="none" w:pos="286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subsidiary of the Corporation is a constituent party and the Corporation issues shares of its capital stock pursuant to such merger, consolidation, statutory conversion, transfer, domestication, or continuance,</w:t>
      </w:r>
    </w:p>
    <w:p>
      <w:pPr>
        <w:spacing w:after="0" w:line="125" w:lineRule="exact"/>
        <w:rPr>
          <w:sz w:val="20"/>
          <w:szCs w:val="20"/>
          <w:color w:val="auto"/>
        </w:rPr>
      </w:pPr>
    </w:p>
    <w:p>
      <w:pPr>
        <w:ind w:left="220" w:right="279"/>
        <w:spacing w:after="0" w:line="256" w:lineRule="auto"/>
        <w:rPr>
          <w:sz w:val="20"/>
          <w:szCs w:val="20"/>
          <w:color w:val="auto"/>
        </w:rPr>
      </w:pPr>
      <w:r>
        <w:rPr>
          <w:rFonts w:ascii="Times New Roman" w:cs="Times New Roman" w:eastAsia="Times New Roman" w:hAnsi="Times New Roman"/>
          <w:sz w:val="14"/>
          <w:szCs w:val="14"/>
          <w:color w:val="auto"/>
        </w:rPr>
        <w:t>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or other equity interests that represent, immediately following such merger, consolidation, statutory conversion, transfer, domestication, or continuance,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domestication, or continuance, the parent corporation or entity of such surviving or resulting corporation or entity;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293" w:name="page294"/>
    <w:bookmarkEnd w:id="293"/>
    <w:p>
      <w:pPr>
        <w:ind w:left="220" w:right="259" w:firstLine="1882"/>
        <w:spacing w:after="0" w:line="257" w:lineRule="auto"/>
        <w:tabs>
          <w:tab w:leader="none" w:pos="2305"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 the sale, lease, transfer, exclusive license or other disposition, in a single transaction or series of related transactions, by the Corporation or any subsidiary of the Corporation of all or substantially all the assets of the Corporation and its subsidiaries taken as a whole, or (ii) the sale, lease, transfer, exclusive license or other disposition (whether by merger, consolidation, statutory conversion, domestication,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14"/>
          <w:szCs w:val="14"/>
          <w:u w:val="single" w:color="auto"/>
          <w:color w:val="auto"/>
        </w:rPr>
        <w:t>Effecting a Deemed Liquidation Event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59" w:firstLine="1882"/>
        <w:spacing w:after="0" w:line="261" w:lineRule="auto"/>
        <w:tabs>
          <w:tab w:leader="none" w:pos="2298"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shall not have the power to effect a Deemed Liquidation Event referred to in </w:t>
      </w:r>
      <w:r>
        <w:rPr>
          <w:rFonts w:ascii="Times New Roman" w:cs="Times New Roman" w:eastAsia="Times New Roman" w:hAnsi="Times New Roman"/>
          <w:sz w:val="14"/>
          <w:szCs w:val="14"/>
          <w:u w:val="single" w:color="auto"/>
          <w:color w:val="auto"/>
        </w:rPr>
        <w:t>Section 2.3.1(a)(i)</w:t>
      </w:r>
      <w:r>
        <w:rPr>
          <w:rFonts w:ascii="Times New Roman" w:cs="Times New Roman" w:eastAsia="Times New Roman" w:hAnsi="Times New Roman"/>
          <w:sz w:val="14"/>
          <w:szCs w:val="14"/>
          <w:color w:val="auto"/>
        </w:rPr>
        <w:t xml:space="preserve"> unless the agreement or plan with respect to such transaction, or terms of such transaction (any such agreement, plan or terms, the “</w:t>
      </w:r>
      <w:r>
        <w:rPr>
          <w:rFonts w:ascii="Times New Roman" w:cs="Times New Roman" w:eastAsia="Times New Roman" w:hAnsi="Times New Roman"/>
          <w:sz w:val="14"/>
          <w:szCs w:val="14"/>
          <w:b w:val="1"/>
          <w:bCs w:val="1"/>
          <w:color w:val="auto"/>
        </w:rPr>
        <w:t>Transaction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Document</w:t>
      </w:r>
      <w:r>
        <w:rPr>
          <w:rFonts w:ascii="Times New Roman" w:cs="Times New Roman" w:eastAsia="Times New Roman" w:hAnsi="Times New Roman"/>
          <w:sz w:val="14"/>
          <w:szCs w:val="14"/>
          <w:color w:val="auto"/>
        </w:rPr>
        <w:t>”), provide that the consideration payable to the stockholders of the Corporation in such Deemed Liquidation Event shall be allocated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holders of capital stock of the Corporation in accordance with </w:t>
      </w:r>
      <w:r>
        <w:rPr>
          <w:rFonts w:ascii="Times New Roman" w:cs="Times New Roman" w:eastAsia="Times New Roman" w:hAnsi="Times New Roman"/>
          <w:sz w:val="14"/>
          <w:szCs w:val="14"/>
          <w:u w:val="single" w:color="auto"/>
          <w:color w:val="auto"/>
        </w:rPr>
        <w:t>Sections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220" w:right="339" w:firstLine="1882"/>
        <w:spacing w:after="0" w:line="252" w:lineRule="auto"/>
        <w:tabs>
          <w:tab w:leader="none" w:pos="2305"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Deemed Liquidation Event referred to in </w:t>
      </w:r>
      <w:r>
        <w:rPr>
          <w:rFonts w:ascii="Times New Roman" w:cs="Times New Roman" w:eastAsia="Times New Roman" w:hAnsi="Times New Roman"/>
          <w:sz w:val="14"/>
          <w:szCs w:val="14"/>
          <w:u w:val="single" w:color="auto"/>
          <w:color w:val="auto"/>
        </w:rPr>
        <w:t>Section 2.3.1(a)(ii)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2.3.1(b)</w:t>
      </w:r>
      <w:r>
        <w:rPr>
          <w:rFonts w:ascii="Times New Roman" w:cs="Times New Roman" w:eastAsia="Times New Roman" w:hAnsi="Times New Roman"/>
          <w:sz w:val="14"/>
          <w:szCs w:val="14"/>
          <w:color w:val="auto"/>
        </w:rPr>
        <w:t>,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to require the redemption of such shares of Preferred Stock, and (ii) 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any other expenses reasonably related to such Deemed Liquidation Event or any other expenses incident to the dissolution of the Corporation as provided herein, in each case as determined in good faith by the Board of Directors),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4"/>
          <w:szCs w:val="14"/>
          <w:b w:val="1"/>
          <w:bCs w:val="1"/>
          <w:color w:val="auto"/>
        </w:rPr>
        <w:t>Available Proceeds</w:t>
      </w:r>
      <w:r>
        <w:rPr>
          <w:rFonts w:ascii="Times New Roman" w:cs="Times New Roman" w:eastAsia="Times New Roman" w:hAnsi="Times New Roman"/>
          <w:sz w:val="14"/>
          <w:szCs w:val="14"/>
          <w:color w:val="auto"/>
        </w:rPr>
        <w:t>”) on the 150th day after such Deemed Liquidation Event (the “</w:t>
      </w:r>
      <w:r>
        <w:rPr>
          <w:rFonts w:ascii="Times New Roman" w:cs="Times New Roman" w:eastAsia="Times New Roman" w:hAnsi="Times New Roman"/>
          <w:sz w:val="14"/>
          <w:szCs w:val="14"/>
          <w:b w:val="1"/>
          <w:bCs w:val="1"/>
          <w:color w:val="auto"/>
        </w:rPr>
        <w:t>DLE Redemption Date</w:t>
      </w:r>
      <w:r>
        <w:rPr>
          <w:rFonts w:ascii="Times New Roman" w:cs="Times New Roman" w:eastAsia="Times New Roman" w:hAnsi="Times New Roman"/>
          <w:sz w:val="14"/>
          <w:szCs w:val="14"/>
          <w:color w:val="auto"/>
        </w:rPr>
        <w:t xml:space="preserve">”), to redeem all outstanding shares of Preferred Stock at a price per share equal to the applicable Liquidation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the definitive agreements governing such Deemed Liquidation Event contain contingent indemnification obligations on the part of the Corporation and prohibit the Corporation from distributing all or a portion of the Available Proceeds while such indemnification obligations remain outstanding, then the DLE Redemption Date shall automatically be extended to the date that is ten business days following the date on which such prohibition expires.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294" w:name="page295"/>
    <w:bookmarkEnd w:id="294"/>
    <w:p>
      <w:pPr>
        <w:ind w:left="220" w:right="3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stockholders. Prior to the distribution or redemption provided for in this </w:t>
      </w:r>
      <w:r>
        <w:rPr>
          <w:rFonts w:ascii="Times New Roman" w:cs="Times New Roman" w:eastAsia="Times New Roman" w:hAnsi="Times New Roman"/>
          <w:sz w:val="14"/>
          <w:szCs w:val="14"/>
          <w:u w:val="single" w:color="auto"/>
          <w:color w:val="auto"/>
        </w:rPr>
        <w:t>Section 2.3.2(b)</w:t>
      </w:r>
      <w:r>
        <w:rPr>
          <w:rFonts w:ascii="Times New Roman" w:cs="Times New Roman" w:eastAsia="Times New Roman" w:hAnsi="Times New Roman"/>
          <w:sz w:val="14"/>
          <w:szCs w:val="14"/>
          <w:color w:val="auto"/>
        </w:rPr>
        <w:t xml:space="preserve">, the Corporation shall not expend or dissipate the Available Proceeds for any purpose, except to discharge expenses incurred in connection with such Deemed Liquidation Event. In connection with a distribution or redemption provided for in </w:t>
      </w:r>
      <w:r>
        <w:rPr>
          <w:rFonts w:ascii="Times New Roman" w:cs="Times New Roman" w:eastAsia="Times New Roman" w:hAnsi="Times New Roman"/>
          <w:sz w:val="14"/>
          <w:szCs w:val="14"/>
          <w:u w:val="single" w:color="auto"/>
          <w:color w:val="auto"/>
        </w:rPr>
        <w:t>Section 2.3.2</w:t>
      </w:r>
      <w:r>
        <w:rPr>
          <w:rFonts w:ascii="Times New Roman" w:cs="Times New Roman" w:eastAsia="Times New Roman" w:hAnsi="Times New Roman"/>
          <w:sz w:val="14"/>
          <w:szCs w:val="14"/>
          <w:color w:val="auto"/>
        </w:rPr>
        <w:t>, the Corporation shall send written notice of the redemption (the “</w:t>
      </w:r>
      <w:r>
        <w:rPr>
          <w:rFonts w:ascii="Times New Roman" w:cs="Times New Roman" w:eastAsia="Times New Roman" w:hAnsi="Times New Roman"/>
          <w:sz w:val="14"/>
          <w:szCs w:val="14"/>
          <w:b w:val="1"/>
          <w:bCs w:val="1"/>
          <w:color w:val="auto"/>
        </w:rPr>
        <w:t>Redemption Notice</w:t>
      </w:r>
      <w:r>
        <w:rPr>
          <w:rFonts w:ascii="Times New Roman" w:cs="Times New Roman" w:eastAsia="Times New Roman" w:hAnsi="Times New Roman"/>
          <w:sz w:val="14"/>
          <w:szCs w:val="14"/>
          <w:color w:val="auto"/>
        </w:rPr>
        <w:t>”) to each holder of record of Preferred Stock. Each Redemption Notice shall state:</w:t>
      </w:r>
    </w:p>
    <w:p>
      <w:pPr>
        <w:spacing w:after="0" w:line="67" w:lineRule="exact"/>
        <w:rPr>
          <w:sz w:val="20"/>
          <w:szCs w:val="20"/>
          <w:color w:val="auto"/>
        </w:rPr>
      </w:pPr>
    </w:p>
    <w:p>
      <w:pPr>
        <w:ind w:left="2860" w:right="319" w:hanging="416"/>
        <w:spacing w:after="0" w:line="283" w:lineRule="auto"/>
        <w:tabs>
          <w:tab w:leader="none" w:pos="28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Preferred Stock held by the holder that the Corporation shall redeem on the date specified in the Redemption Notice;</w:t>
      </w:r>
    </w:p>
    <w:p>
      <w:pPr>
        <w:spacing w:after="0" w:line="51" w:lineRule="exact"/>
        <w:rPr>
          <w:rFonts w:ascii="Times New Roman" w:cs="Times New Roman" w:eastAsia="Times New Roman" w:hAnsi="Times New Roman"/>
          <w:sz w:val="14"/>
          <w:szCs w:val="14"/>
          <w:color w:val="auto"/>
        </w:rPr>
      </w:pPr>
    </w:p>
    <w:p>
      <w:pPr>
        <w:ind w:left="2860" w:right="399" w:hanging="416"/>
        <w:spacing w:after="0" w:line="283" w:lineRule="auto"/>
        <w:tabs>
          <w:tab w:leader="none" w:pos="28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 and the price per share at which the shares of Preferred Stock are being redeemed; and</w:t>
      </w:r>
    </w:p>
    <w:p>
      <w:pPr>
        <w:spacing w:after="0" w:line="51" w:lineRule="exact"/>
        <w:rPr>
          <w:rFonts w:ascii="Times New Roman" w:cs="Times New Roman" w:eastAsia="Times New Roman" w:hAnsi="Times New Roman"/>
          <w:sz w:val="14"/>
          <w:szCs w:val="14"/>
          <w:color w:val="auto"/>
        </w:rPr>
      </w:pPr>
    </w:p>
    <w:p>
      <w:pPr>
        <w:ind w:left="2860" w:right="279" w:hanging="416"/>
        <w:spacing w:after="0" w:line="267" w:lineRule="auto"/>
        <w:tabs>
          <w:tab w:leader="none" w:pos="28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136" w:lineRule="exact"/>
        <w:rPr>
          <w:sz w:val="20"/>
          <w:szCs w:val="20"/>
          <w:color w:val="auto"/>
        </w:rPr>
      </w:pPr>
    </w:p>
    <w:p>
      <w:pPr>
        <w:ind w:left="220" w:right="279"/>
        <w:spacing w:after="0" w:line="261" w:lineRule="auto"/>
        <w:rPr>
          <w:sz w:val="20"/>
          <w:szCs w:val="20"/>
          <w:color w:val="auto"/>
        </w:rPr>
      </w:pPr>
      <w:r>
        <w:rPr>
          <w:rFonts w:ascii="Times New Roman" w:cs="Times New Roman" w:eastAsia="Times New Roman" w:hAnsi="Times New Roman"/>
          <w:sz w:val="14"/>
          <w:szCs w:val="14"/>
          <w:color w:val="auto"/>
        </w:rPr>
        <w:t>If the Redemption Notice shall have been duly given, and if payment is tendered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date terminate, except only the right of the holders to receive the payment without interest upon surrender of any such certificate or certificates therefor.</w:t>
      </w:r>
    </w:p>
    <w:p>
      <w:pPr>
        <w:spacing w:after="0" w:line="141" w:lineRule="exact"/>
        <w:rPr>
          <w:sz w:val="20"/>
          <w:szCs w:val="20"/>
          <w:color w:val="auto"/>
        </w:rPr>
      </w:pPr>
    </w:p>
    <w:p>
      <w:pPr>
        <w:ind w:left="220" w:right="359" w:firstLine="1544"/>
        <w:spacing w:after="0" w:line="261" w:lineRule="auto"/>
        <w:rPr>
          <w:sz w:val="20"/>
          <w:szCs w:val="20"/>
          <w:color w:val="auto"/>
        </w:rPr>
      </w:pPr>
      <w:r>
        <w:rPr>
          <w:rFonts w:ascii="Times New Roman" w:cs="Times New Roman" w:eastAsia="Times New Roman" w:hAnsi="Times New Roman"/>
          <w:sz w:val="14"/>
          <w:szCs w:val="14"/>
          <w:color w:val="auto"/>
        </w:rPr>
        <w:t xml:space="preserve">2.3.3 </w:t>
      </w:r>
      <w:r>
        <w:rPr>
          <w:rFonts w:ascii="Times New Roman" w:cs="Times New Roman" w:eastAsia="Times New Roman" w:hAnsi="Times New Roman"/>
          <w:sz w:val="14"/>
          <w:szCs w:val="14"/>
          <w:u w:val="single" w:color="auto"/>
          <w:color w:val="auto"/>
        </w:rPr>
        <w:t>Amount Deemed Paid or Distributed</w:t>
      </w:r>
      <w:r>
        <w:rPr>
          <w:rFonts w:ascii="Times New Roman" w:cs="Times New Roman" w:eastAsia="Times New Roman" w:hAnsi="Times New Roman"/>
          <w:sz w:val="14"/>
          <w:szCs w:val="14"/>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w:t>
      </w:r>
    </w:p>
    <w:p>
      <w:pPr>
        <w:spacing w:after="0" w:line="1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 xml:space="preserve">2.3.4 </w:t>
      </w:r>
      <w:r>
        <w:rPr>
          <w:rFonts w:ascii="Times New Roman" w:cs="Times New Roman" w:eastAsia="Times New Roman" w:hAnsi="Times New Roman"/>
          <w:sz w:val="14"/>
          <w:szCs w:val="14"/>
          <w:u w:val="single" w:color="auto"/>
          <w:color w:val="auto"/>
        </w:rPr>
        <w:t>Allocation of Escrow and Contingent Consideration</w:t>
      </w:r>
      <w:r>
        <w:rPr>
          <w:rFonts w:ascii="Times New Roman" w:cs="Times New Roman" w:eastAsia="Times New Roman" w:hAnsi="Times New Roman"/>
          <w:sz w:val="14"/>
          <w:szCs w:val="14"/>
          <w:color w:val="auto"/>
        </w:rPr>
        <w:t>. In the event of a Deemed Liquidation Event pursuant to</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u w:val="single" w:color="auto"/>
          <w:color w:val="auto"/>
        </w:rPr>
        <w:t>Section 2.3.1(a)(i)</w:t>
      </w:r>
      <w:r>
        <w:rPr>
          <w:rFonts w:ascii="Times New Roman" w:cs="Times New Roman" w:eastAsia="Times New Roman" w:hAnsi="Times New Roman"/>
          <w:sz w:val="14"/>
          <w:szCs w:val="14"/>
          <w:color w:val="auto"/>
        </w:rPr>
        <w:t>, if any portion of the consideration payable to the stockholders of the Corporation is payable only upon satisfaction of contingencies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Additional Consideration</w:t>
      </w:r>
      <w:r>
        <w:rPr>
          <w:rFonts w:ascii="Times New Roman" w:cs="Times New Roman" w:eastAsia="Times New Roman" w:hAnsi="Times New Roman"/>
          <w:sz w:val="14"/>
          <w:szCs w:val="14"/>
          <w:color w:val="auto"/>
        </w:rPr>
        <w:t>”), the Transaction Document shall provide that (a) the portion of such consideration that is not Additional</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Consideration (such portion, the “</w:t>
      </w:r>
      <w:r>
        <w:rPr>
          <w:rFonts w:ascii="Times New Roman" w:cs="Times New Roman" w:eastAsia="Times New Roman" w:hAnsi="Times New Roman"/>
          <w:sz w:val="14"/>
          <w:szCs w:val="14"/>
          <w:b w:val="1"/>
          <w:bCs w:val="1"/>
          <w:color w:val="auto"/>
        </w:rPr>
        <w:t>Initial Consideration</w:t>
      </w:r>
      <w:r>
        <w:rPr>
          <w:rFonts w:ascii="Times New Roman" w:cs="Times New Roman" w:eastAsia="Times New Roman" w:hAnsi="Times New Roman"/>
          <w:sz w:val="14"/>
          <w:szCs w:val="14"/>
          <w:color w:val="auto"/>
        </w:rPr>
        <w:t>”) shall be allocated among the holders of capital stock of the Corporation in accordance with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u w:val="single" w:color="auto"/>
          <w:color w:val="auto"/>
        </w:rPr>
        <w:t>Sections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as if the Initial Consideration were the only consideration payable in connection with such Deemed Liquidation Event; and (b) any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Additional Consideration which becomes payable to the stockholders of the Corporation upon satisfaction of such contingencies shall be allocated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among the holders of capital stock of the Corporation in accordance with </w:t>
      </w:r>
      <w:r>
        <w:rPr>
          <w:rFonts w:ascii="Times New Roman" w:cs="Times New Roman" w:eastAsia="Times New Roman" w:hAnsi="Times New Roman"/>
          <w:sz w:val="14"/>
          <w:szCs w:val="14"/>
          <w:u w:val="single" w:color="auto"/>
          <w:color w:val="auto"/>
        </w:rPr>
        <w:t>Sections 2.1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after taking into account the previous payment of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Initial Consideration as part of the same transaction. For the purposes of this </w:t>
      </w:r>
      <w:r>
        <w:rPr>
          <w:rFonts w:ascii="Times New Roman" w:cs="Times New Roman" w:eastAsia="Times New Roman" w:hAnsi="Times New Roman"/>
          <w:sz w:val="14"/>
          <w:szCs w:val="14"/>
          <w:u w:val="single" w:color="auto"/>
          <w:color w:val="auto"/>
        </w:rPr>
        <w:t>Section 2.3.4</w:t>
      </w:r>
      <w:r>
        <w:rPr>
          <w:rFonts w:ascii="Times New Roman" w:cs="Times New Roman" w:eastAsia="Times New Roman" w:hAnsi="Times New Roman"/>
          <w:sz w:val="14"/>
          <w:szCs w:val="14"/>
          <w:color w:val="auto"/>
        </w:rPr>
        <w:t>, consideration placed into escrow or retained as a holdback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be available for satisfaction of indemnification or similar obligations in connection with such Deemed Liquidation Event shall be deemed to be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Additional Consideration.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295" w:name="page296"/>
    <w:bookmarkEnd w:id="295"/>
    <w:p>
      <w:pPr>
        <w:ind w:left="1120" w:hanging="133"/>
        <w:spacing w:after="0"/>
        <w:tabs>
          <w:tab w:leader="none" w:pos="1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Voting</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79" w:firstLine="1115"/>
        <w:spacing w:after="0" w:line="257"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xml:space="preserve">.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provided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below) as of the record date for determining stockholders entitled to vote on such matter. Except as provided by law or by the other provisions of this Certificate of Incorporation, holders of Preferred Stock shall vote together with the holders of Common Stock as a single class and on an as-converted to Common Stock basis.</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Election of Directors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1544"/>
        <w:spacing w:after="0" w:line="253" w:lineRule="auto"/>
        <w:rPr>
          <w:sz w:val="20"/>
          <w:szCs w:val="20"/>
          <w:color w:val="auto"/>
        </w:rPr>
      </w:pPr>
      <w:r>
        <w:rPr>
          <w:rFonts w:ascii="Times New Roman" w:cs="Times New Roman" w:eastAsia="Times New Roman" w:hAnsi="Times New Roman"/>
          <w:sz w:val="14"/>
          <w:szCs w:val="14"/>
          <w:color w:val="auto"/>
        </w:rPr>
        <w:t>3.2.1 (i) At all times when at least 10,000,000 shares of Series A-1 Preferred Stock remain outstanding (subject to appropriate adjustment in the event of any stock dividend, stock split, combination, or other similar recapitalization with respect to the Series A-1 Preferred Stock), the holders of record of the shares of Series A-1 Preferred Stock, exclusively and voting together as a separate class, shall be entitled to elect two (2) directors of the Corporation (each, a “</w:t>
      </w:r>
      <w:r>
        <w:rPr>
          <w:rFonts w:ascii="Times New Roman" w:cs="Times New Roman" w:eastAsia="Times New Roman" w:hAnsi="Times New Roman"/>
          <w:sz w:val="14"/>
          <w:szCs w:val="14"/>
          <w:b w:val="1"/>
          <w:bCs w:val="1"/>
          <w:color w:val="auto"/>
        </w:rPr>
        <w:t>Series A-1 Director</w:t>
      </w:r>
      <w:r>
        <w:rPr>
          <w:rFonts w:ascii="Times New Roman" w:cs="Times New Roman" w:eastAsia="Times New Roman" w:hAnsi="Times New Roman"/>
          <w:sz w:val="14"/>
          <w:szCs w:val="14"/>
          <w:color w:val="auto"/>
        </w:rPr>
        <w:t>”), (ii) at all times when at least 6,578,947 shares of Series A-2 Preferred Stock remain outstanding (subject to appropriate adjustment in the event of any stock dividend, stock split, combination, or other similar recapitalization with respect to the Series A-2 Preferred Stock), the holders of record of the shares of Series A-2 Preferred Stock, exclusively and voting together as a separate class, shall be entitled to elect two (2) directors of the Corporation (each, a “</w:t>
      </w:r>
      <w:r>
        <w:rPr>
          <w:rFonts w:ascii="Times New Roman" w:cs="Times New Roman" w:eastAsia="Times New Roman" w:hAnsi="Times New Roman"/>
          <w:sz w:val="14"/>
          <w:szCs w:val="14"/>
          <w:b w:val="1"/>
          <w:bCs w:val="1"/>
          <w:color w:val="auto"/>
        </w:rPr>
        <w:t>Series A-2 Director</w:t>
      </w:r>
      <w:r>
        <w:rPr>
          <w:rFonts w:ascii="Times New Roman" w:cs="Times New Roman" w:eastAsia="Times New Roman" w:hAnsi="Times New Roman"/>
          <w:sz w:val="14"/>
          <w:szCs w:val="14"/>
          <w:color w:val="auto"/>
        </w:rPr>
        <w:t>”), (iii) at all times when at least 11,894,734 shares of Series B Preferred Stock remain outstanding (subject to appropriate adjustment in the event of any stock dividend, stock split, combination, or other similar recapitalization with respect to the Series B Preferred Stock), the holders of record of the shares of Series B Preferred Stock, exclusively and voting together as a separate class, shall be entitled to elect one (1) director of the Corporation (the “</w:t>
      </w:r>
      <w:r>
        <w:rPr>
          <w:rFonts w:ascii="Times New Roman" w:cs="Times New Roman" w:eastAsia="Times New Roman" w:hAnsi="Times New Roman"/>
          <w:sz w:val="14"/>
          <w:szCs w:val="14"/>
          <w:b w:val="1"/>
          <w:bCs w:val="1"/>
          <w:color w:val="auto"/>
        </w:rPr>
        <w:t>Series B Director</w:t>
      </w:r>
      <w:r>
        <w:rPr>
          <w:rFonts w:ascii="Times New Roman" w:cs="Times New Roman" w:eastAsia="Times New Roman" w:hAnsi="Times New Roman"/>
          <w:sz w:val="14"/>
          <w:szCs w:val="14"/>
          <w:color w:val="auto"/>
        </w:rPr>
        <w:t>” and, together with the Series A-1 Directors and Series A-2 Directors, each, a “</w:t>
      </w:r>
      <w:r>
        <w:rPr>
          <w:rFonts w:ascii="Times New Roman" w:cs="Times New Roman" w:eastAsia="Times New Roman" w:hAnsi="Times New Roman"/>
          <w:sz w:val="14"/>
          <w:szCs w:val="14"/>
          <w:b w:val="1"/>
          <w:bCs w:val="1"/>
          <w:color w:val="auto"/>
        </w:rPr>
        <w:t>Preferred Director</w:t>
      </w:r>
      <w:r>
        <w:rPr>
          <w:rFonts w:ascii="Times New Roman" w:cs="Times New Roman" w:eastAsia="Times New Roman" w:hAnsi="Times New Roman"/>
          <w:sz w:val="14"/>
          <w:szCs w:val="14"/>
          <w:color w:val="auto"/>
        </w:rPr>
        <w:t>”), and (iv) the holders of record of the shares of Common Stock and of any other class or series of voting stock (including the Preferred Stock), exclusively and voting together as a single class on an as-converted to Common Stock basis, shall be entitled to elect the balance of the total number of directors of the Corporation (the “</w:t>
      </w:r>
      <w:r>
        <w:rPr>
          <w:rFonts w:ascii="Times New Roman" w:cs="Times New Roman" w:eastAsia="Times New Roman" w:hAnsi="Times New Roman"/>
          <w:sz w:val="14"/>
          <w:szCs w:val="14"/>
          <w:b w:val="1"/>
          <w:bCs w:val="1"/>
          <w:color w:val="auto"/>
        </w:rPr>
        <w:t>At-Large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for administrative convenience, the initial Series B Director may also be appointed by the Board of Directors in connection with the approval of the initial issuance of the Series B Preferred Stock without a separate action by the holders of Preferred Stock.</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296" w:name="page297"/>
    <w:bookmarkEnd w:id="296"/>
    <w:p>
      <w:pPr>
        <w:ind w:left="220" w:right="239" w:firstLine="1544"/>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3.2.2 Any director elected as provided in </w:t>
      </w:r>
      <w:r>
        <w:rPr>
          <w:rFonts w:ascii="Times New Roman" w:cs="Times New Roman" w:eastAsia="Times New Roman" w:hAnsi="Times New Roman"/>
          <w:sz w:val="14"/>
          <w:szCs w:val="14"/>
          <w:u w:val="single" w:color="auto"/>
          <w:color w:val="auto"/>
        </w:rPr>
        <w:t>Sections 3.2.1(i)</w:t>
      </w:r>
      <w:r>
        <w:rPr>
          <w:rFonts w:ascii="Times New Roman" w:cs="Times New Roman" w:eastAsia="Times New Roman" w:hAnsi="Times New Roman"/>
          <w:sz w:val="14"/>
          <w:szCs w:val="14"/>
          <w:color w:val="auto"/>
        </w:rPr>
        <w:t xml:space="preserve">, 3.2.1(ii) or </w:t>
      </w:r>
      <w:r>
        <w:rPr>
          <w:rFonts w:ascii="Times New Roman" w:cs="Times New Roman" w:eastAsia="Times New Roman" w:hAnsi="Times New Roman"/>
          <w:sz w:val="14"/>
          <w:szCs w:val="14"/>
          <w:u w:val="single" w:color="auto"/>
          <w:color w:val="auto"/>
        </w:rPr>
        <w:t>Section 3.2.1(iii)</w:t>
      </w:r>
      <w:r>
        <w:rPr>
          <w:rFonts w:ascii="Times New Roman" w:cs="Times New Roman" w:eastAsia="Times New Roman" w:hAnsi="Times New Roman"/>
          <w:sz w:val="14"/>
          <w:szCs w:val="14"/>
          <w:color w:val="auto"/>
        </w:rPr>
        <w:t xml:space="preserve"> may be removed without cause by, and only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-244475</wp:posOffset>
            </wp:positionV>
            <wp:extent cx="30861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8610" cy="6985"/>
                    </a:xfrm>
                    <a:prstGeom prst="rect">
                      <a:avLst/>
                    </a:prstGeom>
                    <a:noFill/>
                  </pic:spPr>
                </pic:pic>
              </a:graphicData>
            </a:graphic>
          </wp:anchor>
        </w:drawing>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3.2.3</w:t>
      </w:r>
    </w:p>
    <w:p>
      <w:pPr>
        <w:spacing w:after="0" w:line="102" w:lineRule="exact"/>
        <w:rPr>
          <w:sz w:val="20"/>
          <w:szCs w:val="20"/>
          <w:color w:val="auto"/>
        </w:rPr>
      </w:pPr>
    </w:p>
    <w:p>
      <w:pPr>
        <w:ind w:left="2860" w:right="259" w:hanging="416"/>
        <w:spacing w:after="0" w:line="258" w:lineRule="auto"/>
        <w:tabs>
          <w:tab w:leader="none" w:pos="28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holders of shares of Preferred Stock fail to elect a sufficient number of directors to fill all directorships for which they are entitled to elect directors pursuant to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(and to the extent any of such directorships is not otherwise filled by a director appointed in accordance with the proviso in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 xml:space="preserve">, then any directorship not so filled shall remain vacant until such time as the holders of the Preferred Stock fill such directorship in accordance with </w:t>
      </w:r>
      <w:r>
        <w:rPr>
          <w:rFonts w:ascii="Times New Roman" w:cs="Times New Roman" w:eastAsia="Times New Roman" w:hAnsi="Times New Roman"/>
          <w:sz w:val="14"/>
          <w:szCs w:val="14"/>
          <w:u w:val="single" w:color="auto"/>
          <w:color w:val="auto"/>
        </w:rPr>
        <w:t>Section 3.2.1</w:t>
      </w:r>
      <w:r>
        <w:rPr>
          <w:rFonts w:ascii="Times New Roman" w:cs="Times New Roman" w:eastAsia="Times New Roman" w:hAnsi="Times New Roman"/>
          <w:sz w:val="14"/>
          <w:szCs w:val="14"/>
          <w:color w:val="auto"/>
        </w:rPr>
        <w:t>.</w:t>
      </w:r>
    </w:p>
    <w:p>
      <w:pPr>
        <w:spacing w:after="0" w:line="70" w:lineRule="exact"/>
        <w:rPr>
          <w:rFonts w:ascii="Times New Roman" w:cs="Times New Roman" w:eastAsia="Times New Roman" w:hAnsi="Times New Roman"/>
          <w:sz w:val="14"/>
          <w:szCs w:val="14"/>
          <w:color w:val="auto"/>
        </w:rPr>
      </w:pPr>
    </w:p>
    <w:p>
      <w:pPr>
        <w:ind w:left="2860" w:right="459" w:hanging="416"/>
        <w:spacing w:after="0" w:line="283" w:lineRule="auto"/>
        <w:tabs>
          <w:tab w:leader="none" w:pos="28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vacancy in any At-Large Director seat can be filled by either the vote or written consent in lieu of a meeting of the stockholders entitled to elect the At-Large Directors.</w:t>
      </w:r>
    </w:p>
    <w:p>
      <w:pPr>
        <w:spacing w:after="0" w:line="125" w:lineRule="exact"/>
        <w:rPr>
          <w:sz w:val="20"/>
          <w:szCs w:val="20"/>
          <w:color w:val="auto"/>
        </w:rPr>
      </w:pPr>
    </w:p>
    <w:p>
      <w:pPr>
        <w:ind w:left="220" w:right="299" w:firstLine="343"/>
        <w:spacing w:after="0" w:line="323" w:lineRule="auto"/>
        <w:rPr>
          <w:sz w:val="20"/>
          <w:szCs w:val="20"/>
          <w:color w:val="auto"/>
        </w:rPr>
      </w:pPr>
      <w:r>
        <w:rPr>
          <w:rFonts w:ascii="Times New Roman" w:cs="Times New Roman" w:eastAsia="Times New Roman" w:hAnsi="Times New Roman"/>
          <w:sz w:val="13"/>
          <w:szCs w:val="13"/>
          <w:color w:val="auto"/>
        </w:rPr>
        <w:t>At any meeting held for the purpose of electing a director, the presence in person or by proxy of the holders of a majority in voting power of the outstanding shares of the class or series of capital stock entitled to elect such director shall constitute a quorum for the purpose of electing such director.</w:t>
      </w:r>
    </w:p>
    <w:p>
      <w:pPr>
        <w:spacing w:after="0" w:line="100" w:lineRule="exact"/>
        <w:rPr>
          <w:sz w:val="20"/>
          <w:szCs w:val="20"/>
          <w:color w:val="auto"/>
        </w:rPr>
      </w:pPr>
    </w:p>
    <w:p>
      <w:pPr>
        <w:ind w:left="220" w:right="499" w:firstLine="1544"/>
        <w:spacing w:after="0" w:line="326" w:lineRule="auto"/>
        <w:rPr>
          <w:sz w:val="20"/>
          <w:szCs w:val="20"/>
          <w:color w:val="auto"/>
        </w:rPr>
      </w:pPr>
      <w:r>
        <w:rPr>
          <w:rFonts w:ascii="Times New Roman" w:cs="Times New Roman" w:eastAsia="Times New Roman" w:hAnsi="Times New Roman"/>
          <w:sz w:val="13"/>
          <w:szCs w:val="13"/>
          <w:color w:val="auto"/>
        </w:rPr>
        <w:t>3.2.4 The “</w:t>
      </w:r>
      <w:r>
        <w:rPr>
          <w:rFonts w:ascii="Times New Roman" w:cs="Times New Roman" w:eastAsia="Times New Roman" w:hAnsi="Times New Roman"/>
          <w:sz w:val="13"/>
          <w:szCs w:val="13"/>
          <w:b w:val="1"/>
          <w:bCs w:val="1"/>
          <w:color w:val="auto"/>
        </w:rPr>
        <w:t>Requisite Directors</w:t>
      </w:r>
      <w:r>
        <w:rPr>
          <w:rFonts w:ascii="Times New Roman" w:cs="Times New Roman" w:eastAsia="Times New Roman" w:hAnsi="Times New Roman"/>
          <w:sz w:val="13"/>
          <w:szCs w:val="13"/>
          <w:color w:val="auto"/>
        </w:rPr>
        <w:t>” shall mean a majority of the Board of Directors, including a majority of the Preferred Directors then seated (or three (3) Preferred Directors if greater), and including at least two (2) Preferred Directors that are not Series A-1 Directors,</w:t>
      </w:r>
    </w:p>
    <w:p>
      <w:pPr>
        <w:spacing w:after="0" w:line="100" w:lineRule="exact"/>
        <w:rPr>
          <w:sz w:val="20"/>
          <w:szCs w:val="20"/>
          <w:color w:val="auto"/>
        </w:rPr>
      </w:pPr>
    </w:p>
    <w:p>
      <w:pPr>
        <w:ind w:left="220" w:right="219" w:firstLine="1115"/>
        <w:spacing w:after="0" w:line="256"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Preferred Stock Protective Provisions</w:t>
      </w:r>
      <w:r>
        <w:rPr>
          <w:rFonts w:ascii="Times New Roman" w:cs="Times New Roman" w:eastAsia="Times New Roman" w:hAnsi="Times New Roman"/>
          <w:sz w:val="14"/>
          <w:szCs w:val="14"/>
          <w:color w:val="auto"/>
        </w:rPr>
        <w:t xml:space="preserve">. At any time when at least 28,480,260 shares of Preferred Stock (subject to appropriate adjustment in the event of any stock dividend, stock split, combination or other similar recapitalization with respect to the Preferred Stock and calculated on an as-converted to Common Stock basis) are outstanding, the Corporation shall not, either directly or indirectly by amendment, merger, consolidation, domestication, transfer, continuance, recapitalization, reclassification, waiver, statutory conversion, or otherwise, effect any of the following acts or transactions without (in addition to any other vote required by law or this Certificate of Incorporation) the written consent or affirmative vote of the Requisite Holders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4" w:lineRule="exact"/>
        <w:rPr>
          <w:sz w:val="20"/>
          <w:szCs w:val="20"/>
          <w:color w:val="auto"/>
        </w:rPr>
      </w:pPr>
    </w:p>
    <w:p>
      <w:pPr>
        <w:ind w:left="220" w:right="419" w:firstLine="1544"/>
        <w:spacing w:after="0" w:line="283" w:lineRule="auto"/>
        <w:rPr>
          <w:sz w:val="20"/>
          <w:szCs w:val="20"/>
          <w:color w:val="auto"/>
        </w:rPr>
      </w:pPr>
      <w:r>
        <w:rPr>
          <w:rFonts w:ascii="Times New Roman" w:cs="Times New Roman" w:eastAsia="Times New Roman" w:hAnsi="Times New Roman"/>
          <w:sz w:val="14"/>
          <w:szCs w:val="14"/>
          <w:color w:val="auto"/>
        </w:rPr>
        <w:t>3.3.1 liquidate, dissolve or wind-up the business and affairs of the Corporation or effect any Deemed Liquidation Event or any other merger, consolidation, statutory conversion, transfer, domestication or continuance;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297" w:name="page298"/>
    <w:bookmarkEnd w:id="297"/>
    <w:p>
      <w:pPr>
        <w:ind w:left="220" w:right="339" w:firstLine="1544"/>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3.3.2 amend, alter or repeal any provision of this Certificate of Incorporation or Bylaws of the Corporation in a manner that adversely affects the special rights, powers and preferences of the Preferred Stock (or any series thereof);</w:t>
      </w:r>
    </w:p>
    <w:p>
      <w:pPr>
        <w:spacing w:after="0" w:line="125" w:lineRule="exact"/>
        <w:rPr>
          <w:sz w:val="20"/>
          <w:szCs w:val="20"/>
          <w:color w:val="auto"/>
        </w:rPr>
      </w:pPr>
    </w:p>
    <w:p>
      <w:pPr>
        <w:ind w:left="220" w:right="359" w:firstLine="1544"/>
        <w:spacing w:after="0" w:line="267" w:lineRule="auto"/>
        <w:rPr>
          <w:sz w:val="20"/>
          <w:szCs w:val="20"/>
          <w:color w:val="auto"/>
        </w:rPr>
      </w:pPr>
      <w:r>
        <w:rPr>
          <w:rFonts w:ascii="Times New Roman" w:cs="Times New Roman" w:eastAsia="Times New Roman" w:hAnsi="Times New Roman"/>
          <w:sz w:val="14"/>
          <w:szCs w:val="14"/>
          <w:color w:val="auto"/>
        </w:rPr>
        <w:t>3.3.3 create, or authorize the creation of, or issue, or obligate itself to issue, shares of, or reclassify, any capital stock or any security convertible into or exercisable for any equity security, in each case, unless the same ranks junior to the Preferred Stock with respect to its special rights, powers and preferences;</w:t>
      </w:r>
    </w:p>
    <w:p>
      <w:pPr>
        <w:spacing w:after="0" w:line="13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3.3.4 increase or decrease the authorized number of shares of Preferred Stock or of any series of Preferred Stock;</w:t>
      </w:r>
    </w:p>
    <w:p>
      <w:pPr>
        <w:spacing w:after="0" w:line="175" w:lineRule="exact"/>
        <w:rPr>
          <w:sz w:val="20"/>
          <w:szCs w:val="20"/>
          <w:color w:val="auto"/>
        </w:rPr>
      </w:pPr>
    </w:p>
    <w:p>
      <w:pPr>
        <w:ind w:left="220" w:right="239" w:firstLine="1544"/>
        <w:spacing w:after="0" w:line="261" w:lineRule="auto"/>
        <w:rPr>
          <w:sz w:val="20"/>
          <w:szCs w:val="20"/>
          <w:color w:val="auto"/>
        </w:rPr>
      </w:pPr>
      <w:r>
        <w:rPr>
          <w:rFonts w:ascii="Times New Roman" w:cs="Times New Roman" w:eastAsia="Times New Roman" w:hAnsi="Times New Roman"/>
          <w:sz w:val="14"/>
          <w:szCs w:val="14"/>
          <w:color w:val="auto"/>
        </w:rPr>
        <w:t>3.3.5 without the approval of the Requisite Directors, sell, issue, sponsor, create or distribute, or cause or permit any of its subsidiaries to sell, issue, sponsor, create or distribute, any digital tokens, cryptocurrency or other blockchain-based assets (collectively, “</w:t>
      </w:r>
      <w:r>
        <w:rPr>
          <w:rFonts w:ascii="Times New Roman" w:cs="Times New Roman" w:eastAsia="Times New Roman" w:hAnsi="Times New Roman"/>
          <w:sz w:val="14"/>
          <w:szCs w:val="14"/>
          <w:b w:val="1"/>
          <w:bCs w:val="1"/>
          <w:color w:val="auto"/>
        </w:rPr>
        <w:t>Tokens</w:t>
      </w:r>
      <w:r>
        <w:rPr>
          <w:rFonts w:ascii="Times New Roman" w:cs="Times New Roman" w:eastAsia="Times New Roman" w:hAnsi="Times New Roman"/>
          <w:sz w:val="14"/>
          <w:szCs w:val="14"/>
          <w:color w:val="auto"/>
        </w:rPr>
        <w:t>”), including through a pre-sale, initial coin offering, token distribution event or crowdfunding, or through the issuance of any instrument convertible into or exchangeable for Tokens;</w:t>
      </w:r>
    </w:p>
    <w:p>
      <w:pPr>
        <w:spacing w:after="0" w:line="141" w:lineRule="exact"/>
        <w:rPr>
          <w:sz w:val="20"/>
          <w:szCs w:val="20"/>
          <w:color w:val="auto"/>
        </w:rPr>
      </w:pPr>
    </w:p>
    <w:p>
      <w:pPr>
        <w:ind w:left="220" w:right="319" w:firstLine="1544"/>
        <w:spacing w:after="0" w:line="257" w:lineRule="auto"/>
        <w:rPr>
          <w:sz w:val="20"/>
          <w:szCs w:val="20"/>
          <w:color w:val="auto"/>
        </w:rPr>
      </w:pPr>
      <w:r>
        <w:rPr>
          <w:rFonts w:ascii="Times New Roman" w:cs="Times New Roman" w:eastAsia="Times New Roman" w:hAnsi="Times New Roman"/>
          <w:sz w:val="14"/>
          <w:szCs w:val="14"/>
          <w:color w:val="auto"/>
        </w:rPr>
        <w:t>3.3.6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(iii) repurchases of stock from former employees, officers, directors, consultants or other persons who performed services for the Corporation or any subsidiary in connection with the cessation of such employment or service, at no greater than the original purchase price thereof; and (iv) as otherwise approved by the Requisite Directors;</w:t>
      </w:r>
    </w:p>
    <w:p>
      <w:pPr>
        <w:spacing w:after="0" w:line="143" w:lineRule="exact"/>
        <w:rPr>
          <w:sz w:val="20"/>
          <w:szCs w:val="20"/>
          <w:color w:val="auto"/>
        </w:rPr>
      </w:pPr>
    </w:p>
    <w:p>
      <w:pPr>
        <w:ind w:left="220" w:right="539" w:firstLine="1544"/>
        <w:spacing w:after="0" w:line="283" w:lineRule="auto"/>
        <w:rPr>
          <w:sz w:val="20"/>
          <w:szCs w:val="20"/>
          <w:color w:val="auto"/>
        </w:rPr>
      </w:pPr>
      <w:r>
        <w:rPr>
          <w:rFonts w:ascii="Times New Roman" w:cs="Times New Roman" w:eastAsia="Times New Roman" w:hAnsi="Times New Roman"/>
          <w:sz w:val="14"/>
          <w:szCs w:val="14"/>
          <w:color w:val="auto"/>
        </w:rPr>
        <w:t>3.3.7 without the approval of the Requisite Directors, (i) adopt, amend, terminate or repeal any equity (or equity-linked) compensation plan, or (ii) amend any such plan to increase the number of shares authorized for issuance thereunder;</w:t>
      </w:r>
    </w:p>
    <w:p>
      <w:pPr>
        <w:spacing w:after="0" w:line="125" w:lineRule="exact"/>
        <w:rPr>
          <w:sz w:val="20"/>
          <w:szCs w:val="20"/>
          <w:color w:val="auto"/>
        </w:rPr>
      </w:pPr>
    </w:p>
    <w:p>
      <w:pPr>
        <w:ind w:left="220" w:right="239" w:firstLine="1544"/>
        <w:spacing w:after="0" w:line="256" w:lineRule="auto"/>
        <w:rPr>
          <w:sz w:val="20"/>
          <w:szCs w:val="20"/>
          <w:color w:val="auto"/>
        </w:rPr>
      </w:pPr>
      <w:r>
        <w:rPr>
          <w:rFonts w:ascii="Times New Roman" w:cs="Times New Roman" w:eastAsia="Times New Roman" w:hAnsi="Times New Roman"/>
          <w:sz w:val="14"/>
          <w:szCs w:val="14"/>
          <w:color w:val="auto"/>
        </w:rPr>
        <w:t>3.3.8 unless the aggregate indebtedness of the Corporation and its subsidiaries for borrowed money following such action would not exceed $1,000,000, create, or issue, any debt security,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unless approved by the Requisite Directors in each case, and other than equipment leases, bank lines of credit or trade payables incurred in the ordinary course of business and approved by the Requisite Directors;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298" w:name="page299"/>
    <w:bookmarkEnd w:id="298"/>
    <w:p>
      <w:pPr>
        <w:ind w:left="220" w:right="339" w:firstLine="1544"/>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3.3.9 create, or hold capital stock in, any subsidiary that is not wholly owned (either directly or through one or more other subsidiaries) by the Corporation, or permit any subsidiary to create,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44" w:lineRule="exact"/>
        <w:rPr>
          <w:sz w:val="20"/>
          <w:szCs w:val="20"/>
          <w:color w:val="auto"/>
        </w:rPr>
      </w:pPr>
    </w:p>
    <w:p>
      <w:pPr>
        <w:ind w:left="220" w:right="499" w:firstLine="1544"/>
        <w:spacing w:after="0" w:line="283" w:lineRule="auto"/>
        <w:rPr>
          <w:sz w:val="20"/>
          <w:szCs w:val="20"/>
          <w:color w:val="auto"/>
        </w:rPr>
      </w:pPr>
      <w:r>
        <w:rPr>
          <w:rFonts w:ascii="Times New Roman" w:cs="Times New Roman" w:eastAsia="Times New Roman" w:hAnsi="Times New Roman"/>
          <w:sz w:val="14"/>
          <w:szCs w:val="14"/>
          <w:color w:val="auto"/>
        </w:rPr>
        <w:t xml:space="preserve">3.3.10 increase or decrease the authorized number of directors constituting the Board of Directors, change the number of votes entitled to be cast by any director or directors on any matter, or adopt any provision inconsistent with </w:t>
      </w:r>
      <w:r>
        <w:rPr>
          <w:rFonts w:ascii="Times New Roman" w:cs="Times New Roman" w:eastAsia="Times New Roman" w:hAnsi="Times New Roman"/>
          <w:sz w:val="14"/>
          <w:szCs w:val="14"/>
          <w:u w:val="single" w:color="auto"/>
          <w:color w:val="auto"/>
        </w:rPr>
        <w:t>Article Sixth</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239" w:firstLine="1115"/>
        <w:spacing w:after="0" w:line="256"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Series A-1 Preferred Stock Protective Provisions</w:t>
      </w:r>
      <w:r>
        <w:rPr>
          <w:rFonts w:ascii="Times New Roman" w:cs="Times New Roman" w:eastAsia="Times New Roman" w:hAnsi="Times New Roman"/>
          <w:sz w:val="14"/>
          <w:szCs w:val="14"/>
          <w:color w:val="auto"/>
        </w:rPr>
        <w:t xml:space="preserve">. At any time when at least 10,000,000 shares of Series A-1 Preferred Stock are outstanding (subject to appropriate adjustment in the event of any stock dividend, stock split, combination or other similar recapitalization with respect to the Preferred Stock and calculated on an as-converted to Common Stock basis), the Corporation shall not, either directly or indirectly by amendment, merger, consolidation, domestication, transfer, continuance, recapitalization, reclassification, waiver, statutory conversion, or otherwise, effect any of the following acts or transactions without (in addition to any other vote required by law or this Certificate of Incorporation) the written consent or affirmative vote of the holders of a majority of the then-outstanding shares of Series A-1 Preferred Stock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4" w:lineRule="exact"/>
        <w:rPr>
          <w:sz w:val="20"/>
          <w:szCs w:val="20"/>
          <w:color w:val="auto"/>
        </w:rPr>
      </w:pPr>
    </w:p>
    <w:p>
      <w:pPr>
        <w:ind w:left="220" w:right="339" w:firstLine="1544"/>
        <w:spacing w:after="0" w:line="283" w:lineRule="auto"/>
        <w:rPr>
          <w:sz w:val="20"/>
          <w:szCs w:val="20"/>
          <w:color w:val="auto"/>
        </w:rPr>
      </w:pPr>
      <w:r>
        <w:rPr>
          <w:rFonts w:ascii="Times New Roman" w:cs="Times New Roman" w:eastAsia="Times New Roman" w:hAnsi="Times New Roman"/>
          <w:sz w:val="14"/>
          <w:szCs w:val="14"/>
          <w:color w:val="auto"/>
        </w:rPr>
        <w:t>3.4.1 amend, alter or repeal any provision of this Certificate of Incorporation or Bylaws of the Corporation in a manner that adversely affects the special rights, powers and preferences of the Series A-1 Preferred Stock; or</w:t>
      </w:r>
    </w:p>
    <w:p>
      <w:pPr>
        <w:spacing w:after="0" w:line="1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3.4.2 increase or decrease the authorized number of shares of Series A-1 Preferred Stock.</w:t>
      </w:r>
    </w:p>
    <w:p>
      <w:pPr>
        <w:spacing w:after="0" w:line="175" w:lineRule="exact"/>
        <w:rPr>
          <w:sz w:val="20"/>
          <w:szCs w:val="20"/>
          <w:color w:val="auto"/>
        </w:rPr>
      </w:pPr>
    </w:p>
    <w:p>
      <w:pPr>
        <w:ind w:left="220" w:right="239" w:firstLine="1115"/>
        <w:spacing w:after="0" w:line="256"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Series A-2 Preferred Stock Protective Provisions</w:t>
      </w:r>
      <w:r>
        <w:rPr>
          <w:rFonts w:ascii="Times New Roman" w:cs="Times New Roman" w:eastAsia="Times New Roman" w:hAnsi="Times New Roman"/>
          <w:sz w:val="14"/>
          <w:szCs w:val="14"/>
          <w:color w:val="auto"/>
        </w:rPr>
        <w:t xml:space="preserve">. At any time when at least 6,578,947 shares of Series A-2 Preferred Stock are outstanding (subject to appropriate adjustment in the event of any stock dividend, stock split, combination or other similar recapitalization with respect to the Preferred Stock and calculated on an as-converted to Common Stock basis), the Corporation shall not, either directly or indirectly by amendment, merger, consolidation, domestication, transfer, continuance, recapitalization, reclassification, waiver, statutory conversion, or otherwise, effect any of the following acts or transactions without (in addition to any other vote required by law or this Certificate of Incorporation) the written consent or affirmative vote of the holders of a majority of the then-outstanding shares of Series A-2 Preferred Stock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4" w:lineRule="exact"/>
        <w:rPr>
          <w:sz w:val="20"/>
          <w:szCs w:val="20"/>
          <w:color w:val="auto"/>
        </w:rPr>
      </w:pPr>
    </w:p>
    <w:p>
      <w:pPr>
        <w:ind w:left="220" w:right="339" w:firstLine="1544"/>
        <w:spacing w:after="0" w:line="283" w:lineRule="auto"/>
        <w:rPr>
          <w:sz w:val="20"/>
          <w:szCs w:val="20"/>
          <w:color w:val="auto"/>
        </w:rPr>
      </w:pPr>
      <w:r>
        <w:rPr>
          <w:rFonts w:ascii="Times New Roman" w:cs="Times New Roman" w:eastAsia="Times New Roman" w:hAnsi="Times New Roman"/>
          <w:sz w:val="14"/>
          <w:szCs w:val="14"/>
          <w:color w:val="auto"/>
        </w:rPr>
        <w:t>3.5.1 amend, alter or repeal any provision of this Certificate of Incorporation or Bylaws of the Corporation in a manner that adversely affects the special rights, powers and preferences of the Series A-2 Preferred Stock; or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299" w:name="page300"/>
    <w:bookmarkEnd w:id="299"/>
    <w:p>
      <w:pPr>
        <w:ind w:left="17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3.5.2 increase or decrease the authorized number of shares of Series A-2 Preferred Stock.</w:t>
      </w:r>
    </w:p>
    <w:p>
      <w:pPr>
        <w:spacing w:after="0" w:line="175" w:lineRule="exact"/>
        <w:rPr>
          <w:sz w:val="20"/>
          <w:szCs w:val="20"/>
          <w:color w:val="auto"/>
        </w:rPr>
      </w:pPr>
    </w:p>
    <w:p>
      <w:pPr>
        <w:ind w:left="220" w:right="239" w:firstLine="1115"/>
        <w:spacing w:after="0" w:line="255" w:lineRule="auto"/>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Series B Preferred Stock Protective Provisions</w:t>
      </w:r>
      <w:r>
        <w:rPr>
          <w:rFonts w:ascii="Times New Roman" w:cs="Times New Roman" w:eastAsia="Times New Roman" w:hAnsi="Times New Roman"/>
          <w:sz w:val="14"/>
          <w:szCs w:val="14"/>
          <w:color w:val="auto"/>
        </w:rPr>
        <w:t>. At any time when at least 11,894,734 shares of Series B Preferred Stock are outstanding (subject to appropriate adjustment in the event of any stock dividend, stock split, combination or other similar recapitalization with respect to the Preferred Stock and calculated on an as-converted to Common Stock basis), the Corporation shall not, either directly or indirectly by amendment, merger, consolidation, domestication, transfer, continuance, recapitalization, reclassification, waiver, statutory conversion, or otherwise, effect any of the following acts or transactions without (in addition to any other vote required by law or this Certificate of Incorporation) the written consent or affirmative vote of the holders of at least 65% of the then-outstanding shares of Series B Preferred Stock (the “</w:t>
      </w:r>
      <w:r>
        <w:rPr>
          <w:rFonts w:ascii="Times New Roman" w:cs="Times New Roman" w:eastAsia="Times New Roman" w:hAnsi="Times New Roman"/>
          <w:sz w:val="14"/>
          <w:szCs w:val="14"/>
          <w:b w:val="1"/>
          <w:bCs w:val="1"/>
          <w:color w:val="auto"/>
        </w:rPr>
        <w:t>Series B Majority</w:t>
      </w:r>
      <w:r>
        <w:rPr>
          <w:rFonts w:ascii="Times New Roman" w:cs="Times New Roman" w:eastAsia="Times New Roman" w:hAnsi="Times New Roman"/>
          <w:sz w:val="14"/>
          <w:szCs w:val="14"/>
          <w:color w:val="auto"/>
        </w:rPr>
        <w:t xml:space="preserve">”) and any such act or transaction that has not been approved by such consent or vote prior to such act or transaction being effected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and of no force or effect:</w:t>
      </w:r>
    </w:p>
    <w:p>
      <w:pPr>
        <w:spacing w:after="0" w:line="145" w:lineRule="exact"/>
        <w:rPr>
          <w:sz w:val="20"/>
          <w:szCs w:val="20"/>
          <w:color w:val="auto"/>
        </w:rPr>
      </w:pPr>
    </w:p>
    <w:p>
      <w:pPr>
        <w:ind w:left="220" w:right="339" w:firstLine="1544"/>
        <w:spacing w:after="0" w:line="283" w:lineRule="auto"/>
        <w:rPr>
          <w:sz w:val="20"/>
          <w:szCs w:val="20"/>
          <w:color w:val="auto"/>
        </w:rPr>
      </w:pPr>
      <w:r>
        <w:rPr>
          <w:rFonts w:ascii="Times New Roman" w:cs="Times New Roman" w:eastAsia="Times New Roman" w:hAnsi="Times New Roman"/>
          <w:sz w:val="14"/>
          <w:szCs w:val="14"/>
          <w:color w:val="auto"/>
        </w:rPr>
        <w:t>3.6.1 amend, alter or repeal any provision of this Certificate of Incorporation or Bylaws of the Corporation in a manner that adversely affects the special rights, powers and preferences of the Series B Preferred Stock; or</w:t>
      </w:r>
    </w:p>
    <w:p>
      <w:pPr>
        <w:spacing w:after="0" w:line="1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3.6.2 increase or decrease the authorized number of shares of Series B Preferred Stock.</w:t>
      </w:r>
    </w:p>
    <w:p>
      <w:pPr>
        <w:spacing w:after="0" w:line="173" w:lineRule="exact"/>
        <w:rPr>
          <w:sz w:val="20"/>
          <w:szCs w:val="20"/>
          <w:color w:val="auto"/>
        </w:rPr>
      </w:pPr>
    </w:p>
    <w:p>
      <w:pPr>
        <w:ind w:left="1340" w:right="899" w:hanging="353"/>
        <w:spacing w:after="0" w:line="502" w:lineRule="auto"/>
        <w:tabs>
          <w:tab w:leader="none" w:pos="113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 Conversion</w:t>
      </w:r>
      <w:r>
        <w:rPr>
          <w:rFonts w:ascii="Times New Roman" w:cs="Times New Roman" w:eastAsia="Times New Roman" w:hAnsi="Times New Roman"/>
          <w:sz w:val="14"/>
          <w:szCs w:val="14"/>
          <w:color w:val="auto"/>
        </w:rPr>
        <w:t>. The holders of the Preferred Stock shall have conversion rights as follows (the “</w:t>
      </w:r>
      <w:r>
        <w:rPr>
          <w:rFonts w:ascii="Times New Roman" w:cs="Times New Roman" w:eastAsia="Times New Roman" w:hAnsi="Times New Roman"/>
          <w:sz w:val="14"/>
          <w:szCs w:val="14"/>
          <w:b w:val="1"/>
          <w:bCs w:val="1"/>
          <w:color w:val="auto"/>
        </w:rPr>
        <w:t>Conversion Rights</w:t>
      </w:r>
      <w:r>
        <w:rPr>
          <w:rFonts w:ascii="Times New Roman" w:cs="Times New Roman" w:eastAsia="Times New Roman" w:hAnsi="Times New Roman"/>
          <w:sz w:val="14"/>
          <w:szCs w:val="14"/>
          <w:color w:val="auto"/>
        </w:rPr>
        <w:t xml:space="preserve">”): 4.1 </w:t>
      </w:r>
      <w:r>
        <w:rPr>
          <w:rFonts w:ascii="Times New Roman" w:cs="Times New Roman" w:eastAsia="Times New Roman" w:hAnsi="Times New Roman"/>
          <w:sz w:val="14"/>
          <w:szCs w:val="14"/>
          <w:u w:val="single" w:color="auto"/>
          <w:color w:val="auto"/>
        </w:rPr>
        <w:t>Right to Convert</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220" w:right="239" w:firstLine="1544"/>
        <w:spacing w:after="0" w:line="253"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Conversion Ratio</w:t>
      </w:r>
      <w:r>
        <w:rPr>
          <w:rFonts w:ascii="Times New Roman" w:cs="Times New Roman" w:eastAsia="Times New Roman" w:hAnsi="Times New Roman"/>
          <w:sz w:val="14"/>
          <w:szCs w:val="14"/>
          <w:color w:val="auto"/>
        </w:rPr>
        <w:t xml:space="preserve">. Each share of Preferred Stock shall be convertible, at the option of the holder thereof, at any time, and without the payment of additional consideration by the holder thereof, into such whole number of fully paid and non-assessable shares of Common Stock (calculated as provided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below), as is determined by dividing the applicable Original Issue Price by the applicable Conversion Price (as defined below) in effect at the time of conversion. The “</w:t>
      </w:r>
      <w:r>
        <w:rPr>
          <w:rFonts w:ascii="Times New Roman" w:cs="Times New Roman" w:eastAsia="Times New Roman" w:hAnsi="Times New Roman"/>
          <w:sz w:val="14"/>
          <w:szCs w:val="14"/>
          <w:b w:val="1"/>
          <w:bCs w:val="1"/>
          <w:color w:val="auto"/>
        </w:rPr>
        <w:t>Conversion Price</w:t>
      </w:r>
      <w:r>
        <w:rPr>
          <w:rFonts w:ascii="Times New Roman" w:cs="Times New Roman" w:eastAsia="Times New Roman" w:hAnsi="Times New Roman"/>
          <w:sz w:val="14"/>
          <w:szCs w:val="14"/>
          <w:color w:val="auto"/>
        </w:rPr>
        <w:t xml:space="preserve">” applicable to the Series A-1 Preferred Stock, the Series A-2 Preferred Stock, and the Series B Preferred Stock as of the Original Issue Date shall be equal to $0.10, $3.80, and $4.75, respectively, per share. Such initial Conversion Price for the Series A-1 Preferred Stock, the Series A-2 Preferred Stock, and the Series B Preferred Stock, and the rate at which shares of the Series A-1 Preferred Stock, the Series A-2 Preferred Stock, and the Series B Preferred Stock may be converted into shares of Common Stock, shall be subject to adjustment as provided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In the event that, on or prior to March 31, 2026, the first patient is not dosed in a placebo-controlled phase 2 study for SPT-300 in major depressive disorder (which study includes activated sites in the United States) and the Conversion Price for the Series B Preferred Stock at such time exceeds $3.80 per share, then the Conversion Price for the Series B Preferred Stock will be automatically reduced to $3.80 per share (in each case, subject to appropriate adjustment in the event of any stock dividend, stock split, combination or other similar recapitalization with respect to the Common Stock and calculated on an as-converted to Common Stock basis).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300" w:name="page301"/>
    <w:bookmarkEnd w:id="300"/>
    <w:p>
      <w:pPr>
        <w:ind w:left="220" w:right="239" w:firstLine="1544"/>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4.1.2 </w:t>
      </w:r>
      <w:r>
        <w:rPr>
          <w:rFonts w:ascii="Times New Roman" w:cs="Times New Roman" w:eastAsia="Times New Roman" w:hAnsi="Times New Roman"/>
          <w:sz w:val="14"/>
          <w:szCs w:val="14"/>
          <w:u w:val="single" w:color="auto"/>
          <w:color w:val="auto"/>
        </w:rPr>
        <w:t>Termination of Conversion Rights</w:t>
      </w:r>
      <w:r>
        <w:rPr>
          <w:rFonts w:ascii="Times New Roman" w:cs="Times New Roman" w:eastAsia="Times New Roman" w:hAnsi="Times New Roman"/>
          <w:sz w:val="14"/>
          <w:szCs w:val="14"/>
          <w:color w:val="auto"/>
        </w:rPr>
        <w:t xml:space="preserve">. In the event of a notice of redemption of any shares of Preferred Stock pursuant to </w:t>
      </w:r>
      <w:r>
        <w:rPr>
          <w:rFonts w:ascii="Times New Roman" w:cs="Times New Roman" w:eastAsia="Times New Roman" w:hAnsi="Times New Roman"/>
          <w:sz w:val="14"/>
          <w:szCs w:val="14"/>
          <w:u w:val="single" w:color="auto"/>
          <w:color w:val="auto"/>
        </w:rPr>
        <w:t>Section 2.3.2(b)</w:t>
      </w:r>
      <w:r>
        <w:rPr>
          <w:rFonts w:ascii="Times New Roman" w:cs="Times New Roman" w:eastAsia="Times New Roman" w:hAnsi="Times New Roman"/>
          <w:sz w:val="14"/>
          <w:szCs w:val="14"/>
          <w:color w:val="auto"/>
        </w:rPr>
        <w:t xml:space="preserve">,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provided that the foregoing termination of Conversion Rights shall not affect the amount(s) otherwise paid or payable in accordance with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to the holders of Preferred Stock pursuant to such liquidation, dissolution or winding up of the Corporation or a Deemed Liquidation Event.</w:t>
      </w:r>
    </w:p>
    <w:p>
      <w:pPr>
        <w:spacing w:after="0" w:line="145" w:lineRule="exact"/>
        <w:rPr>
          <w:sz w:val="20"/>
          <w:szCs w:val="20"/>
          <w:color w:val="auto"/>
        </w:rPr>
      </w:pPr>
    </w:p>
    <w:p>
      <w:pPr>
        <w:ind w:left="220" w:right="299" w:firstLine="1115"/>
        <w:spacing w:after="0" w:line="283"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Number of Shares Issuable Upon Conversion</w:t>
      </w:r>
      <w:r>
        <w:rPr>
          <w:rFonts w:ascii="Times New Roman" w:cs="Times New Roman" w:eastAsia="Times New Roman" w:hAnsi="Times New Roman"/>
          <w:sz w:val="13"/>
          <w:szCs w:val="13"/>
          <w:color w:val="auto"/>
        </w:rPr>
        <w:t xml:space="preserve">. The number of shares of Common Stock issuable to a holder of Preferred Stock upon conversion of such Preferred Stock shall be rounded to the nearest whole share, after aggregating all fractional interests in shares of Common Stock that would otherwise be issuable upon conversion of all shares of that same series of Preferred Stock being converted by such holder (with any fractional interests after such aggregation representing 0.5 or greater of a whole share being entitled to a whole share). For the avoidance of doubt, no fractional interests in shares of Common Stock shall be created or issuable as a result of the conversion of the Preferred Stock pursuant to </w:t>
      </w:r>
      <w:r>
        <w:rPr>
          <w:rFonts w:ascii="Times New Roman" w:cs="Times New Roman" w:eastAsia="Times New Roman" w:hAnsi="Times New Roman"/>
          <w:sz w:val="13"/>
          <w:szCs w:val="13"/>
          <w:u w:val="single" w:color="auto"/>
          <w:color w:val="auto"/>
        </w:rPr>
        <w:t>Section 4.1.1</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Mechanics of Conversion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1544"/>
        <w:spacing w:after="0" w:line="252" w:lineRule="auto"/>
        <w:rPr>
          <w:sz w:val="20"/>
          <w:szCs w:val="20"/>
          <w:color w:val="auto"/>
        </w:rPr>
      </w:pPr>
      <w:r>
        <w:rPr>
          <w:rFonts w:ascii="Times New Roman" w:cs="Times New Roman" w:eastAsia="Times New Roman" w:hAnsi="Times New Roman"/>
          <w:sz w:val="14"/>
          <w:szCs w:val="14"/>
          <w:color w:val="auto"/>
        </w:rPr>
        <w:t xml:space="preserve">4.3.1 </w:t>
      </w:r>
      <w:r>
        <w:rPr>
          <w:rFonts w:ascii="Times New Roman" w:cs="Times New Roman" w:eastAsia="Times New Roman" w:hAnsi="Times New Roman"/>
          <w:sz w:val="14"/>
          <w:szCs w:val="14"/>
          <w:u w:val="single" w:color="auto"/>
          <w:color w:val="auto"/>
        </w:rPr>
        <w:t>Notice of Conversion</w:t>
      </w:r>
      <w:r>
        <w:rPr>
          <w:rFonts w:ascii="Times New Roman" w:cs="Times New Roman" w:eastAsia="Times New Roman" w:hAnsi="Times New Roman"/>
          <w:sz w:val="14"/>
          <w:szCs w:val="14"/>
          <w:color w:val="auto"/>
        </w:rPr>
        <w:t>. In order for a holder of Preferred Stock to voluntarily convert shares of Preferred Stock into shares of Common S 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Unless a later time and date is otherwise specified by the Corporation,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4"/>
          <w:szCs w:val="14"/>
          <w:b w:val="1"/>
          <w:bCs w:val="1"/>
          <w:color w:val="auto"/>
        </w:rPr>
        <w:t>Conversion Time</w:t>
      </w:r>
      <w:r>
        <w:rPr>
          <w:rFonts w:ascii="Times New Roman" w:cs="Times New Roman" w:eastAsia="Times New Roman" w:hAnsi="Times New Roman"/>
          <w:sz w:val="14"/>
          <w:szCs w:val="14"/>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and (ii) pay all declared but unpaid dividends on the shares of Preferred Stock converted.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301" w:name="page302"/>
    <w:bookmarkEnd w:id="301"/>
    <w:p>
      <w:pPr>
        <w:ind w:left="220" w:right="239" w:firstLine="1544"/>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4.3.2 </w:t>
      </w:r>
      <w:r>
        <w:rPr>
          <w:rFonts w:ascii="Times New Roman" w:cs="Times New Roman" w:eastAsia="Times New Roman" w:hAnsi="Times New Roman"/>
          <w:sz w:val="14"/>
          <w:szCs w:val="14"/>
          <w:u w:val="single" w:color="auto"/>
          <w:color w:val="auto"/>
        </w:rPr>
        <w:t>Reservation of Shares</w:t>
      </w:r>
      <w:r>
        <w:rPr>
          <w:rFonts w:ascii="Times New Roman" w:cs="Times New Roman" w:eastAsia="Times New Roman" w:hAnsi="Times New Roman"/>
          <w:sz w:val="14"/>
          <w:szCs w:val="14"/>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that would cause an adjustment reducing the Conversion Price for any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46" w:lineRule="exact"/>
        <w:rPr>
          <w:sz w:val="20"/>
          <w:szCs w:val="20"/>
          <w:color w:val="auto"/>
        </w:rPr>
      </w:pPr>
    </w:p>
    <w:p>
      <w:pPr>
        <w:ind w:left="220" w:right="299" w:firstLine="1544"/>
        <w:spacing w:after="0" w:line="261" w:lineRule="auto"/>
        <w:rPr>
          <w:sz w:val="20"/>
          <w:szCs w:val="20"/>
          <w:color w:val="auto"/>
        </w:rPr>
      </w:pPr>
      <w:r>
        <w:rPr>
          <w:rFonts w:ascii="Times New Roman" w:cs="Times New Roman" w:eastAsia="Times New Roman" w:hAnsi="Times New Roman"/>
          <w:sz w:val="14"/>
          <w:szCs w:val="14"/>
          <w:color w:val="auto"/>
        </w:rPr>
        <w:t xml:space="preserve">4.3.3 </w:t>
      </w:r>
      <w:r>
        <w:rPr>
          <w:rFonts w:ascii="Times New Roman" w:cs="Times New Roman" w:eastAsia="Times New Roman" w:hAnsi="Times New Roman"/>
          <w:sz w:val="14"/>
          <w:szCs w:val="14"/>
          <w:u w:val="single" w:color="auto"/>
          <w:color w:val="auto"/>
        </w:rPr>
        <w:t>Effect of Conversion</w:t>
      </w:r>
      <w:r>
        <w:rPr>
          <w:rFonts w:ascii="Times New Roman" w:cs="Times New Roman" w:eastAsia="Times New Roman" w:hAnsi="Times New Roman"/>
          <w:sz w:val="14"/>
          <w:szCs w:val="14"/>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w:t>
      </w:r>
    </w:p>
    <w:p>
      <w:pPr>
        <w:spacing w:after="0" w:line="141" w:lineRule="exact"/>
        <w:rPr>
          <w:sz w:val="20"/>
          <w:szCs w:val="20"/>
          <w:color w:val="auto"/>
        </w:rPr>
      </w:pPr>
    </w:p>
    <w:p>
      <w:pPr>
        <w:ind w:left="220" w:right="239" w:firstLine="1544"/>
        <w:spacing w:after="0" w:line="283" w:lineRule="auto"/>
        <w:rPr>
          <w:sz w:val="20"/>
          <w:szCs w:val="20"/>
          <w:color w:val="auto"/>
        </w:rPr>
      </w:pPr>
      <w:r>
        <w:rPr>
          <w:rFonts w:ascii="Times New Roman" w:cs="Times New Roman" w:eastAsia="Times New Roman" w:hAnsi="Times New Roman"/>
          <w:sz w:val="14"/>
          <w:szCs w:val="14"/>
          <w:color w:val="auto"/>
        </w:rPr>
        <w:t xml:space="preserve">4.3.4 </w:t>
      </w:r>
      <w:r>
        <w:rPr>
          <w:rFonts w:ascii="Times New Roman" w:cs="Times New Roman" w:eastAsia="Times New Roman" w:hAnsi="Times New Roman"/>
          <w:sz w:val="14"/>
          <w:szCs w:val="14"/>
          <w:u w:val="single" w:color="auto"/>
          <w:color w:val="auto"/>
        </w:rPr>
        <w:t>No Further Adjustment</w:t>
      </w:r>
      <w:r>
        <w:rPr>
          <w:rFonts w:ascii="Times New Roman" w:cs="Times New Roman" w:eastAsia="Times New Roman" w:hAnsi="Times New Roman"/>
          <w:sz w:val="14"/>
          <w:szCs w:val="14"/>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25" w:lineRule="exact"/>
        <w:rPr>
          <w:sz w:val="20"/>
          <w:szCs w:val="20"/>
          <w:color w:val="auto"/>
        </w:rPr>
      </w:pPr>
    </w:p>
    <w:p>
      <w:pPr>
        <w:ind w:left="220" w:right="279" w:firstLine="1544"/>
        <w:spacing w:after="0" w:line="257" w:lineRule="auto"/>
        <w:rPr>
          <w:sz w:val="20"/>
          <w:szCs w:val="20"/>
          <w:color w:val="auto"/>
        </w:rPr>
      </w:pPr>
      <w:r>
        <w:rPr>
          <w:rFonts w:ascii="Times New Roman" w:cs="Times New Roman" w:eastAsia="Times New Roman" w:hAnsi="Times New Roman"/>
          <w:sz w:val="14"/>
          <w:szCs w:val="14"/>
          <w:color w:val="auto"/>
        </w:rPr>
        <w:t xml:space="preserve">4.3.5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302" w:name="page303"/>
    <w:bookmarkEnd w:id="302"/>
    <w:p>
      <w:pPr>
        <w:ind w:left="1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4.4 </w:t>
      </w:r>
      <w:r>
        <w:rPr>
          <w:rFonts w:ascii="Times New Roman" w:cs="Times New Roman" w:eastAsia="Times New Roman" w:hAnsi="Times New Roman"/>
          <w:sz w:val="14"/>
          <w:szCs w:val="14"/>
          <w:u w:val="single" w:color="auto"/>
          <w:color w:val="auto"/>
        </w:rPr>
        <w:t>Adjustments to Preferred Stock Conversion Price for Diluting Issues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 xml:space="preserve">4.4.1 </w:t>
      </w:r>
      <w:r>
        <w:rPr>
          <w:rFonts w:ascii="Times New Roman" w:cs="Times New Roman" w:eastAsia="Times New Roman" w:hAnsi="Times New Roman"/>
          <w:sz w:val="14"/>
          <w:szCs w:val="14"/>
          <w:u w:val="single" w:color="auto"/>
          <w:color w:val="auto"/>
        </w:rPr>
        <w:t>Special Definitions</w:t>
      </w:r>
      <w:r>
        <w:rPr>
          <w:rFonts w:ascii="Times New Roman" w:cs="Times New Roman" w:eastAsia="Times New Roman" w:hAnsi="Times New Roman"/>
          <w:sz w:val="14"/>
          <w:szCs w:val="14"/>
          <w:color w:val="auto"/>
        </w:rPr>
        <w:t xml:space="preserve">. For purposes of this </w:t>
      </w:r>
      <w:r>
        <w:rPr>
          <w:rFonts w:ascii="Times New Roman" w:cs="Times New Roman" w:eastAsia="Times New Roman" w:hAnsi="Times New Roman"/>
          <w:sz w:val="14"/>
          <w:szCs w:val="14"/>
          <w:u w:val="single" w:color="auto"/>
          <w:color w:val="auto"/>
        </w:rPr>
        <w:t>Article Fourth</w:t>
      </w:r>
      <w:r>
        <w:rPr>
          <w:rFonts w:ascii="Times New Roman" w:cs="Times New Roman" w:eastAsia="Times New Roman" w:hAnsi="Times New Roman"/>
          <w:sz w:val="14"/>
          <w:szCs w:val="14"/>
          <w:color w:val="auto"/>
        </w:rPr>
        <w:t>, the following definitions shall apply:</w:t>
      </w:r>
    </w:p>
    <w:p>
      <w:pPr>
        <w:spacing w:after="0" w:line="173" w:lineRule="exact"/>
        <w:rPr>
          <w:sz w:val="20"/>
          <w:szCs w:val="20"/>
          <w:color w:val="auto"/>
        </w:rPr>
      </w:pPr>
    </w:p>
    <w:p>
      <w:pPr>
        <w:jc w:val="both"/>
        <w:ind w:left="220" w:right="359" w:firstLine="1882"/>
        <w:spacing w:after="0" w:line="262" w:lineRule="auto"/>
        <w:tabs>
          <w:tab w:leader="none" w:pos="2298"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Shares of Common Stock</w:t>
      </w:r>
      <w:r>
        <w:rPr>
          <w:rFonts w:ascii="Times New Roman" w:cs="Times New Roman" w:eastAsia="Times New Roman" w:hAnsi="Times New Roman"/>
          <w:sz w:val="14"/>
          <w:szCs w:val="14"/>
          <w:color w:val="auto"/>
        </w:rPr>
        <w:t xml:space="preserve">” means all shares of Common Stock issued (or, pursuant to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xml:space="preserve"> below, deemed to be issued) by the Corporation after the Original Issue Date (as defined below),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4"/>
          <w:szCs w:val="14"/>
          <w:b w:val="1"/>
          <w:bCs w:val="1"/>
          <w:color w:val="auto"/>
        </w:rPr>
        <w:t>Exempted Securities</w:t>
      </w:r>
      <w:r>
        <w:rPr>
          <w:rFonts w:ascii="Times New Roman" w:cs="Times New Roman" w:eastAsia="Times New Roman" w:hAnsi="Times New Roman"/>
          <w:sz w:val="14"/>
          <w:szCs w:val="14"/>
          <w:color w:val="auto"/>
        </w:rPr>
        <w:t>”):</w:t>
      </w:r>
    </w:p>
    <w:p>
      <w:pPr>
        <w:spacing w:after="0" w:line="66" w:lineRule="exact"/>
        <w:rPr>
          <w:rFonts w:ascii="Times New Roman" w:cs="Times New Roman" w:eastAsia="Times New Roman" w:hAnsi="Times New Roman"/>
          <w:sz w:val="14"/>
          <w:szCs w:val="14"/>
          <w:color w:val="auto"/>
        </w:rPr>
      </w:pPr>
    </w:p>
    <w:p>
      <w:pPr>
        <w:ind w:left="2860" w:right="279" w:hanging="416"/>
        <w:spacing w:after="0" w:line="261" w:lineRule="auto"/>
        <w:tabs>
          <w:tab w:leader="none" w:pos="28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any series of Preferred Stock, shares of Common Stock, Options or Convertible Securities issued as a dividend or distribution on such series of Preferred Stock (including dividends payable in connection with dividends on other classes or series of stock) or Common Stock issued upon conversion of such series of Preferred Stock;</w:t>
      </w:r>
    </w:p>
    <w:p>
      <w:pPr>
        <w:spacing w:after="0" w:line="67" w:lineRule="exact"/>
        <w:rPr>
          <w:rFonts w:ascii="Times New Roman" w:cs="Times New Roman" w:eastAsia="Times New Roman" w:hAnsi="Times New Roman"/>
          <w:sz w:val="14"/>
          <w:szCs w:val="14"/>
          <w:color w:val="auto"/>
        </w:rPr>
      </w:pPr>
    </w:p>
    <w:p>
      <w:pPr>
        <w:jc w:val="both"/>
        <w:ind w:left="2860" w:right="359" w:hanging="416"/>
        <w:spacing w:after="0" w:line="283" w:lineRule="auto"/>
        <w:tabs>
          <w:tab w:leader="none" w:pos="28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4.7</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4.8</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jc w:val="both"/>
        <w:ind w:left="2860" w:right="339" w:hanging="416"/>
        <w:spacing w:after="0" w:line="267" w:lineRule="auto"/>
        <w:tabs>
          <w:tab w:leader="none" w:pos="28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issued to banks, equipment lessors or other financial institutions, or to real property lessors, pursuant to a debt financing, equipment leasing or real property leasing transaction approved by the Requisite Directors;</w:t>
      </w:r>
    </w:p>
    <w:p>
      <w:pPr>
        <w:spacing w:after="0" w:line="61" w:lineRule="exact"/>
        <w:rPr>
          <w:rFonts w:ascii="Times New Roman" w:cs="Times New Roman" w:eastAsia="Times New Roman" w:hAnsi="Times New Roman"/>
          <w:sz w:val="14"/>
          <w:szCs w:val="14"/>
          <w:color w:val="auto"/>
        </w:rPr>
      </w:pPr>
    </w:p>
    <w:p>
      <w:pPr>
        <w:ind w:left="2860" w:right="219" w:hanging="416"/>
        <w:spacing w:after="0" w:line="267" w:lineRule="auto"/>
        <w:tabs>
          <w:tab w:leader="none" w:pos="28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or Options issued to employees or directors of, or consultants or advisors to, the Corporation or any of its subsidiaries pursuant to a plan, agreement or arrangement approved by the Requisite Directors;</w:t>
      </w:r>
    </w:p>
    <w:p>
      <w:pPr>
        <w:spacing w:after="0" w:line="61" w:lineRule="exact"/>
        <w:rPr>
          <w:rFonts w:ascii="Times New Roman" w:cs="Times New Roman" w:eastAsia="Times New Roman" w:hAnsi="Times New Roman"/>
          <w:sz w:val="14"/>
          <w:szCs w:val="14"/>
          <w:color w:val="auto"/>
        </w:rPr>
      </w:pPr>
    </w:p>
    <w:p>
      <w:pPr>
        <w:ind w:left="2860" w:right="259" w:hanging="416"/>
        <w:spacing w:after="0" w:line="267" w:lineRule="auto"/>
        <w:tabs>
          <w:tab w:leader="none" w:pos="286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303" w:name="page304"/>
    <w:bookmarkEnd w:id="303"/>
    <w:p>
      <w:pPr>
        <w:ind w:left="2860" w:right="299" w:hanging="416"/>
        <w:spacing w:after="0" w:line="261" w:lineRule="auto"/>
        <w:tabs>
          <w:tab w:leader="none" w:pos="28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shares of Common Stock, Options or Convertible Securities issued as acquisition consideration pursuant to the acquisition of another corporation by the Corporation by merger, purchase of substantially all of the assets or other reorganization or to a joint venture agreement, provided that such issuances are approved by the Requisite Directors;</w:t>
      </w:r>
    </w:p>
    <w:p>
      <w:pPr>
        <w:spacing w:after="0" w:line="67" w:lineRule="exact"/>
        <w:rPr>
          <w:rFonts w:ascii="Times New Roman" w:cs="Times New Roman" w:eastAsia="Times New Roman" w:hAnsi="Times New Roman"/>
          <w:sz w:val="14"/>
          <w:szCs w:val="14"/>
          <w:color w:val="auto"/>
        </w:rPr>
      </w:pPr>
    </w:p>
    <w:p>
      <w:pPr>
        <w:ind w:left="2860" w:hanging="416"/>
        <w:spacing w:after="0"/>
        <w:tabs>
          <w:tab w:leader="none" w:pos="28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issued in connection with an IPO;</w:t>
      </w:r>
    </w:p>
    <w:p>
      <w:pPr>
        <w:spacing w:after="0" w:line="101" w:lineRule="exact"/>
        <w:rPr>
          <w:rFonts w:ascii="Times New Roman" w:cs="Times New Roman" w:eastAsia="Times New Roman" w:hAnsi="Times New Roman"/>
          <w:sz w:val="14"/>
          <w:szCs w:val="14"/>
          <w:color w:val="auto"/>
        </w:rPr>
      </w:pPr>
    </w:p>
    <w:p>
      <w:pPr>
        <w:ind w:left="2860" w:right="339" w:hanging="416"/>
        <w:spacing w:after="0" w:line="267" w:lineRule="auto"/>
        <w:tabs>
          <w:tab w:leader="none" w:pos="28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issued in connection with sponsored research, collaboration, technology license, development, OEM, marketing or other similar agreements, or strategic partnerships approved by the Requisite Directors; and</w:t>
      </w:r>
    </w:p>
    <w:p>
      <w:pPr>
        <w:spacing w:after="0" w:line="61" w:lineRule="exact"/>
        <w:rPr>
          <w:rFonts w:ascii="Times New Roman" w:cs="Times New Roman" w:eastAsia="Times New Roman" w:hAnsi="Times New Roman"/>
          <w:sz w:val="14"/>
          <w:szCs w:val="14"/>
          <w:color w:val="auto"/>
        </w:rPr>
      </w:pPr>
    </w:p>
    <w:p>
      <w:pPr>
        <w:ind w:left="2860" w:right="719" w:hanging="416"/>
        <w:spacing w:after="0" w:line="283" w:lineRule="auto"/>
        <w:tabs>
          <w:tab w:leader="none" w:pos="286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Options or Convertible Securities deemed at the time of issuance to be Exempted Securities by the consent of the Requisite Holders.</w:t>
      </w:r>
    </w:p>
    <w:p>
      <w:pPr>
        <w:spacing w:after="0" w:line="122" w:lineRule="exact"/>
        <w:rPr>
          <w:rFonts w:ascii="Times New Roman" w:cs="Times New Roman" w:eastAsia="Times New Roman" w:hAnsi="Times New Roman"/>
          <w:sz w:val="14"/>
          <w:szCs w:val="14"/>
          <w:color w:val="auto"/>
        </w:rPr>
      </w:pPr>
    </w:p>
    <w:p>
      <w:pPr>
        <w:ind w:left="220" w:right="499" w:firstLine="1882"/>
        <w:spacing w:after="0" w:line="286" w:lineRule="auto"/>
        <w:tabs>
          <w:tab w:leader="none" w:pos="2305"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Convertible Securities</w:t>
      </w:r>
      <w:r>
        <w:rPr>
          <w:rFonts w:ascii="Times New Roman" w:cs="Times New Roman" w:eastAsia="Times New Roman" w:hAnsi="Times New Roman"/>
          <w:sz w:val="14"/>
          <w:szCs w:val="14"/>
          <w:color w:val="auto"/>
        </w:rPr>
        <w:t>” means any evidences of indebtedness, shares or other securities directly or indirectly convertible into or exchangeable for Common Stock, but excluding Options.</w:t>
      </w:r>
    </w:p>
    <w:p>
      <w:pPr>
        <w:spacing w:after="0" w:line="120" w:lineRule="exact"/>
        <w:rPr>
          <w:rFonts w:ascii="Times New Roman" w:cs="Times New Roman" w:eastAsia="Times New Roman" w:hAnsi="Times New Roman"/>
          <w:sz w:val="14"/>
          <w:szCs w:val="14"/>
          <w:color w:val="auto"/>
        </w:rPr>
      </w:pPr>
    </w:p>
    <w:p>
      <w:pPr>
        <w:ind w:left="2300" w:hanging="198"/>
        <w:spacing w:after="0"/>
        <w:tabs>
          <w:tab w:leader="none" w:pos="230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means the Corporation’s first underwritten public offering of its Common Stock under the Securities Act.</w:t>
      </w:r>
    </w:p>
    <w:p>
      <w:pPr>
        <w:spacing w:after="0" w:line="175" w:lineRule="exact"/>
        <w:rPr>
          <w:rFonts w:ascii="Times New Roman" w:cs="Times New Roman" w:eastAsia="Times New Roman" w:hAnsi="Times New Roman"/>
          <w:sz w:val="14"/>
          <w:szCs w:val="14"/>
          <w:color w:val="auto"/>
        </w:rPr>
      </w:pPr>
    </w:p>
    <w:p>
      <w:pPr>
        <w:ind w:left="2300" w:hanging="198"/>
        <w:spacing w:after="0"/>
        <w:tabs>
          <w:tab w:leader="none" w:pos="230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means any rights, options or warrants to subscribe for, purchase or otherwise acquire Common Stock or</w:t>
      </w:r>
    </w:p>
    <w:p>
      <w:pPr>
        <w:spacing w:after="0" w:line="23"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Convertible Securities.</w:t>
      </w:r>
    </w:p>
    <w:p>
      <w:pPr>
        <w:spacing w:after="0" w:line="158" w:lineRule="exact"/>
        <w:rPr>
          <w:rFonts w:ascii="Times New Roman" w:cs="Times New Roman" w:eastAsia="Times New Roman" w:hAnsi="Times New Roman"/>
          <w:sz w:val="14"/>
          <w:szCs w:val="14"/>
          <w:color w:val="auto"/>
        </w:rPr>
      </w:pPr>
    </w:p>
    <w:p>
      <w:pPr>
        <w:ind w:left="2300" w:hanging="198"/>
        <w:spacing w:after="0"/>
        <w:tabs>
          <w:tab w:leader="none" w:pos="230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Original Issue Date</w:t>
      </w:r>
      <w:r>
        <w:rPr>
          <w:rFonts w:ascii="Times New Roman" w:cs="Times New Roman" w:eastAsia="Times New Roman" w:hAnsi="Times New Roman"/>
          <w:sz w:val="14"/>
          <w:szCs w:val="14"/>
          <w:color w:val="auto"/>
        </w:rPr>
        <w:t>” means the date on which the first share of Series B Preferred Stock is issued.</w:t>
      </w:r>
    </w:p>
    <w:p>
      <w:pPr>
        <w:spacing w:after="0" w:line="177" w:lineRule="exact"/>
        <w:rPr>
          <w:sz w:val="20"/>
          <w:szCs w:val="20"/>
          <w:color w:val="auto"/>
        </w:rPr>
      </w:pPr>
    </w:p>
    <w:p>
      <w:pPr>
        <w:ind w:left="220" w:right="299" w:firstLine="1544"/>
        <w:spacing w:after="0" w:line="258" w:lineRule="auto"/>
        <w:rPr>
          <w:sz w:val="20"/>
          <w:szCs w:val="20"/>
          <w:color w:val="auto"/>
        </w:rPr>
      </w:pPr>
      <w:r>
        <w:rPr>
          <w:rFonts w:ascii="Times New Roman" w:cs="Times New Roman" w:eastAsia="Times New Roman" w:hAnsi="Times New Roman"/>
          <w:sz w:val="14"/>
          <w:szCs w:val="14"/>
          <w:color w:val="auto"/>
        </w:rPr>
        <w:t xml:space="preserve">4.4.2 </w:t>
      </w:r>
      <w:r>
        <w:rPr>
          <w:rFonts w:ascii="Times New Roman" w:cs="Times New Roman" w:eastAsia="Times New Roman" w:hAnsi="Times New Roman"/>
          <w:sz w:val="14"/>
          <w:szCs w:val="14"/>
          <w:u w:val="single" w:color="auto"/>
          <w:color w:val="auto"/>
        </w:rPr>
        <w:t>No Adjustment of Preferred Stock Conversion Price</w:t>
      </w:r>
      <w:r>
        <w:rPr>
          <w:rFonts w:ascii="Times New Roman" w:cs="Times New Roman" w:eastAsia="Times New Roman" w:hAnsi="Times New Roman"/>
          <w:sz w:val="14"/>
          <w:szCs w:val="14"/>
          <w:color w:val="auto"/>
        </w:rPr>
        <w:t>. No adjustment in the Conversion Price of a series of Preferred Stock shall be made as the result of the issuance or deemed issuance of Additional Shares of Common Stock if the Corporation receives written notice from the holders of at least a majority of the outstanding shares of such series of Preferred Stock, voting together as a single class, and, solely in respect of an adjustment in the Conversion Price of the Series B Preferred Stock, the Series B Majority, agreeing that no such adjustment shall be made as the result of the issuance or deemed issuance of such Additional Shares of Common Stock.</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304" w:name="page305"/>
    <w:bookmarkEnd w:id="304"/>
    <w:p>
      <w:pPr>
        <w:ind w:left="17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4.4.3 </w:t>
      </w:r>
      <w:r>
        <w:rPr>
          <w:rFonts w:ascii="Times New Roman" w:cs="Times New Roman" w:eastAsia="Times New Roman" w:hAnsi="Times New Roman"/>
          <w:sz w:val="14"/>
          <w:szCs w:val="14"/>
          <w:u w:val="single" w:color="auto"/>
          <w:color w:val="auto"/>
        </w:rPr>
        <w:t>Deemed Issue of Additional Shares of Common Stock</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1882"/>
        <w:spacing w:after="0" w:line="255" w:lineRule="auto"/>
        <w:tabs>
          <w:tab w:leader="none" w:pos="2298"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45" w:lineRule="exact"/>
        <w:rPr>
          <w:rFonts w:ascii="Times New Roman" w:cs="Times New Roman" w:eastAsia="Times New Roman" w:hAnsi="Times New Roman"/>
          <w:sz w:val="14"/>
          <w:szCs w:val="14"/>
          <w:color w:val="auto"/>
        </w:rPr>
      </w:pPr>
    </w:p>
    <w:p>
      <w:pPr>
        <w:ind w:left="220" w:right="219" w:firstLine="1882"/>
        <w:spacing w:after="0" w:line="253" w:lineRule="auto"/>
        <w:tabs>
          <w:tab w:leader="none" w:pos="2305"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terms of any Option or Convertible Security, the issuance of which resulted in an adjustment to the Conversion Price of any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for such series of Preferred Stock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4"/>
          <w:szCs w:val="14"/>
          <w:u w:val="single" w:color="auto"/>
          <w:color w:val="auto"/>
        </w:rPr>
        <w:t>Section 4.4.3(b)</w:t>
      </w:r>
      <w:r>
        <w:rPr>
          <w:rFonts w:ascii="Times New Roman" w:cs="Times New Roman" w:eastAsia="Times New Roman" w:hAnsi="Times New Roman"/>
          <w:sz w:val="14"/>
          <w:szCs w:val="14"/>
          <w:color w:val="auto"/>
        </w:rPr>
        <w:t xml:space="preserve"> shall have the effect of increasing the Conversion Price applicable to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47" w:lineRule="exact"/>
        <w:rPr>
          <w:rFonts w:ascii="Times New Roman" w:cs="Times New Roman" w:eastAsia="Times New Roman" w:hAnsi="Times New Roman"/>
          <w:sz w:val="14"/>
          <w:szCs w:val="14"/>
          <w:color w:val="auto"/>
        </w:rPr>
      </w:pPr>
    </w:p>
    <w:p>
      <w:pPr>
        <w:ind w:left="220" w:right="239" w:firstLine="1882"/>
        <w:spacing w:after="0" w:line="261" w:lineRule="auto"/>
        <w:tabs>
          <w:tab w:leader="none" w:pos="2298"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xml:space="preserve"> (either because the consideration per share (determined pursuant to </w:t>
      </w:r>
      <w:r>
        <w:rPr>
          <w:rFonts w:ascii="Times New Roman" w:cs="Times New Roman" w:eastAsia="Times New Roman" w:hAnsi="Times New Roman"/>
          <w:sz w:val="14"/>
          <w:szCs w:val="14"/>
          <w:u w:val="single" w:color="auto"/>
          <w:color w:val="auto"/>
        </w:rPr>
        <w:t>Section 4.4.5</w:t>
      </w:r>
      <w:r>
        <w:rPr>
          <w:rFonts w:ascii="Times New Roman" w:cs="Times New Roman" w:eastAsia="Times New Roman" w:hAnsi="Times New Roman"/>
          <w:sz w:val="14"/>
          <w:szCs w:val="14"/>
          <w:color w:val="auto"/>
        </w:rPr>
        <w:t>) of the Additional Shares of Common Stock subject thereto was equal to or greater than the applicable Conversion Price then in effect, or because such Option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305" w:name="page306"/>
    <w:bookmarkEnd w:id="305"/>
    <w:p>
      <w:pPr>
        <w:ind w:left="22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4"/>
          <w:szCs w:val="14"/>
          <w:u w:val="single" w:color="auto"/>
          <w:color w:val="auto"/>
        </w:rPr>
        <w:t>Section 4.4.3(a)</w:t>
      </w:r>
      <w:r>
        <w:rPr>
          <w:rFonts w:ascii="Times New Roman" w:cs="Times New Roman" w:eastAsia="Times New Roman" w:hAnsi="Times New Roman"/>
          <w:sz w:val="14"/>
          <w:szCs w:val="14"/>
          <w:color w:val="auto"/>
        </w:rPr>
        <w:t xml:space="preserve"> shall be deemed to have been issued effective upon such increase or decrease becoming effective.</w:t>
      </w:r>
    </w:p>
    <w:p>
      <w:pPr>
        <w:spacing w:after="0" w:line="144" w:lineRule="exact"/>
        <w:rPr>
          <w:sz w:val="20"/>
          <w:szCs w:val="20"/>
          <w:color w:val="auto"/>
        </w:rPr>
      </w:pPr>
    </w:p>
    <w:p>
      <w:pPr>
        <w:ind w:left="220" w:right="239" w:firstLine="1882"/>
        <w:spacing w:after="0" w:line="258" w:lineRule="auto"/>
        <w:tabs>
          <w:tab w:leader="none" w:pos="2305"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of any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the Conversion Price of such series of Preferred Stock shall be readjusted to such Conversion Price for such series of Preferred Stock as would have obtained had such Option or Convertible Security (or portion thereof) never been issued.</w:t>
      </w:r>
    </w:p>
    <w:p>
      <w:pPr>
        <w:spacing w:after="0" w:line="143" w:lineRule="exact"/>
        <w:rPr>
          <w:rFonts w:ascii="Times New Roman" w:cs="Times New Roman" w:eastAsia="Times New Roman" w:hAnsi="Times New Roman"/>
          <w:sz w:val="14"/>
          <w:szCs w:val="14"/>
          <w:color w:val="auto"/>
        </w:rPr>
      </w:pPr>
    </w:p>
    <w:p>
      <w:pPr>
        <w:ind w:left="220" w:right="239" w:firstLine="1882"/>
        <w:spacing w:after="0" w:line="253" w:lineRule="auto"/>
        <w:tabs>
          <w:tab w:leader="none" w:pos="2298"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potentially subject to adjustment based upon subsequent events, any adjustment to the Conversion Price of a series of Preferred Stock provided for in this Section 4.4.3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 Option or Convertible Security contains alternative conversion terms, such as a cap on the valuation of the Corporation at which such conversion will be effected, or circumstances where the Option or Convertible Security may be repaid in lieu of conversion, then the number of shares of Common Stock issuable upon the exercise, conversion and/or exchange of such Option or Convertible Security shall be deemed not calculable until such time as the applicable conversion terms are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-1199515</wp:posOffset>
            </wp:positionV>
            <wp:extent cx="20002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0025" cy="6985"/>
                    </a:xfrm>
                    <a:prstGeom prst="rect">
                      <a:avLst/>
                    </a:prstGeom>
                    <a:noFill/>
                  </pic:spPr>
                </pic:pic>
              </a:graphicData>
            </a:graphic>
          </wp:anchor>
        </w:drawing>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306" w:name="page307"/>
    <w:bookmarkEnd w:id="306"/>
    <w:p>
      <w:pPr>
        <w:ind w:left="220" w:right="339" w:firstLine="1544"/>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4.4.4 </w:t>
      </w:r>
      <w:r>
        <w:rPr>
          <w:rFonts w:ascii="Times New Roman" w:cs="Times New Roman" w:eastAsia="Times New Roman" w:hAnsi="Times New Roman"/>
          <w:sz w:val="14"/>
          <w:szCs w:val="14"/>
          <w:u w:val="single" w:color="auto"/>
          <w:color w:val="auto"/>
        </w:rPr>
        <w:t>Adjustment of Conversion Price Upon Issuance of Additional Shares of Common Stock</w:t>
      </w:r>
      <w:r>
        <w:rPr>
          <w:rFonts w:ascii="Times New Roman" w:cs="Times New Roman" w:eastAsia="Times New Roman" w:hAnsi="Times New Roman"/>
          <w:sz w:val="14"/>
          <w:szCs w:val="14"/>
          <w:color w:val="auto"/>
        </w:rPr>
        <w:t xml:space="preserve">. In the event the Corporation shall at any time after the Original Issue Date issue Additional Shares of Common Stock (including Additional Shares of Common Stock deemed to be issued pursuant to </w:t>
      </w:r>
      <w:r>
        <w:rPr>
          <w:rFonts w:ascii="Times New Roman" w:cs="Times New Roman" w:eastAsia="Times New Roman" w:hAnsi="Times New Roman"/>
          <w:sz w:val="14"/>
          <w:szCs w:val="14"/>
          <w:u w:val="single" w:color="auto"/>
          <w:color w:val="auto"/>
        </w:rPr>
        <w:t>Section 4.4.3</w:t>
      </w:r>
      <w:r>
        <w:rPr>
          <w:rFonts w:ascii="Times New Roman" w:cs="Times New Roman" w:eastAsia="Times New Roman" w:hAnsi="Times New Roman"/>
          <w:sz w:val="14"/>
          <w:szCs w:val="14"/>
          <w:color w:val="auto"/>
        </w:rPr>
        <w:t>), without consideration or for a consideration per share less than the Conversion Price of a series of Preferred Stock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w:t>
      </w:r>
    </w:p>
    <w:p>
      <w:pPr>
        <w:spacing w:after="0" w:line="6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 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xml:space="preserve"> * ((A + B) / (A + C)).</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of the foregoing formula, the following definitions shall apply:</w:t>
      </w:r>
    </w:p>
    <w:p>
      <w:pPr>
        <w:spacing w:after="0" w:line="91" w:lineRule="exact"/>
        <w:rPr>
          <w:sz w:val="20"/>
          <w:szCs w:val="20"/>
          <w:color w:val="auto"/>
        </w:rPr>
      </w:pPr>
    </w:p>
    <w:p>
      <w:pPr>
        <w:ind w:left="220" w:right="339" w:firstLine="1882"/>
        <w:spacing w:after="0" w:line="288" w:lineRule="auto"/>
        <w:tabs>
          <w:tab w:leader="none" w:pos="229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shall mean the Conversion Price of such series of Preferred Stock in effect immediately after such issuance or deemed issuance of Additional Shares of Common Stock;</w:t>
      </w:r>
    </w:p>
    <w:p>
      <w:pPr>
        <w:spacing w:after="0" w:line="21" w:lineRule="exact"/>
        <w:rPr>
          <w:rFonts w:ascii="Times New Roman" w:cs="Times New Roman" w:eastAsia="Times New Roman" w:hAnsi="Times New Roman"/>
          <w:sz w:val="14"/>
          <w:szCs w:val="14"/>
          <w:color w:val="auto"/>
        </w:rPr>
      </w:pPr>
    </w:p>
    <w:p>
      <w:pPr>
        <w:ind w:left="220" w:right="679" w:firstLine="1882"/>
        <w:spacing w:after="0" w:line="289" w:lineRule="auto"/>
        <w:tabs>
          <w:tab w:leader="none" w:pos="2305"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shall mean the Conversion Price of such series of Preferred Stock in effect immediately prior to such issuance or deemed issuance of Additional Shares of Common Stock;</w:t>
      </w:r>
    </w:p>
    <w:p>
      <w:pPr>
        <w:spacing w:after="0" w:line="104" w:lineRule="exact"/>
        <w:rPr>
          <w:rFonts w:ascii="Times New Roman" w:cs="Times New Roman" w:eastAsia="Times New Roman" w:hAnsi="Times New Roman"/>
          <w:sz w:val="14"/>
          <w:szCs w:val="14"/>
          <w:color w:val="auto"/>
        </w:rPr>
      </w:pPr>
    </w:p>
    <w:p>
      <w:pPr>
        <w:jc w:val="both"/>
        <w:ind w:left="220" w:right="259" w:firstLine="1882"/>
        <w:spacing w:after="0" w:line="261" w:lineRule="auto"/>
        <w:tabs>
          <w:tab w:leader="none" w:pos="229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40" w:lineRule="exact"/>
        <w:rPr>
          <w:rFonts w:ascii="Times New Roman" w:cs="Times New Roman" w:eastAsia="Times New Roman" w:hAnsi="Times New Roman"/>
          <w:sz w:val="14"/>
          <w:szCs w:val="14"/>
          <w:color w:val="auto"/>
        </w:rPr>
      </w:pPr>
    </w:p>
    <w:p>
      <w:pPr>
        <w:ind w:left="220" w:right="299" w:firstLine="1882"/>
        <w:spacing w:after="0" w:line="197" w:lineRule="auto"/>
        <w:tabs>
          <w:tab w:leader="none" w:pos="2305"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shall mean the number of shares of Common Stock that would have been issued if such Additional Shares of Common Stock had been issued or deemed issued at a price per share equal to 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xml:space="preserve"> (determined by dividing the aggregate consideration received by the Corporation in respect of such issue by 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4"/>
          <w:szCs w:val="14"/>
          <w:color w:val="auto"/>
        </w:rPr>
        <w:t>); and</w:t>
      </w:r>
    </w:p>
    <w:p>
      <w:pPr>
        <w:spacing w:after="0" w:line="144" w:lineRule="exact"/>
        <w:rPr>
          <w:rFonts w:ascii="Times New Roman" w:cs="Times New Roman" w:eastAsia="Times New Roman" w:hAnsi="Times New Roman"/>
          <w:sz w:val="14"/>
          <w:szCs w:val="14"/>
          <w:color w:val="auto"/>
        </w:rPr>
      </w:pPr>
    </w:p>
    <w:p>
      <w:pPr>
        <w:ind w:left="2300" w:hanging="198"/>
        <w:spacing w:after="0"/>
        <w:tabs>
          <w:tab w:leader="none" w:pos="230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shall mean the number of such Additional Shares of Common Stock issued in such transaction.</w:t>
      </w:r>
    </w:p>
    <w:p>
      <w:pPr>
        <w:spacing w:after="0" w:line="175" w:lineRule="exact"/>
        <w:rPr>
          <w:sz w:val="20"/>
          <w:szCs w:val="20"/>
          <w:color w:val="auto"/>
        </w:rPr>
      </w:pPr>
    </w:p>
    <w:p>
      <w:pPr>
        <w:ind w:left="220" w:right="379" w:firstLine="1544"/>
        <w:spacing w:after="0" w:line="283" w:lineRule="auto"/>
        <w:rPr>
          <w:sz w:val="20"/>
          <w:szCs w:val="20"/>
          <w:color w:val="auto"/>
        </w:rPr>
      </w:pPr>
      <w:r>
        <w:rPr>
          <w:rFonts w:ascii="Times New Roman" w:cs="Times New Roman" w:eastAsia="Times New Roman" w:hAnsi="Times New Roman"/>
          <w:sz w:val="14"/>
          <w:szCs w:val="14"/>
          <w:color w:val="auto"/>
        </w:rPr>
        <w:t xml:space="preserve">4.4.5 </w:t>
      </w:r>
      <w:r>
        <w:rPr>
          <w:rFonts w:ascii="Times New Roman" w:cs="Times New Roman" w:eastAsia="Times New Roman" w:hAnsi="Times New Roman"/>
          <w:sz w:val="14"/>
          <w:szCs w:val="14"/>
          <w:u w:val="single" w:color="auto"/>
          <w:color w:val="auto"/>
        </w:rPr>
        <w:t>Determination of Consideration</w:t>
      </w:r>
      <w:r>
        <w:rPr>
          <w:rFonts w:ascii="Times New Roman" w:cs="Times New Roman" w:eastAsia="Times New Roman" w:hAnsi="Times New Roman"/>
          <w:sz w:val="14"/>
          <w:szCs w:val="14"/>
          <w:color w:val="auto"/>
        </w:rPr>
        <w:t xml:space="preserve">. For purposes of this </w:t>
      </w:r>
      <w:r>
        <w:rPr>
          <w:rFonts w:ascii="Times New Roman" w:cs="Times New Roman" w:eastAsia="Times New Roman" w:hAnsi="Times New Roman"/>
          <w:sz w:val="14"/>
          <w:szCs w:val="14"/>
          <w:u w:val="single" w:color="auto"/>
          <w:color w:val="auto"/>
        </w:rPr>
        <w:t>Section 4.4.5</w:t>
      </w:r>
      <w:r>
        <w:rPr>
          <w:rFonts w:ascii="Times New Roman" w:cs="Times New Roman" w:eastAsia="Times New Roman" w:hAnsi="Times New Roman"/>
          <w:sz w:val="14"/>
          <w:szCs w:val="14"/>
          <w:color w:val="auto"/>
        </w:rPr>
        <w:t>, the consideration received by the Corporation for the issuance or deemed issuance of any Additional Shares of Common Stock shall be computed as follows:</w:t>
      </w:r>
    </w:p>
    <w:p>
      <w:pPr>
        <w:spacing w:after="0" w:line="125" w:lineRule="exact"/>
        <w:rPr>
          <w:sz w:val="20"/>
          <w:szCs w:val="20"/>
          <w:color w:val="auto"/>
        </w:rPr>
      </w:pPr>
    </w:p>
    <w:p>
      <w:pPr>
        <w:ind w:left="2300" w:hanging="198"/>
        <w:spacing w:after="0"/>
        <w:tabs>
          <w:tab w:leader="none" w:pos="23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and Property</w:t>
      </w:r>
      <w:r>
        <w:rPr>
          <w:rFonts w:ascii="Times New Roman" w:cs="Times New Roman" w:eastAsia="Times New Roman" w:hAnsi="Times New Roman"/>
          <w:sz w:val="14"/>
          <w:szCs w:val="14"/>
          <w:color w:val="auto"/>
        </w:rPr>
        <w:t>. Such consideration shall:</w:t>
      </w:r>
    </w:p>
    <w:p>
      <w:pPr>
        <w:spacing w:after="0" w:line="101" w:lineRule="exact"/>
        <w:rPr>
          <w:rFonts w:ascii="Times New Roman" w:cs="Times New Roman" w:eastAsia="Times New Roman" w:hAnsi="Times New Roman"/>
          <w:sz w:val="14"/>
          <w:szCs w:val="14"/>
          <w:color w:val="auto"/>
        </w:rPr>
      </w:pPr>
    </w:p>
    <w:p>
      <w:pPr>
        <w:ind w:left="2860" w:right="339" w:hanging="416"/>
        <w:spacing w:after="0" w:line="283" w:lineRule="auto"/>
        <w:tabs>
          <w:tab w:leader="none" w:pos="2860"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it consists of cash, be computed at the aggregate amount of cash received by the Corporation, excluding amounts paid or payable for accrued interest;</w:t>
      </w:r>
    </w:p>
    <w:p>
      <w:pPr>
        <w:spacing w:after="0" w:line="51" w:lineRule="exact"/>
        <w:rPr>
          <w:rFonts w:ascii="Times New Roman" w:cs="Times New Roman" w:eastAsia="Times New Roman" w:hAnsi="Times New Roman"/>
          <w:sz w:val="14"/>
          <w:szCs w:val="14"/>
          <w:color w:val="auto"/>
        </w:rPr>
      </w:pPr>
    </w:p>
    <w:p>
      <w:pPr>
        <w:ind w:left="2860" w:right="299" w:hanging="416"/>
        <w:spacing w:after="0" w:line="283" w:lineRule="auto"/>
        <w:tabs>
          <w:tab w:leader="none" w:pos="2860"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it consists of property other than cash, be computed at the fair market value thereof at the time of such issue, as determined in good faith by the Requisite Directors;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307" w:name="page308"/>
    <w:bookmarkEnd w:id="307"/>
    <w:p>
      <w:pPr>
        <w:ind w:left="2860" w:right="259" w:hanging="416"/>
        <w:spacing w:after="0" w:line="261" w:lineRule="auto"/>
        <w:tabs>
          <w:tab w:leader="none" w:pos="2860"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as determined in good faith by the Requisite Directors.</w:t>
      </w:r>
    </w:p>
    <w:p>
      <w:pPr>
        <w:spacing w:after="0" w:line="140" w:lineRule="exact"/>
        <w:rPr>
          <w:rFonts w:ascii="Times New Roman" w:cs="Times New Roman" w:eastAsia="Times New Roman" w:hAnsi="Times New Roman"/>
          <w:sz w:val="14"/>
          <w:szCs w:val="14"/>
          <w:color w:val="auto"/>
        </w:rPr>
      </w:pPr>
    </w:p>
    <w:p>
      <w:pPr>
        <w:ind w:left="220" w:right="279" w:firstLine="1882"/>
        <w:spacing w:after="0" w:line="267" w:lineRule="auto"/>
        <w:tabs>
          <w:tab w:leader="none" w:pos="2305"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 and Convertible Securities</w:t>
      </w:r>
      <w:r>
        <w:rPr>
          <w:rFonts w:ascii="Times New Roman" w:cs="Times New Roman" w:eastAsia="Times New Roman" w:hAnsi="Times New Roman"/>
          <w:sz w:val="14"/>
          <w:szCs w:val="14"/>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relating to Options and Convertible Securities, shall be determined by dividing:</w:t>
      </w:r>
    </w:p>
    <w:p>
      <w:pPr>
        <w:spacing w:after="0" w:line="61" w:lineRule="exact"/>
        <w:rPr>
          <w:rFonts w:ascii="Times New Roman" w:cs="Times New Roman" w:eastAsia="Times New Roman" w:hAnsi="Times New Roman"/>
          <w:sz w:val="14"/>
          <w:szCs w:val="14"/>
          <w:color w:val="auto"/>
        </w:rPr>
      </w:pPr>
    </w:p>
    <w:p>
      <w:pPr>
        <w:ind w:left="2860" w:right="299" w:hanging="416"/>
        <w:spacing w:after="0" w:line="256" w:lineRule="auto"/>
        <w:tabs>
          <w:tab w:leader="none" w:pos="2860" w:val="left"/>
        </w:tabs>
        <w:numPr>
          <w:ilvl w:val="1"/>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70" w:lineRule="exact"/>
        <w:rPr>
          <w:sz w:val="20"/>
          <w:szCs w:val="20"/>
          <w:color w:val="auto"/>
        </w:rPr>
      </w:pPr>
    </w:p>
    <w:p>
      <w:pPr>
        <w:ind w:left="2860" w:right="259" w:hanging="416"/>
        <w:spacing w:after="0" w:line="258" w:lineRule="auto"/>
        <w:tabs>
          <w:tab w:leader="none" w:pos="286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308" w:name="page309"/>
    <w:bookmarkEnd w:id="308"/>
    <w:p>
      <w:pPr>
        <w:ind w:left="220" w:right="259" w:firstLine="1544"/>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4.4.6 </w:t>
      </w:r>
      <w:r>
        <w:rPr>
          <w:rFonts w:ascii="Times New Roman" w:cs="Times New Roman" w:eastAsia="Times New Roman" w:hAnsi="Times New Roman"/>
          <w:sz w:val="14"/>
          <w:szCs w:val="14"/>
          <w:u w:val="single" w:color="auto"/>
          <w:color w:val="auto"/>
        </w:rPr>
        <w:t>Multiple Closing Dates</w:t>
      </w:r>
      <w:r>
        <w:rPr>
          <w:rFonts w:ascii="Times New Roman" w:cs="Times New Roman" w:eastAsia="Times New Roman" w:hAnsi="Times New Roman"/>
          <w:sz w:val="14"/>
          <w:szCs w:val="14"/>
          <w:color w:val="auto"/>
        </w:rPr>
        <w:t xml:space="preserve">.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w:t>
      </w:r>
      <w:r>
        <w:rPr>
          <w:rFonts w:ascii="Times New Roman" w:cs="Times New Roman" w:eastAsia="Times New Roman" w:hAnsi="Times New Roman"/>
          <w:sz w:val="14"/>
          <w:szCs w:val="14"/>
          <w:u w:val="single" w:color="auto"/>
          <w:color w:val="auto"/>
        </w:rPr>
        <w:t>Section 4.4.4</w:t>
      </w:r>
      <w:r>
        <w:rPr>
          <w:rFonts w:ascii="Times New Roman" w:cs="Times New Roman" w:eastAsia="Times New Roman" w:hAnsi="Times New Roman"/>
          <w:sz w:val="14"/>
          <w:szCs w:val="14"/>
          <w:color w:val="auto"/>
        </w:rPr>
        <w:t>, and such issuance dates occur within a period of no more than 180 days from the first such issuance to the final such issuance, then, upon the final such issuance, the Conversion Price for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spacing w:after="0" w:line="143" w:lineRule="exact"/>
        <w:rPr>
          <w:sz w:val="20"/>
          <w:szCs w:val="20"/>
          <w:color w:val="auto"/>
        </w:rPr>
      </w:pPr>
    </w:p>
    <w:p>
      <w:pPr>
        <w:ind w:left="220" w:right="219" w:firstLine="1115"/>
        <w:spacing w:after="0" w:line="255"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Adjustment for Stock Splits and Combinations</w:t>
      </w:r>
      <w:r>
        <w:rPr>
          <w:rFonts w:ascii="Times New Roman" w:cs="Times New Roman" w:eastAsia="Times New Roman" w:hAnsi="Times New Roman"/>
          <w:sz w:val="14"/>
          <w:szCs w:val="14"/>
          <w:color w:val="auto"/>
        </w:rPr>
        <w:t xml:space="preserve">. If the Corporation shall at any time or from time to time after the Original Issue Date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shall become effective at the close of business on the date the subdivision or combination becomes effective.</w:t>
      </w:r>
    </w:p>
    <w:p>
      <w:pPr>
        <w:spacing w:after="0" w:line="145" w:lineRule="exact"/>
        <w:rPr>
          <w:sz w:val="20"/>
          <w:szCs w:val="20"/>
          <w:color w:val="auto"/>
        </w:rPr>
      </w:pPr>
    </w:p>
    <w:p>
      <w:pPr>
        <w:ind w:left="220" w:right="259" w:firstLine="1115"/>
        <w:spacing w:after="0" w:line="257"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Adjustment for Certain Dividends and Distributions</w:t>
      </w:r>
      <w:r>
        <w:rPr>
          <w:rFonts w:ascii="Times New Roman" w:cs="Times New Roman" w:eastAsia="Times New Roman" w:hAnsi="Times New Roman"/>
          <w:sz w:val="14"/>
          <w:szCs w:val="14"/>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in the event such a record date shall have been fixed, as of the close of business on such record date, by multiplying the Conversion Price of each such series of Preferred Stock then in effect by a fraction:</w:t>
      </w:r>
    </w:p>
    <w:p>
      <w:pPr>
        <w:spacing w:after="0" w:line="143" w:lineRule="exact"/>
        <w:rPr>
          <w:sz w:val="20"/>
          <w:szCs w:val="20"/>
          <w:color w:val="auto"/>
        </w:rPr>
      </w:pPr>
    </w:p>
    <w:p>
      <w:pPr>
        <w:ind w:left="220" w:right="239" w:firstLine="1539"/>
        <w:spacing w:after="0" w:line="283" w:lineRule="auto"/>
        <w:tabs>
          <w:tab w:leader="none" w:pos="1962"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shall be the total number of shares of Common Stock issued and outstanding immediately prior to the time of such issuance or the close of business on such record date, and</w:t>
      </w:r>
    </w:p>
    <w:p>
      <w:pPr>
        <w:spacing w:after="0" w:line="124" w:lineRule="exact"/>
        <w:rPr>
          <w:rFonts w:ascii="Times New Roman" w:cs="Times New Roman" w:eastAsia="Times New Roman" w:hAnsi="Times New Roman"/>
          <w:sz w:val="14"/>
          <w:szCs w:val="14"/>
          <w:color w:val="auto"/>
        </w:rPr>
      </w:pPr>
    </w:p>
    <w:p>
      <w:pPr>
        <w:ind w:left="220" w:right="239" w:firstLine="1539"/>
        <w:spacing w:after="0" w:line="267" w:lineRule="auto"/>
        <w:tabs>
          <w:tab w:leader="none" w:pos="1962"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36" w:lineRule="exact"/>
        <w:rPr>
          <w:sz w:val="20"/>
          <w:szCs w:val="20"/>
          <w:color w:val="auto"/>
        </w:rPr>
      </w:pPr>
    </w:p>
    <w:p>
      <w:pPr>
        <w:ind w:left="220" w:right="359"/>
        <w:spacing w:after="0" w:line="257" w:lineRule="auto"/>
        <w:rPr>
          <w:sz w:val="20"/>
          <w:szCs w:val="20"/>
          <w:color w:val="auto"/>
        </w:rPr>
      </w:pPr>
      <w:r>
        <w:rPr>
          <w:rFonts w:ascii="Times New Roman" w:cs="Times New Roman" w:eastAsia="Times New Roman" w:hAnsi="Times New Roman"/>
          <w:sz w:val="14"/>
          <w:szCs w:val="14"/>
          <w:color w:val="auto"/>
        </w:rPr>
        <w:t xml:space="preserve">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xml:space="preserve"> as of the time of actual payment of such dividends or distributions; and (b)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309" w:name="page310"/>
    <w:bookmarkEnd w:id="309"/>
    <w:p>
      <w:pPr>
        <w:ind w:left="220" w:right="259" w:firstLine="1115"/>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4.7 </w:t>
      </w:r>
      <w:r>
        <w:rPr>
          <w:rFonts w:ascii="Times New Roman" w:cs="Times New Roman" w:eastAsia="Times New Roman" w:hAnsi="Times New Roman"/>
          <w:sz w:val="14"/>
          <w:szCs w:val="14"/>
          <w:u w:val="single" w:color="auto"/>
          <w:color w:val="auto"/>
        </w:rPr>
        <w:t>Adjustments for Other Dividends and Distributions</w:t>
      </w:r>
      <w:r>
        <w:rPr>
          <w:rFonts w:ascii="Times New Roman" w:cs="Times New Roman" w:eastAsia="Times New Roman" w:hAnsi="Times New Roman"/>
          <w:sz w:val="14"/>
          <w:szCs w:val="14"/>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44" w:lineRule="exact"/>
        <w:rPr>
          <w:sz w:val="20"/>
          <w:szCs w:val="20"/>
          <w:color w:val="auto"/>
        </w:rPr>
      </w:pPr>
    </w:p>
    <w:p>
      <w:pPr>
        <w:ind w:left="220" w:right="279" w:firstLine="1115"/>
        <w:spacing w:after="0" w:line="254"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Adjustment for Merger or Reorganization, etc</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4"/>
          <w:szCs w:val="14"/>
          <w:u w:val="single" w:color="auto"/>
          <w:color w:val="auto"/>
        </w:rPr>
        <w:t>Sections 4.5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4.7</w:t>
      </w:r>
      <w:r>
        <w:rPr>
          <w:rFonts w:ascii="Times New Roman" w:cs="Times New Roman" w:eastAsia="Times New Roman" w:hAnsi="Times New Roman"/>
          <w:sz w:val="14"/>
          <w:szCs w:val="14"/>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(including provisions with respect to changes in and other adjustments of the Conversion Price of each series of Preferred Stock) shall thereafter be applicable, as nearly as reasonably may be, in relation to any securities or other property thereafter deliverable upon the conversion of the Preferred Stock.</w:t>
      </w:r>
    </w:p>
    <w:p>
      <w:pPr>
        <w:spacing w:after="0" w:line="144" w:lineRule="exact"/>
        <w:rPr>
          <w:sz w:val="20"/>
          <w:szCs w:val="20"/>
          <w:color w:val="auto"/>
        </w:rPr>
      </w:pPr>
    </w:p>
    <w:p>
      <w:pPr>
        <w:ind w:left="220" w:right="239" w:firstLine="1115"/>
        <w:spacing w:after="0" w:line="254"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xml:space="preserve">. Upon the occurrence of each adjustment or readjustment of the Conversion Price of a series of Preferred Stock pursuant to this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Corporation at its expense shall, as promptly as reasonably practicable but in any event not later than ten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Conversion Price then in effect for each series of Preferred Stock held by such holder, and (ii) the number of shares of Common Stock and the amount, if any, of other securities, cash or property which then would be received upon the conversion of each such series of Preferred Stock.</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310" w:name="page311"/>
    <w:bookmarkEnd w:id="310"/>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4.10 </w:t>
      </w:r>
      <w:r>
        <w:rPr>
          <w:rFonts w:ascii="Times New Roman" w:cs="Times New Roman" w:eastAsia="Times New Roman" w:hAnsi="Times New Roman"/>
          <w:sz w:val="14"/>
          <w:szCs w:val="14"/>
          <w:u w:val="single" w:color="auto"/>
          <w:color w:val="auto"/>
        </w:rPr>
        <w:t>Notice of Record Date</w:t>
      </w:r>
      <w:r>
        <w:rPr>
          <w:rFonts w:ascii="Times New Roman" w:cs="Times New Roman" w:eastAsia="Times New Roman" w:hAnsi="Times New Roman"/>
          <w:sz w:val="14"/>
          <w:szCs w:val="14"/>
          <w:color w:val="auto"/>
        </w:rPr>
        <w:t>. In the event:</w:t>
      </w:r>
    </w:p>
    <w:p>
      <w:pPr>
        <w:spacing w:after="0" w:line="175" w:lineRule="exact"/>
        <w:rPr>
          <w:sz w:val="20"/>
          <w:szCs w:val="20"/>
          <w:color w:val="auto"/>
        </w:rPr>
      </w:pPr>
    </w:p>
    <w:p>
      <w:pPr>
        <w:jc w:val="both"/>
        <w:ind w:left="220" w:right="279" w:firstLine="1882"/>
        <w:spacing w:after="0" w:line="267" w:lineRule="auto"/>
        <w:tabs>
          <w:tab w:leader="none" w:pos="2298"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series or any other securities, or to receive any other security; or</w:t>
      </w:r>
    </w:p>
    <w:p>
      <w:pPr>
        <w:spacing w:after="0" w:line="135" w:lineRule="exact"/>
        <w:rPr>
          <w:rFonts w:ascii="Times New Roman" w:cs="Times New Roman" w:eastAsia="Times New Roman" w:hAnsi="Times New Roman"/>
          <w:sz w:val="14"/>
          <w:szCs w:val="14"/>
          <w:color w:val="auto"/>
        </w:rPr>
      </w:pPr>
    </w:p>
    <w:p>
      <w:pPr>
        <w:ind w:left="2300" w:hanging="198"/>
        <w:spacing w:after="0"/>
        <w:tabs>
          <w:tab w:leader="none" w:pos="23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capital reorganization of the Corporation, any reclassification of the Common Stock of the Corporation, or</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Deemed Liquidation Event; or</w:t>
      </w:r>
    </w:p>
    <w:p>
      <w:pPr>
        <w:spacing w:after="0" w:line="160" w:lineRule="exact"/>
        <w:rPr>
          <w:rFonts w:ascii="Times New Roman" w:cs="Times New Roman" w:eastAsia="Times New Roman" w:hAnsi="Times New Roman"/>
          <w:sz w:val="14"/>
          <w:szCs w:val="14"/>
          <w:color w:val="auto"/>
        </w:rPr>
      </w:pPr>
    </w:p>
    <w:p>
      <w:pPr>
        <w:ind w:left="2300" w:hanging="198"/>
        <w:spacing w:after="0"/>
        <w:tabs>
          <w:tab w:leader="none" w:pos="23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voluntary or involuntary dissolution, liquidation or winding-up of the Corporation,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then, and in each such case, the Corporation will send or cause to be sent to the holders of the Preferred Stock a notice specifying, as the case may be,</w:t>
      </w:r>
    </w:p>
    <w:p>
      <w:pPr>
        <w:spacing w:after="0" w:line="22" w:lineRule="exact"/>
        <w:rPr>
          <w:sz w:val="20"/>
          <w:szCs w:val="20"/>
          <w:color w:val="auto"/>
        </w:rPr>
      </w:pPr>
    </w:p>
    <w:p>
      <w:pPr>
        <w:ind w:left="220" w:right="279" w:hanging="5"/>
        <w:spacing w:after="0" w:line="252" w:lineRule="auto"/>
        <w:tabs>
          <w:tab w:leader="none" w:pos="387"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w:t>
      </w:r>
    </w:p>
    <w:p>
      <w:pPr>
        <w:spacing w:after="0" w:line="147" w:lineRule="exact"/>
        <w:rPr>
          <w:rFonts w:ascii="Times New Roman" w:cs="Times New Roman" w:eastAsia="Times New Roman" w:hAnsi="Times New Roman"/>
          <w:sz w:val="14"/>
          <w:szCs w:val="14"/>
          <w:color w:val="auto"/>
        </w:rPr>
      </w:pPr>
    </w:p>
    <w:p>
      <w:pPr>
        <w:ind w:left="1120" w:hanging="133"/>
        <w:spacing w:after="0"/>
        <w:tabs>
          <w:tab w:leader="none" w:pos="1120"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Conversion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39" w:firstLine="1115"/>
        <w:spacing w:after="0" w:line="267"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Trigger Events</w:t>
      </w:r>
      <w:r>
        <w:rPr>
          <w:rFonts w:ascii="Times New Roman" w:cs="Times New Roman" w:eastAsia="Times New Roman" w:hAnsi="Times New Roman"/>
          <w:sz w:val="14"/>
          <w:szCs w:val="14"/>
          <w:color w:val="auto"/>
        </w:rPr>
        <w:t xml:space="preserve">. All outstanding shares of Preferred Stock shall automatically be converted into shares of Common Stock, at the then effective conversion rate as calculated pursuant to </w:t>
      </w:r>
      <w:r>
        <w:rPr>
          <w:rFonts w:ascii="Times New Roman" w:cs="Times New Roman" w:eastAsia="Times New Roman" w:hAnsi="Times New Roman"/>
          <w:sz w:val="14"/>
          <w:szCs w:val="14"/>
          <w:u w:val="single" w:color="auto"/>
          <w:color w:val="auto"/>
        </w:rPr>
        <w:t>Sections 4.1.1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4.2</w:t>
      </w:r>
      <w:r>
        <w:rPr>
          <w:rFonts w:ascii="Times New Roman" w:cs="Times New Roman" w:eastAsia="Times New Roman" w:hAnsi="Times New Roman"/>
          <w:sz w:val="14"/>
          <w:szCs w:val="14"/>
          <w:color w:val="auto"/>
        </w:rPr>
        <w:t>, upon the earliest to occur of (the time of such conversion is referred to herein as the “</w:t>
      </w:r>
      <w:r>
        <w:rPr>
          <w:rFonts w:ascii="Times New Roman" w:cs="Times New Roman" w:eastAsia="Times New Roman" w:hAnsi="Times New Roman"/>
          <w:sz w:val="14"/>
          <w:szCs w:val="14"/>
          <w:b w:val="1"/>
          <w:bCs w:val="1"/>
          <w:color w:val="auto"/>
        </w:rPr>
        <w:t>Mandatory Conversion Time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right="299" w:firstLine="1882"/>
        <w:spacing w:after="0" w:line="257" w:lineRule="auto"/>
        <w:tabs>
          <w:tab w:leader="none" w:pos="2298"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prior to the closing of the sale of shares of Common Stock to the public at a price of at least $5.70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resulting in at least $100,000,000 of gross proceeds to the Corporation and in connection with such offering the shares of Common Stock are listed for trading on the Nasdaq Stock Market, the New York Stock Exchange or another exchange or marketplace approved by the Requisite Directors;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311" w:name="page312"/>
    <w:bookmarkEnd w:id="311"/>
    <w:p>
      <w:pPr>
        <w:ind w:left="21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(b) the date and time, or upon the occurrence of an event, specified by vote or written consent of the Requisite Holders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and the Series B Majority.</w:t>
      </w:r>
    </w:p>
    <w:p>
      <w:pPr>
        <w:spacing w:after="0" w:line="161" w:lineRule="exact"/>
        <w:rPr>
          <w:sz w:val="20"/>
          <w:szCs w:val="20"/>
          <w:color w:val="auto"/>
        </w:rPr>
      </w:pPr>
    </w:p>
    <w:p>
      <w:pPr>
        <w:ind w:left="220" w:right="219" w:firstLine="1115"/>
        <w:spacing w:after="0" w:line="252"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Procedural Requirements</w:t>
      </w:r>
      <w:r>
        <w:rPr>
          <w:rFonts w:ascii="Times New Roman" w:cs="Times New Roman" w:eastAsia="Times New Roman" w:hAnsi="Times New Roman"/>
          <w:sz w:val="14"/>
          <w:szCs w:val="14"/>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Such notice need not be sent in advance of the occurrence of the Mandatory Conversion Time. Upon receipt of such notice, each holder of shares of Preferred Stock being converted that holds such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As soon as practicable after the Mandatory Conversion Time and, if applicable, the surrender of any certificate or certificates (or lost certificate affidavit and agreement) for Preferred Stock, the Corporation shall (a) issue and deliver to such holder of Preferred Stock, or to his, her or its nominees, a certificate or certificates for the number of full shares of Common Stock issuable upon such conversion in accordance with the provisions hereof, and (b) pay any declared but unpaid dividends on the shares of Preferred Stock converted.</w:t>
      </w:r>
    </w:p>
    <w:p>
      <w:pPr>
        <w:spacing w:after="0" w:line="155" w:lineRule="exact"/>
        <w:rPr>
          <w:sz w:val="20"/>
          <w:szCs w:val="20"/>
          <w:color w:val="auto"/>
        </w:rPr>
      </w:pPr>
    </w:p>
    <w:p>
      <w:pPr>
        <w:ind w:left="220" w:right="259" w:firstLine="767"/>
        <w:spacing w:after="0" w:line="283" w:lineRule="auto"/>
        <w:tabs>
          <w:tab w:leader="none" w:pos="1132"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Redemption</w:t>
      </w:r>
      <w:r>
        <w:rPr>
          <w:rFonts w:ascii="Times New Roman" w:cs="Times New Roman" w:eastAsia="Times New Roman" w:hAnsi="Times New Roman"/>
          <w:sz w:val="14"/>
          <w:szCs w:val="14"/>
          <w:color w:val="auto"/>
        </w:rPr>
        <w:t xml:space="preserve">. Other than as set forth in </w:t>
      </w:r>
      <w:r>
        <w:rPr>
          <w:rFonts w:ascii="Times New Roman" w:cs="Times New Roman" w:eastAsia="Times New Roman" w:hAnsi="Times New Roman"/>
          <w:sz w:val="14"/>
          <w:szCs w:val="14"/>
          <w:u w:val="single" w:color="auto"/>
          <w:color w:val="auto"/>
        </w:rPr>
        <w:t>Article Fourth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Part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2.3.2(b)</w:t>
      </w:r>
      <w:r>
        <w:rPr>
          <w:rFonts w:ascii="Times New Roman" w:cs="Times New Roman" w:eastAsia="Times New Roman" w:hAnsi="Times New Roman"/>
          <w:sz w:val="14"/>
          <w:szCs w:val="14"/>
          <w:color w:val="auto"/>
        </w:rPr>
        <w:t>, the Preferred Stock is not redeemable at the option of the holder or the Corporation.</w:t>
      </w:r>
    </w:p>
    <w:p>
      <w:pPr>
        <w:spacing w:after="0" w:line="124"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32"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Redeemed or Otherwise Acquired Shares</w:t>
      </w:r>
      <w:r>
        <w:rPr>
          <w:rFonts w:ascii="Times New Roman" w:cs="Times New Roman" w:eastAsia="Times New Roman" w:hAnsi="Times New Roman"/>
          <w:sz w:val="14"/>
          <w:szCs w:val="14"/>
          <w:color w:val="auto"/>
        </w:rPr>
        <w:t>. Unless approved by the Board of Directors and the Requisite Holders,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 The Corporation may thereafter take such appropriate action (without the need for stockholder action) as may be necessary to reduce the authorized number of shares of Preferred Stock accordingly.</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7" w:lineRule="auto"/>
        <w:tabs>
          <w:tab w:leader="none" w:pos="1132"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Except as otherwise set forth herein, (a)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that would otherwise be required to amend such right, power, preference, or other term.</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312" w:name="page313"/>
    <w:bookmarkEnd w:id="312"/>
    <w:p>
      <w:pPr>
        <w:ind w:left="220" w:right="439" w:firstLine="767"/>
        <w:spacing w:after="0" w:line="267" w:lineRule="auto"/>
        <w:tabs>
          <w:tab w:leader="none" w:pos="113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Notices</w:t>
      </w:r>
      <w:r>
        <w:rPr>
          <w:rFonts w:ascii="Times New Roman" w:cs="Times New Roman" w:eastAsia="Times New Roman" w:hAnsi="Times New Roman"/>
          <w:sz w:val="14"/>
          <w:szCs w:val="14"/>
          <w:color w:val="auto"/>
        </w:rPr>
        <w:t xml:space="preserve">. Any notice required or permitted by the provisions of this </w:t>
      </w:r>
      <w:r>
        <w:rPr>
          <w:rFonts w:ascii="Times New Roman" w:cs="Times New Roman" w:eastAsia="Times New Roman" w:hAnsi="Times New Roman"/>
          <w:sz w:val="14"/>
          <w:szCs w:val="14"/>
          <w:u w:val="single" w:color="auto"/>
          <w:color w:val="auto"/>
        </w:rPr>
        <w:t>Article Fourth</w:t>
      </w:r>
      <w:r>
        <w:rPr>
          <w:rFonts w:ascii="Times New Roman" w:cs="Times New Roman" w:eastAsia="Times New Roman" w:hAnsi="Times New Roman"/>
          <w:sz w:val="14"/>
          <w:szCs w:val="14"/>
          <w:color w:val="auto"/>
        </w:rPr>
        <w:t xml:space="preserve"> to be given to a holder of shares of Preferred Stock shall be mailed, postage prepaid, to the post office address last shown on the records of the Corporation, or given by electronic transmission in compliance with the provisions of the General Corporation Law, and shall be deemed sent upon such mailing or electronic transmission.</w:t>
      </w:r>
    </w:p>
    <w:p>
      <w:pPr>
        <w:spacing w:after="0" w:line="134" w:lineRule="exact"/>
        <w:rPr>
          <w:sz w:val="20"/>
          <w:szCs w:val="20"/>
          <w:color w:val="auto"/>
        </w:rPr>
      </w:pPr>
    </w:p>
    <w:p>
      <w:pPr>
        <w:ind w:left="220" w:right="259" w:firstLine="772"/>
        <w:spacing w:after="0" w:line="268" w:lineRule="auto"/>
        <w:rPr>
          <w:sz w:val="20"/>
          <w:szCs w:val="20"/>
          <w:color w:val="auto"/>
        </w:rPr>
      </w:pPr>
      <w:r>
        <w:rPr>
          <w:rFonts w:ascii="Times New Roman" w:cs="Times New Roman" w:eastAsia="Times New Roman" w:hAnsi="Times New Roman"/>
          <w:sz w:val="14"/>
          <w:szCs w:val="14"/>
          <w:b w:val="1"/>
          <w:bCs w:val="1"/>
          <w:color w:val="auto"/>
        </w:rPr>
        <w:t>FIFTH</w:t>
      </w:r>
      <w:r>
        <w:rPr>
          <w:rFonts w:ascii="Times New Roman" w:cs="Times New Roman" w:eastAsia="Times New Roman" w:hAnsi="Times New Roman"/>
          <w:sz w:val="14"/>
          <w:szCs w:val="14"/>
          <w:color w:val="auto"/>
        </w:rPr>
        <w:t>: Subject to any additional vote required by this Certificate of Incorporation or the Bylaws of the Corporation, in furtherance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in limitation of the powers conferred by statute, the Board of Directors is expressly authorized to make, repeal, alter, amend and rescind any or all of the Bylaws of the Corporation.</w:t>
      </w:r>
    </w:p>
    <w:p>
      <w:pPr>
        <w:spacing w:after="0" w:line="133" w:lineRule="exact"/>
        <w:rPr>
          <w:sz w:val="20"/>
          <w:szCs w:val="20"/>
          <w:color w:val="auto"/>
        </w:rPr>
      </w:pPr>
    </w:p>
    <w:p>
      <w:pPr>
        <w:ind w:left="220" w:right="279" w:firstLine="772"/>
        <w:spacing w:after="0" w:line="259" w:lineRule="auto"/>
        <w:rPr>
          <w:sz w:val="20"/>
          <w:szCs w:val="20"/>
          <w:color w:val="auto"/>
        </w:rPr>
      </w:pPr>
      <w:r>
        <w:rPr>
          <w:rFonts w:ascii="Times New Roman" w:cs="Times New Roman" w:eastAsia="Times New Roman" w:hAnsi="Times New Roman"/>
          <w:sz w:val="14"/>
          <w:szCs w:val="14"/>
          <w:b w:val="1"/>
          <w:bCs w:val="1"/>
          <w:color w:val="auto"/>
        </w:rPr>
        <w:t>SIXTH</w:t>
      </w:r>
      <w:r>
        <w:rPr>
          <w:rFonts w:ascii="Times New Roman" w:cs="Times New Roman" w:eastAsia="Times New Roman" w:hAnsi="Times New Roman"/>
          <w:sz w:val="14"/>
          <w:szCs w:val="14"/>
          <w:color w:val="auto"/>
        </w:rPr>
        <w:t>: Subject to any additional vote required by this Certificate of Incorporation, the number of directors of the Corporation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determined in the manner set forth in the Bylaws of the Corporation, Each director shall be entitled to one vote on each matter presented to the Board of Directors; provided, however, that, for so long as the holders of Preferred Stock are entitled to elect a Preferred Director, the approval of the Requisite Directors shall be required hereunder for the authorization by the Board of Directors of any matter that requires the Requisite Director Vote under the terms of the Investors’ Rights Agreement, to the extent that Preferred Directors are then serving.</w:t>
      </w:r>
    </w:p>
    <w:p>
      <w:pPr>
        <w:spacing w:after="0" w:line="1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SEVENTH</w:t>
      </w:r>
      <w:r>
        <w:rPr>
          <w:rFonts w:ascii="Times New Roman" w:cs="Times New Roman" w:eastAsia="Times New Roman" w:hAnsi="Times New Roman"/>
          <w:sz w:val="14"/>
          <w:szCs w:val="14"/>
          <w:color w:val="auto"/>
        </w:rPr>
        <w:t>: Elections of directors need not be by written ballot unless the Bylaws of the Corporation shall so provide.</w:t>
      </w:r>
    </w:p>
    <w:p>
      <w:pPr>
        <w:spacing w:after="0" w:line="175" w:lineRule="exact"/>
        <w:rPr>
          <w:sz w:val="20"/>
          <w:szCs w:val="20"/>
          <w:color w:val="auto"/>
        </w:rPr>
      </w:pPr>
    </w:p>
    <w:p>
      <w:pPr>
        <w:ind w:left="220" w:right="319" w:firstLine="772"/>
        <w:spacing w:after="0" w:line="268" w:lineRule="auto"/>
        <w:rPr>
          <w:sz w:val="20"/>
          <w:szCs w:val="20"/>
          <w:color w:val="auto"/>
        </w:rPr>
      </w:pPr>
      <w:r>
        <w:rPr>
          <w:rFonts w:ascii="Times New Roman" w:cs="Times New Roman" w:eastAsia="Times New Roman" w:hAnsi="Times New Roman"/>
          <w:sz w:val="14"/>
          <w:szCs w:val="14"/>
          <w:b w:val="1"/>
          <w:bCs w:val="1"/>
          <w:color w:val="auto"/>
        </w:rPr>
        <w:t>EIGHTH</w:t>
      </w:r>
      <w:r>
        <w:rPr>
          <w:rFonts w:ascii="Times New Roman" w:cs="Times New Roman" w:eastAsia="Times New Roman" w:hAnsi="Times New Roman"/>
          <w:sz w:val="14"/>
          <w:szCs w:val="14"/>
          <w:color w:val="auto"/>
        </w:rPr>
        <w:t>: Meetings of stockholders may be held within or outside of the State of Delaware, as the Bylaws of the Corporation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 The books of the Corporation may be kept (subject to any provision of applicable law) outside of the State of Delaware at such place or places or in such manner or manners as may be designated from time to time by the Board of Directors or in the Bylaws of the Corporation.</w:t>
      </w:r>
    </w:p>
    <w:p>
      <w:pPr>
        <w:spacing w:after="0" w:line="133" w:lineRule="exact"/>
        <w:rPr>
          <w:sz w:val="20"/>
          <w:szCs w:val="20"/>
          <w:color w:val="auto"/>
        </w:rPr>
      </w:pPr>
    </w:p>
    <w:p>
      <w:pPr>
        <w:ind w:left="220" w:right="259" w:firstLine="772"/>
        <w:spacing w:after="0" w:line="259" w:lineRule="auto"/>
        <w:rPr>
          <w:sz w:val="20"/>
          <w:szCs w:val="20"/>
          <w:color w:val="auto"/>
        </w:rPr>
      </w:pPr>
      <w:r>
        <w:rPr>
          <w:rFonts w:ascii="Times New Roman" w:cs="Times New Roman" w:eastAsia="Times New Roman" w:hAnsi="Times New Roman"/>
          <w:sz w:val="14"/>
          <w:szCs w:val="14"/>
          <w:b w:val="1"/>
          <w:bCs w:val="1"/>
          <w:color w:val="auto"/>
        </w:rPr>
        <w:t>NINTH</w:t>
      </w:r>
      <w:r>
        <w:rPr>
          <w:rFonts w:ascii="Times New Roman" w:cs="Times New Roman" w:eastAsia="Times New Roman" w:hAnsi="Times New Roman"/>
          <w:sz w:val="14"/>
          <w:szCs w:val="14"/>
          <w:color w:val="auto"/>
        </w:rPr>
        <w:t>: To the fullest extent permitted by law, a director or officer of the Corporation shall not be personally liable to the Corporation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its stockholders for monetary damages for breach of fiduciary duty as a director or officer. If the General Corporation Law or any other law of the State of Delaware is amended after approval by the stockholders of this </w:t>
      </w:r>
      <w:r>
        <w:rPr>
          <w:rFonts w:ascii="Times New Roman" w:cs="Times New Roman" w:eastAsia="Times New Roman" w:hAnsi="Times New Roman"/>
          <w:sz w:val="14"/>
          <w:szCs w:val="14"/>
          <w:u w:val="single" w:color="auto"/>
          <w:color w:val="auto"/>
        </w:rPr>
        <w:t>Article Ninth</w:t>
      </w:r>
      <w:r>
        <w:rPr>
          <w:rFonts w:ascii="Times New Roman" w:cs="Times New Roman" w:eastAsia="Times New Roman" w:hAnsi="Times New Roman"/>
          <w:sz w:val="14"/>
          <w:szCs w:val="14"/>
          <w:color w:val="auto"/>
        </w:rPr>
        <w:t xml:space="preserve">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w:t>
      </w:r>
    </w:p>
    <w:p>
      <w:pPr>
        <w:spacing w:after="0" w:line="143" w:lineRule="exact"/>
        <w:rPr>
          <w:sz w:val="20"/>
          <w:szCs w:val="20"/>
          <w:color w:val="auto"/>
        </w:rPr>
      </w:pPr>
    </w:p>
    <w:p>
      <w:pPr>
        <w:ind w:left="220" w:right="239" w:firstLine="772"/>
        <w:spacing w:after="0" w:line="267" w:lineRule="auto"/>
        <w:rPr>
          <w:sz w:val="20"/>
          <w:szCs w:val="20"/>
          <w:color w:val="auto"/>
        </w:rPr>
      </w:pPr>
      <w:r>
        <w:rPr>
          <w:rFonts w:ascii="Times New Roman" w:cs="Times New Roman" w:eastAsia="Times New Roman" w:hAnsi="Times New Roman"/>
          <w:sz w:val="14"/>
          <w:szCs w:val="14"/>
          <w:color w:val="auto"/>
        </w:rPr>
        <w:t xml:space="preserve">Any amendment, repeal or elimination of the foregoing provisions of this </w:t>
      </w:r>
      <w:r>
        <w:rPr>
          <w:rFonts w:ascii="Times New Roman" w:cs="Times New Roman" w:eastAsia="Times New Roman" w:hAnsi="Times New Roman"/>
          <w:sz w:val="14"/>
          <w:szCs w:val="14"/>
          <w:u w:val="single" w:color="auto"/>
          <w:color w:val="auto"/>
        </w:rPr>
        <w:t>Article Ninth</w:t>
      </w:r>
      <w:r>
        <w:rPr>
          <w:rFonts w:ascii="Times New Roman" w:cs="Times New Roman" w:eastAsia="Times New Roman" w:hAnsi="Times New Roman"/>
          <w:sz w:val="14"/>
          <w:szCs w:val="14"/>
          <w:color w:val="auto"/>
        </w:rPr>
        <w:t xml:space="preserve">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313" w:name="page314"/>
    <w:bookmarkEnd w:id="313"/>
    <w:p>
      <w:pPr>
        <w:jc w:val="both"/>
        <w:ind w:left="220" w:right="319" w:firstLine="772"/>
        <w:spacing w:after="0" w:line="28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TENTH</w:t>
      </w:r>
      <w:r>
        <w:rPr>
          <w:rFonts w:ascii="Times New Roman" w:cs="Times New Roman" w:eastAsia="Times New Roman" w:hAnsi="Times New Roman"/>
          <w:sz w:val="13"/>
          <w:szCs w:val="13"/>
          <w:color w:val="auto"/>
        </w:rPr>
        <w:t>: To the fullest extent permitted by applicable law, the Corporation is authorized to provide indemnification of (and advancement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expenses to) directors, officers and agents of the Corporation (and any other persons to which the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25" w:lineRule="exact"/>
        <w:rPr>
          <w:sz w:val="20"/>
          <w:szCs w:val="20"/>
          <w:color w:val="auto"/>
        </w:rPr>
      </w:pPr>
    </w:p>
    <w:p>
      <w:pPr>
        <w:ind w:left="220" w:right="299" w:firstLine="772"/>
        <w:spacing w:after="0" w:line="261" w:lineRule="auto"/>
        <w:rPr>
          <w:sz w:val="20"/>
          <w:szCs w:val="20"/>
          <w:color w:val="auto"/>
        </w:rPr>
      </w:pPr>
      <w:r>
        <w:rPr>
          <w:rFonts w:ascii="Times New Roman" w:cs="Times New Roman" w:eastAsia="Times New Roman" w:hAnsi="Times New Roman"/>
          <w:sz w:val="14"/>
          <w:szCs w:val="14"/>
          <w:color w:val="auto"/>
        </w:rPr>
        <w:t xml:space="preserve">Any amendment, repeal, modification or elimination of the foregoing provisions of this </w:t>
      </w:r>
      <w:r>
        <w:rPr>
          <w:rFonts w:ascii="Times New Roman" w:cs="Times New Roman" w:eastAsia="Times New Roman" w:hAnsi="Times New Roman"/>
          <w:sz w:val="14"/>
          <w:szCs w:val="14"/>
          <w:u w:val="single" w:color="auto"/>
          <w:color w:val="auto"/>
        </w:rPr>
        <w:t>Article Tenth</w:t>
      </w:r>
      <w:r>
        <w:rPr>
          <w:rFonts w:ascii="Times New Roman" w:cs="Times New Roman" w:eastAsia="Times New Roman" w:hAnsi="Times New Roman"/>
          <w:sz w:val="14"/>
          <w:szCs w:val="14"/>
          <w:color w:val="auto"/>
        </w:rPr>
        <w:t xml:space="preserve"> shall not (a) adversely affect any right or protection of any director, officer or other agent of the Corporation existing at the time of such amendment, repeal, modification or elimination; or (b) increase the liability of any director, officer or agent of the Corporation with respect to any acts or omissions of such director, officer or agent occurring prior to such amendment, repeal, modification or elimination.</w:t>
      </w:r>
    </w:p>
    <w:p>
      <w:pPr>
        <w:spacing w:after="0" w:line="139" w:lineRule="exact"/>
        <w:rPr>
          <w:sz w:val="20"/>
          <w:szCs w:val="20"/>
          <w:color w:val="auto"/>
        </w:rPr>
      </w:pPr>
    </w:p>
    <w:p>
      <w:pPr>
        <w:ind w:left="220" w:right="319" w:firstLine="772"/>
        <w:spacing w:after="0" w:line="253" w:lineRule="auto"/>
        <w:rPr>
          <w:sz w:val="20"/>
          <w:szCs w:val="20"/>
          <w:color w:val="auto"/>
        </w:rPr>
      </w:pPr>
      <w:r>
        <w:rPr>
          <w:rFonts w:ascii="Times New Roman" w:cs="Times New Roman" w:eastAsia="Times New Roman" w:hAnsi="Times New Roman"/>
          <w:sz w:val="14"/>
          <w:szCs w:val="14"/>
          <w:b w:val="1"/>
          <w:bCs w:val="1"/>
          <w:color w:val="auto"/>
        </w:rPr>
        <w:t>ELEVENTH</w:t>
      </w:r>
      <w:r>
        <w:rPr>
          <w:rFonts w:ascii="Times New Roman" w:cs="Times New Roman" w:eastAsia="Times New Roman" w:hAnsi="Times New Roman"/>
          <w:sz w:val="14"/>
          <w:szCs w:val="14"/>
          <w:color w:val="auto"/>
        </w:rPr>
        <w:t>: The Corporation renounces, to the fullest extent permitted by law, any interest or expectancy of the Corporation in, or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being offered an opportunity to participate in, any Excluded Opportunity. An “</w:t>
      </w:r>
      <w:r>
        <w:rPr>
          <w:rFonts w:ascii="Times New Roman" w:cs="Times New Roman" w:eastAsia="Times New Roman" w:hAnsi="Times New Roman"/>
          <w:sz w:val="14"/>
          <w:szCs w:val="14"/>
          <w:b w:val="1"/>
          <w:bCs w:val="1"/>
          <w:color w:val="auto"/>
        </w:rPr>
        <w:t>Excluded Opportunity</w:t>
      </w:r>
      <w:r>
        <w:rPr>
          <w:rFonts w:ascii="Times New Roman" w:cs="Times New Roman" w:eastAsia="Times New Roman" w:hAnsi="Times New Roman"/>
          <w:sz w:val="14"/>
          <w:szCs w:val="14"/>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officer or employee of the Corporation or any of its subsidiaries (collectively, the persons referred to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are “</w:t>
      </w:r>
      <w:r>
        <w:rPr>
          <w:rFonts w:ascii="Times New Roman" w:cs="Times New Roman" w:eastAsia="Times New Roman" w:hAnsi="Times New Roman"/>
          <w:sz w:val="14"/>
          <w:szCs w:val="14"/>
          <w:b w:val="1"/>
          <w:bCs w:val="1"/>
          <w:color w:val="auto"/>
        </w:rPr>
        <w:t>Covered Persons</w:t>
      </w:r>
      <w:r>
        <w:rPr>
          <w:rFonts w:ascii="Times New Roman" w:cs="Times New Roman" w:eastAsia="Times New Roman" w:hAnsi="Times New Roman"/>
          <w:sz w:val="14"/>
          <w:szCs w:val="14"/>
          <w:color w:val="auto"/>
        </w:rPr>
        <w:t xml:space="preserve">”),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w:t>
      </w:r>
      <w:r>
        <w:rPr>
          <w:rFonts w:ascii="Times New Roman" w:cs="Times New Roman" w:eastAsia="Times New Roman" w:hAnsi="Times New Roman"/>
          <w:sz w:val="14"/>
          <w:szCs w:val="14"/>
          <w:u w:val="single" w:color="auto"/>
          <w:color w:val="auto"/>
        </w:rPr>
        <w:t>Article Eleventh</w:t>
      </w:r>
      <w:r>
        <w:rPr>
          <w:rFonts w:ascii="Times New Roman" w:cs="Times New Roman" w:eastAsia="Times New Roman" w:hAnsi="Times New Roman"/>
          <w:sz w:val="14"/>
          <w:szCs w:val="14"/>
          <w:color w:val="auto"/>
        </w:rPr>
        <w:t xml:space="preserve"> will only be prospective and will not affect the rights under this </w:t>
      </w:r>
      <w:r>
        <w:rPr>
          <w:rFonts w:ascii="Times New Roman" w:cs="Times New Roman" w:eastAsia="Times New Roman" w:hAnsi="Times New Roman"/>
          <w:sz w:val="14"/>
          <w:szCs w:val="14"/>
          <w:u w:val="single" w:color="auto"/>
          <w:color w:val="auto"/>
        </w:rPr>
        <w:t>Article Eleventh</w:t>
      </w:r>
      <w:r>
        <w:rPr>
          <w:rFonts w:ascii="Times New Roman" w:cs="Times New Roman" w:eastAsia="Times New Roman" w:hAnsi="Times New Roman"/>
          <w:sz w:val="14"/>
          <w:szCs w:val="14"/>
          <w:color w:val="auto"/>
        </w:rPr>
        <w:t xml:space="preserve"> in effect at the time of the occurrence of any actions or omissions to act giving rise to liability. Notwithstanding anything to the contrary contained elsewhere in this Certificate of Incorporation, in addition to any other vote required by law or this Certificate of Incorporation, the affirmative vote of (i) the Requisite Holders and (ii) the holders of at least 80% of the outstanding shares of Series B Preferred Stock, will be required to amend or repeal, or to adopt any provisions inconsistent with this </w:t>
      </w:r>
      <w:r>
        <w:rPr>
          <w:rFonts w:ascii="Times New Roman" w:cs="Times New Roman" w:eastAsia="Times New Roman" w:hAnsi="Times New Roman"/>
          <w:sz w:val="14"/>
          <w:szCs w:val="14"/>
          <w:u w:val="single" w:color="auto"/>
          <w:color w:val="auto"/>
        </w:rPr>
        <w:t>Article Eleventh</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220" w:right="279" w:firstLine="772"/>
        <w:spacing w:after="0" w:line="254" w:lineRule="auto"/>
        <w:rPr>
          <w:sz w:val="20"/>
          <w:szCs w:val="20"/>
          <w:color w:val="auto"/>
        </w:rPr>
      </w:pPr>
      <w:r>
        <w:rPr>
          <w:rFonts w:ascii="Times New Roman" w:cs="Times New Roman" w:eastAsia="Times New Roman" w:hAnsi="Times New Roman"/>
          <w:sz w:val="14"/>
          <w:szCs w:val="14"/>
          <w:b w:val="1"/>
          <w:bCs w:val="1"/>
          <w:color w:val="auto"/>
        </w:rPr>
        <w:t>TWELFTH</w:t>
      </w:r>
      <w:r>
        <w:rPr>
          <w:rFonts w:ascii="Times New Roman" w:cs="Times New Roman" w:eastAsia="Times New Roman" w:hAnsi="Times New Roman"/>
          <w:sz w:val="14"/>
          <w:szCs w:val="14"/>
          <w:color w:val="auto"/>
        </w:rPr>
        <w:t>: Unless the Corporation consents in writing to the selection of an alternative forum, the Court of Chancery in the State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the Corporation’s certificate of incorporation or bylaws; or (iv) any action asserting a claim against the Corporation, its directors, officers or employees governed by the internal affairs doctrine or that otherwise relates to the internal affairs of the Corporation, except for, as to each of (i) through (iv) above, any claim as to which the Court of Chancery determines that there is an indispensable patty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314" w:name="page315"/>
    <w:bookmarkEnd w:id="314"/>
    <w:p>
      <w:pPr>
        <w:ind w:left="220" w:right="239" w:firstLine="772"/>
        <w:spacing w:after="0" w:line="25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THIRTEENTH</w:t>
      </w:r>
      <w:r>
        <w:rPr>
          <w:rFonts w:ascii="Times New Roman" w:cs="Times New Roman" w:eastAsia="Times New Roman" w:hAnsi="Times New Roman"/>
          <w:sz w:val="14"/>
          <w:szCs w:val="14"/>
          <w:color w:val="auto"/>
        </w:rPr>
        <w:t>: If any provision or provisions of this Certificate of Incorporation shall be held to be invalid, illegal or unenforceable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applied to any person or entity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w:t>
      </w:r>
    </w:p>
    <w:p>
      <w:pPr>
        <w:spacing w:after="0" w:line="175" w:lineRule="exact"/>
        <w:rPr>
          <w:sz w:val="20"/>
          <w:szCs w:val="20"/>
          <w:color w:val="auto"/>
        </w:rPr>
      </w:pPr>
    </w:p>
    <w:p>
      <w:pPr>
        <w:ind w:left="220" w:right="519" w:firstLine="767"/>
        <w:spacing w:after="0" w:line="283" w:lineRule="auto"/>
        <w:tabs>
          <w:tab w:leader="none" w:pos="1132" w:val="left"/>
        </w:tabs>
        <w:numPr>
          <w:ilvl w:val="0"/>
          <w:numId w:val="1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the foregoing amendment and restatement was approved by the holders of the requisite number of shares of this corporation in accordance with Section 228 of the General Corporation Law.</w:t>
      </w:r>
    </w:p>
    <w:p>
      <w:pPr>
        <w:spacing w:after="0" w:line="124" w:lineRule="exact"/>
        <w:rPr>
          <w:rFonts w:ascii="Times New Roman" w:cs="Times New Roman" w:eastAsia="Times New Roman" w:hAnsi="Times New Roman"/>
          <w:sz w:val="14"/>
          <w:szCs w:val="14"/>
          <w:b w:val="1"/>
          <w:bCs w:val="1"/>
          <w:color w:val="auto"/>
        </w:rPr>
      </w:pPr>
    </w:p>
    <w:p>
      <w:pPr>
        <w:ind w:left="220" w:right="499" w:firstLine="767"/>
        <w:spacing w:after="0" w:line="267" w:lineRule="auto"/>
        <w:tabs>
          <w:tab w:leader="none" w:pos="1132" w:val="left"/>
        </w:tabs>
        <w:numPr>
          <w:ilvl w:val="0"/>
          <w:numId w:val="1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this Amended and Restated Certificate of Incorporation, which restates and integrates and further amends the provisions of the Corporation’s Amended and Restated Certificate of Incorporation, has been duly adopted in accordance with Sections 242 and 245 of the General Corporation Law.</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315" w:name="page316"/>
    <w:bookmarkEnd w:id="315"/>
    <w:p>
      <w:pPr>
        <w:ind w:left="220" w:right="75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this Amended and Restated Certificate of Incorporation has been executed by a duly authorized officer of this corporation on October 17, 2024.</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Daphne Zohar</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9019"/>
          </w:cols>
          <w:pgMar w:left="1440" w:top="240" w:right="1440" w:bottom="1440" w:gutter="0" w:footer="0" w:header="0"/>
        </w:sectPr>
      </w:pPr>
    </w:p>
    <w:bookmarkStart w:id="316" w:name="page317"/>
    <w:bookmarkEnd w:id="31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3.4</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BYLAWS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 Delaware corporation)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Adopted as of April 1, 2024</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123" w:right="1440" w:bottom="1440" w:gutter="0" w:footer="0" w:header="0"/>
        </w:sectPr>
      </w:pPr>
    </w:p>
    <w:bookmarkStart w:id="317" w:name="page318"/>
    <w:bookmarkEnd w:id="317"/>
    <w:tbl>
      <w:tblPr>
        <w:tblLayout w:type="fixed"/>
        <w:tblInd w:w="22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5620" w:type="dxa"/>
            <w:vAlign w:val="bottom"/>
            <w:gridSpan w:val="3"/>
          </w:tcPr>
          <w:p>
            <w:pPr>
              <w:ind w:left="2460"/>
              <w:spacing w:after="0"/>
              <w:rPr>
                <w:sz w:val="20"/>
                <w:szCs w:val="20"/>
                <w:color w:val="auto"/>
              </w:rPr>
            </w:pPr>
            <w:r>
              <w:rPr>
                <w:rFonts w:ascii="Times New Roman" w:cs="Times New Roman" w:eastAsia="Times New Roman" w:hAnsi="Times New Roman"/>
                <w:sz w:val="14"/>
                <w:szCs w:val="14"/>
                <w:color w:val="auto"/>
              </w:rPr>
              <w:t>TABLE OF CONTENTS</w:t>
            </w:r>
          </w:p>
        </w:tc>
        <w:tc>
          <w:tcPr>
            <w:tcW w:w="1660" w:type="dxa"/>
            <w:vAlign w:val="bottom"/>
          </w:tcPr>
          <w:p>
            <w:pPr>
              <w:spacing w:after="0"/>
              <w:rPr>
                <w:sz w:val="13"/>
                <w:szCs w:val="13"/>
                <w:color w:val="auto"/>
              </w:rPr>
            </w:pPr>
          </w:p>
        </w:tc>
      </w:tr>
      <w:tr>
        <w:trPr>
          <w:trHeight w:val="302"/>
        </w:trPr>
        <w:tc>
          <w:tcPr>
            <w:tcW w:w="1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183"/>
        </w:trPr>
        <w:tc>
          <w:tcPr>
            <w:tcW w:w="6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I IDENTIFICATION; OFFICES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NAME</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PRINCIPAL AND BUSINESS OFFICES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REGISTERED AGENT AND OFFICE</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CORPORATE RECORDS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2"/>
        </w:trPr>
        <w:tc>
          <w:tcPr>
            <w:tcW w:w="6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II STOCKHOLDERS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ANNUAL MEETING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SPECIAL MEETING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PLACE OF STOCKHOLDER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NOTICE OF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QUORUM</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ADJOURNED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FIXING OF RECORD DATE.</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VOTING LIST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VOTING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PROXIES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RATIFICATION OF ACTS OF DIRECTORS AND OFFICERS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CONDUCT OF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ACTION WITHOUT MEETING.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52"/>
        </w:trPr>
        <w:tc>
          <w:tcPr>
            <w:tcW w:w="6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III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GENERAL POWERS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NUMBER AND TENURE OF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ELECTION OF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CHAIRMAN OF THE BOARD; VICE CHAIRMAN OF THE BOARD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QUORUM</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VOTING</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VACANCIES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REMOVAL OF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RESIGNATION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REGULAR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SPECIAL MEETINGS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NOTICE OF SPECIAL MEETINGS OF THE BOARD OF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WRITTEN ACTION BY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PARTICIPATION BY CONFERENCE TELEPHONE</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COMMITTEES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16.</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COMPENSATION OF DIRECTORS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52"/>
        </w:trPr>
        <w:tc>
          <w:tcPr>
            <w:tcW w:w="6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IV OFFICERS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GENERAL PROVISIONS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ELECTION AND TERM OF OFFICE</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RESIGNATION AND REMOVAL OF OFFICERS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VACANCIES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1" w:right="1440" w:bottom="1440" w:gutter="0" w:footer="0" w:header="0"/>
        </w:sectPr>
      </w:pPr>
    </w:p>
    <w:bookmarkStart w:id="318" w:name="page319"/>
    <w:bookmarkEnd w:id="318"/>
    <w:tbl>
      <w:tblPr>
        <w:tblLayout w:type="fixed"/>
        <w:tblInd w:w="220" w:type="dxa"/>
        <w:tblCellMar>
          <w:top w:w="0" w:type="dxa"/>
          <w:left w:w="0" w:type="dxa"/>
          <w:bottom w:w="0" w:type="dxa"/>
          <w:right w:w="0" w:type="dxa"/>
        </w:tblCellMar>
      </w:tblP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CHIEF EXECUTIVE OFFICER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PRESIDENT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VICE PRESIDENT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SECRETARY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ASSISTANT SECRETARY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TREASURER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ASSISTANT TREASURER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OFFICERS, ASSISTANT OFFICERS AND AGENTS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ABSENCE OF OFFICERS, DELEGATION OF AUTHORITY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52"/>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CAPITAL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CERTIFICATES OF SHARES; UNCERTIFICATED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SIGNATURES OF FORMER OFFICER, TRANSFER AGENT OR REGISTRAR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TRANSFER OF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LOST, DESTROYED OR STOLEN CERTIFICATES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REGULATIONS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52"/>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RESTRICTIONS ON TRANSFER AND RIGHT OF FIRST REFUSAL.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TRANSFERS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CONSENT TO TRANSFER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 OF FIRST REFUSAL.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EXCEPTIONS.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TERMINATION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VOID TRANSFERS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LEGENDS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2"/>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INDEMNIFICATION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 TO INDEMNIFICATION OF DIRECTORS AND OFFICERS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PREPAYMENT OF EXPENSES OF DIRECTORS AND OFFICERS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CLAIMS BY DIRECTORS AND OFFICERS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INDEMNIFICATION OF EMPLOYEES AND AGENTS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ADVANCEMENT OF EXPENSES OF EMPLOYEES AND AGENTS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NON-EXCLUSIVITY OF RIGHTS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INDEMNIFICATION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INSURANCE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AMENDMENT OR REPEAL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DIVIDENDS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DECLARATIONS OF DIVIDENDS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SPECIAL PURPOSES RESERVES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NOTICE BY ELECTRONIC TRANSMISSION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 BY ELECTRONIC TRANSMISSION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DEFINITION OF ELECTRONIC TRANSMISSION; ELECTRONIC MAIL; ELECTRONIC MAIL ADDRESS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6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INAPPLICABILITY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41" w:right="1440" w:bottom="1440" w:gutter="0" w:footer="0" w:header="0"/>
        </w:sectPr>
      </w:pPr>
    </w:p>
    <w:bookmarkStart w:id="319" w:name="page320"/>
    <w:bookmarkEnd w:id="319"/>
    <w:tbl>
      <w:tblPr>
        <w:tblLayout w:type="fixed"/>
        <w:tblInd w:w="220" w:type="dxa"/>
        <w:tblCellMar>
          <w:top w:w="0" w:type="dxa"/>
          <w:left w:w="0" w:type="dxa"/>
          <w:bottom w:w="0" w:type="dxa"/>
          <w:right w:w="0" w:type="dxa"/>
        </w:tblCellMar>
      </w:tblPr>
      <w:tr>
        <w:trPr>
          <w:trHeight w:val="183"/>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GENERAL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FISCAL YEAR</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SEAL</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WRITTEN WAIVER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ATTENDANCE AS WAIVER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WAIVER OF SECTION 1501</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CONTRACTS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LOANS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CHECKS, DRAFTS,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DEPOSITS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ANNUAL STATEMENT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VOTING OF SECURITIES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EVIDENCE OF AUTHORITY</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CERTIFICATE OF INCORPORATION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PRONOUNS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2"/>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AMENDMENTS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38"/>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BY THE BOARD OF DIRECTORS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3"/>
        </w:trPr>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w:t>
            </w:r>
          </w:p>
        </w:tc>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BY THE STOCKHOLDERS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40" w:right="1440" w:bottom="1440" w:gutter="0" w:footer="0" w:header="0"/>
        </w:sectPr>
      </w:pPr>
    </w:p>
    <w:bookmarkStart w:id="320" w:name="page321"/>
    <w:bookmarkEnd w:id="3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IDENTIFICATION; OFFICES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1. NAME. The name of the corporation is Seaport Therapeutics, Inc.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539" w:firstLine="343"/>
        <w:spacing w:after="0" w:line="283" w:lineRule="auto"/>
        <w:rPr>
          <w:sz w:val="20"/>
          <w:szCs w:val="20"/>
          <w:color w:val="auto"/>
        </w:rPr>
      </w:pPr>
      <w:r>
        <w:rPr>
          <w:rFonts w:ascii="Times New Roman" w:cs="Times New Roman" w:eastAsia="Times New Roman" w:hAnsi="Times New Roman"/>
          <w:sz w:val="14"/>
          <w:szCs w:val="14"/>
          <w:color w:val="auto"/>
        </w:rPr>
        <w:t>SECTION 2. PRINCIPAL AND BUSINESS OFFICES. The Corporation may have such principal and other business offices, either within or outside of the state of Delaware, as the Board of Directors may designate or as the Corporation’s business may require from time to time.</w:t>
      </w:r>
    </w:p>
    <w:p>
      <w:pPr>
        <w:spacing w:after="0" w:line="125" w:lineRule="exact"/>
        <w:rPr>
          <w:sz w:val="20"/>
          <w:szCs w:val="20"/>
          <w:color w:val="auto"/>
        </w:rPr>
      </w:pPr>
    </w:p>
    <w:p>
      <w:pPr>
        <w:ind w:left="220" w:right="499" w:firstLine="343"/>
        <w:spacing w:after="0" w:line="258" w:lineRule="auto"/>
        <w:rPr>
          <w:sz w:val="20"/>
          <w:szCs w:val="20"/>
          <w:color w:val="auto"/>
        </w:rPr>
      </w:pPr>
      <w:r>
        <w:rPr>
          <w:rFonts w:ascii="Times New Roman" w:cs="Times New Roman" w:eastAsia="Times New Roman" w:hAnsi="Times New Roman"/>
          <w:sz w:val="14"/>
          <w:szCs w:val="14"/>
          <w:color w:val="auto"/>
        </w:rPr>
        <w:t>SECTION 3. REGISTERED AGENT AND OFFICE. The Corporation’s registered agent may be changed from time to time by or under the authority of the Board of Directors. The address of the Corporation’s registered agent may change from time to time by or under the authority of the Board of Directors, or the registered agent. The business office of the Corporation’s registered agent shall be identical to the registered office. The Corporation’s registered office may be but need not be identical with the Corporation’s principal office in the state of Delaware. The Corporation’s initial registered office shall be in the City of Wilmington, County of New Castle, State of Delaware.</w:t>
      </w:r>
    </w:p>
    <w:p>
      <w:pPr>
        <w:spacing w:after="0" w:line="144"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SECTION 4. CORPORATE RECORDS. Any records and documents required by law to be kept by the Corporation permanently or administered by the Corporation in the regular course of business may be kept on, or by means of, or be in the form of, any information storage device, method, or one more electronic networks or databases, provided that the records so kept can be converted into clearly legible paper form within a reasonable time and, with respect to the stock ledger, the records so kept comply with Section 224 of the Delaware General Corporation Law. The Corporation shall so convert any records so kept upon the request of any person entitled to inspect such records pursuant to applicable law.</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161" w:lineRule="exact"/>
        <w:rPr>
          <w:sz w:val="20"/>
          <w:szCs w:val="20"/>
          <w:color w:val="auto"/>
        </w:rPr>
      </w:pPr>
    </w:p>
    <w:p>
      <w:pPr>
        <w:ind w:left="220" w:right="259" w:firstLine="343"/>
        <w:spacing w:after="0" w:line="296" w:lineRule="auto"/>
        <w:rPr>
          <w:sz w:val="20"/>
          <w:szCs w:val="20"/>
          <w:color w:val="auto"/>
        </w:rPr>
      </w:pPr>
      <w:r>
        <w:rPr>
          <w:rFonts w:ascii="Times New Roman" w:cs="Times New Roman" w:eastAsia="Times New Roman" w:hAnsi="Times New Roman"/>
          <w:sz w:val="13"/>
          <w:szCs w:val="13"/>
          <w:color w:val="auto"/>
        </w:rPr>
        <w:t xml:space="preserve">SECTION 1. ANNUAL MEETING. An annual meeting of the stockholders shall be held on such date as may be designated by the Board of Directors, the Chairman of the Board, the Chief Executive Officer or the President. At each annual meeting, the stockholders shall elect directors to hold office for the term provided in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of Article III of these Bylaws and transact such other business as may properly be brought before the meeting.</w:t>
      </w:r>
    </w:p>
    <w:p>
      <w:pPr>
        <w:spacing w:after="0" w:line="120"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SECTION 2. SPECIAL MEETING. A special meeting of the stockholders for any purpose or purposes may be called at any time only by the President, the Board of Directors, the Chairman of the Board, the Chief Executive Officer or any other person designated by the Board of Directors.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41"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SECTION 3. PLACE OF STOCKHOLDER MEETINGS. The Board of Directors, the Chairman of the Board, the Chief Executive Officer or the President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or the Board of Directors may, in its sole discretion, determine that the meeting shall not be held at any place, but will instead be held solely by means of remote communication as provided under Section 211 of the Delaware General Corporation Law.</w:t>
      </w:r>
    </w:p>
    <w:p>
      <w:pPr>
        <w:sectPr>
          <w:pgSz w:w="11900" w:h="16838" w:orient="portrait"/>
          <w:cols w:equalWidth="0" w:num="1">
            <w:col w:w="9019"/>
          </w:cols>
          <w:pgMar w:left="1440" w:top="239" w:right="1440" w:bottom="1440" w:gutter="0" w:footer="0" w:header="0"/>
        </w:sectPr>
      </w:pPr>
    </w:p>
    <w:bookmarkStart w:id="321" w:name="page322"/>
    <w:bookmarkEnd w:id="321"/>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4. NOTICE OF MEETINGS. Except as otherwise provided by law or waived as herein provided, whenever stockholders are required or permitted to take any action at a meeting, whether annual or special,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for which the meeting is called. Such notice shall be given unless otherwise required by law not less than 10 days nor more than 60 days before the date of the meeting to each stockholder entitled to vote at the meeting.</w:t>
      </w:r>
    </w:p>
    <w:p>
      <w:pPr>
        <w:spacing w:after="0" w:line="144" w:lineRule="exact"/>
        <w:rPr>
          <w:sz w:val="20"/>
          <w:szCs w:val="20"/>
          <w:color w:val="auto"/>
        </w:rPr>
      </w:pPr>
    </w:p>
    <w:p>
      <w:pPr>
        <w:ind w:left="220" w:right="339"/>
        <w:spacing w:after="0" w:line="267" w:lineRule="auto"/>
        <w:rPr>
          <w:sz w:val="20"/>
          <w:szCs w:val="20"/>
          <w:color w:val="auto"/>
        </w:rPr>
      </w:pPr>
      <w:r>
        <w:rPr>
          <w:rFonts w:ascii="Times New Roman" w:cs="Times New Roman" w:eastAsia="Times New Roman" w:hAnsi="Times New Roman"/>
          <w:sz w:val="14"/>
          <w:szCs w:val="14"/>
          <w:color w:val="auto"/>
        </w:rPr>
        <w:t xml:space="preserve">When a meeting is adjourned to reconvene at the same or another place, if any, or by means of remote communications, if any, in accordance with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of Article II of these Bylaws, notice need not be given of the adjourned meeting if the time and place thereof are announced at the meeting at which the adjournment is taken.</w:t>
      </w:r>
    </w:p>
    <w:p>
      <w:pPr>
        <w:spacing w:after="0" w:line="136" w:lineRule="exact"/>
        <w:rPr>
          <w:sz w:val="20"/>
          <w:szCs w:val="20"/>
          <w:color w:val="auto"/>
        </w:rPr>
      </w:pPr>
    </w:p>
    <w:p>
      <w:pPr>
        <w:ind w:left="220" w:right="219" w:firstLine="343"/>
        <w:spacing w:after="0" w:line="276" w:lineRule="auto"/>
        <w:rPr>
          <w:sz w:val="20"/>
          <w:szCs w:val="20"/>
          <w:color w:val="auto"/>
        </w:rPr>
      </w:pPr>
      <w:r>
        <w:rPr>
          <w:rFonts w:ascii="Times New Roman" w:cs="Times New Roman" w:eastAsia="Times New Roman" w:hAnsi="Times New Roman"/>
          <w:sz w:val="13"/>
          <w:szCs w:val="13"/>
          <w:color w:val="auto"/>
        </w:rPr>
        <w:t xml:space="preserve">SECTION 5. QUORUM. Unless otherwise provided by law, the Corporation’s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If a quorum is present in person or represented by proxy at such meeting, such stockholders may continue to transact business until adjournment, notwithstanding the withdrawal of such number of stockholders as may leave less than a quorum.</w:t>
      </w:r>
    </w:p>
    <w:p>
      <w:pPr>
        <w:spacing w:after="0" w:line="135"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SECTION 6. ADJOURNED MEETINGS. Any meeting of stockholders may be adjourned from time to time to any other time and to any other place (or by means of remote communications, if any) at which a meeting of stockholders may be held under these Bylaws by the chairman of the meeting or by a majority of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322" w:name="page323"/>
    <w:bookmarkEnd w:id="322"/>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7. FIXING OF RECORD DATE.</w:t>
      </w:r>
    </w:p>
    <w:p>
      <w:pPr>
        <w:spacing w:after="0" w:line="175" w:lineRule="exact"/>
        <w:rPr>
          <w:sz w:val="20"/>
          <w:szCs w:val="20"/>
          <w:color w:val="auto"/>
        </w:rPr>
      </w:pPr>
    </w:p>
    <w:p>
      <w:pPr>
        <w:ind w:left="220" w:right="259" w:firstLine="767"/>
        <w:spacing w:after="0" w:line="255" w:lineRule="auto"/>
        <w:tabs>
          <w:tab w:leader="none" w:pos="118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Board of Directors may fix in advance a date as a record date for the determination of the stockholders entitled to notice of or to vote at any meeting of stockholders or any adjournment thereof. Such record date shall not precede the date upon which the resolution fixing the record date is adopted by the Board of Directors, and which record date shall not be more than 60 days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Board of Directors may fix a new record date for the adjourned meeting.</w:t>
      </w:r>
    </w:p>
    <w:p>
      <w:pPr>
        <w:spacing w:after="0" w:line="145" w:lineRule="exact"/>
        <w:rPr>
          <w:rFonts w:ascii="Times New Roman" w:cs="Times New Roman" w:eastAsia="Times New Roman" w:hAnsi="Times New Roman"/>
          <w:sz w:val="14"/>
          <w:szCs w:val="14"/>
          <w:color w:val="auto"/>
        </w:rPr>
      </w:pPr>
    </w:p>
    <w:p>
      <w:pPr>
        <w:ind w:left="220" w:right="239" w:firstLine="767"/>
        <w:spacing w:after="0" w:line="254" w:lineRule="auto"/>
        <w:tabs>
          <w:tab w:leader="none" w:pos="119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144" w:lineRule="exact"/>
        <w:rPr>
          <w:rFonts w:ascii="Times New Roman" w:cs="Times New Roman" w:eastAsia="Times New Roman" w:hAnsi="Times New Roman"/>
          <w:sz w:val="14"/>
          <w:szCs w:val="14"/>
          <w:color w:val="auto"/>
        </w:rPr>
      </w:pPr>
    </w:p>
    <w:p>
      <w:pPr>
        <w:ind w:left="220" w:right="259" w:firstLine="767"/>
        <w:spacing w:after="0" w:line="258" w:lineRule="auto"/>
        <w:tabs>
          <w:tab w:leader="none" w:pos="118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60 days prior to such action. If no record date is fixed, the record date for determining the stockholders for any such purpose shall be the close of business on the day on which the Board of Directors adopts the resolution relating thereto.</w:t>
      </w:r>
    </w:p>
    <w:p>
      <w:pPr>
        <w:spacing w:after="0" w:line="144"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SECTION 8. VOTING LIST. The officer who has charge of the stock ledger of the Corporation shall prepare and make, at least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(i) by a reasonably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23" w:name="page324"/>
    <w:bookmarkEnd w:id="323"/>
    <w:p>
      <w:pPr>
        <w:ind w:left="220" w:right="2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the identity of stockholders entitled to examine the list of stockholders required by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or to vote in person or by proxy at any meeting of the stockholders. The Corporation shall not be required to include electronic mail addresses or other electronic contact information on such list.</w:t>
      </w:r>
    </w:p>
    <w:p>
      <w:pPr>
        <w:spacing w:after="0" w:line="146"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SECTION 9. VOTING. Unless otherwise provided by the Certificate of Incorporation, each stockholder shall be entitled to one vote for each share of capital stock held by each stockholder. When a quorum is present at any meeting, in all matters other than the election of directors, the affirmative vote of the majority of shares present in person or represented by proxy at the meeting and entitled to vote on the subject matter shall be the act of the stockholders, except when a different vote is required by law, the Certificate of Incorporation or these Bylaws. When a quorum is present at any meeting, directors shall be elected by plurality of the votes of the shares present in person or represented by a proxy at the meeting entitled to vote on the election of directors.</w:t>
      </w:r>
    </w:p>
    <w:p>
      <w:pPr>
        <w:spacing w:after="0" w:line="143" w:lineRule="exact"/>
        <w:rPr>
          <w:sz w:val="20"/>
          <w:szCs w:val="20"/>
          <w:color w:val="auto"/>
        </w:rPr>
      </w:pPr>
    </w:p>
    <w:p>
      <w:pPr>
        <w:ind w:left="220" w:right="459" w:firstLine="343"/>
        <w:spacing w:after="0" w:line="256" w:lineRule="auto"/>
        <w:rPr>
          <w:sz w:val="20"/>
          <w:szCs w:val="20"/>
          <w:color w:val="auto"/>
        </w:rPr>
      </w:pPr>
      <w:r>
        <w:rPr>
          <w:rFonts w:ascii="Times New Roman" w:cs="Times New Roman" w:eastAsia="Times New Roman" w:hAnsi="Times New Roman"/>
          <w:sz w:val="14"/>
          <w:szCs w:val="14"/>
          <w:color w:val="auto"/>
        </w:rPr>
        <w:t>SECTION 10. PROXIES. Each stockholder entitled to vote at a meeting of stockholders or to express consent or dissent to corporate action in writing without a meeting (including by means of remote communications, if any, by which stockholders may be deemed to be present in person and vote at such meeting) may authorize another person or persons to act for him or her by proxy (executed or transmitted in a manner permitted by the Delaware General Corporation Law),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44"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SECTION 11. RATIFICATION OF ACTS OF DIRECTORS AND OFFICERS. Except as otherwise provided by law or by the Certificate of Incorporation of the Corporation, any transaction or contract or act of the Corporation or of the directors or the officers of the Corporation may be ratified by the affirmative vote of the holders of the number of shares which would have been necessary to approve such transaction, contract or act at a meeting of stockholders, or by the written consent of stockholders in lieu of a meeting.</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24" w:name="page325"/>
    <w:bookmarkEnd w:id="32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12. CONDUCT OF MEETINGS.</w:t>
      </w:r>
    </w:p>
    <w:p>
      <w:pPr>
        <w:spacing w:after="0" w:line="175" w:lineRule="exact"/>
        <w:rPr>
          <w:sz w:val="20"/>
          <w:szCs w:val="20"/>
          <w:color w:val="auto"/>
        </w:rPr>
      </w:pPr>
    </w:p>
    <w:p>
      <w:pPr>
        <w:ind w:left="220" w:right="219" w:firstLine="767"/>
        <w:spacing w:after="0" w:line="283" w:lineRule="auto"/>
        <w:tabs>
          <w:tab w:leader="none" w:pos="1182" w:val="left"/>
        </w:tabs>
        <w:numPr>
          <w:ilvl w:val="1"/>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Chairman of Meeting</w:t>
      </w:r>
      <w:r>
        <w:rPr>
          <w:rFonts w:ascii="Times New Roman" w:cs="Times New Roman" w:eastAsia="Times New Roman" w:hAnsi="Times New Roman"/>
          <w:sz w:val="13"/>
          <w:szCs w:val="13"/>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27" w:lineRule="exact"/>
        <w:rPr>
          <w:rFonts w:ascii="Times New Roman" w:cs="Times New Roman" w:eastAsia="Times New Roman" w:hAnsi="Times New Roman"/>
          <w:sz w:val="13"/>
          <w:szCs w:val="13"/>
          <w:color w:val="auto"/>
        </w:rPr>
      </w:pPr>
    </w:p>
    <w:p>
      <w:pPr>
        <w:ind w:left="220" w:right="219" w:firstLine="767"/>
        <w:spacing w:after="0" w:line="253" w:lineRule="auto"/>
        <w:tabs>
          <w:tab w:leader="none" w:pos="1190"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Rules, Regulations and Procedures</w:t>
      </w:r>
      <w:r>
        <w:rPr>
          <w:rFonts w:ascii="Times New Roman" w:cs="Times New Roman" w:eastAsia="Times New Roman" w:hAnsi="Times New Roman"/>
          <w:sz w:val="14"/>
          <w:szCs w:val="14"/>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spacing w:after="0" w:line="1" w:lineRule="exact"/>
        <w:rPr>
          <w:rFonts w:ascii="Times New Roman" w:cs="Times New Roman" w:eastAsia="Times New Roman" w:hAnsi="Times New Roman"/>
          <w:sz w:val="14"/>
          <w:szCs w:val="14"/>
          <w:color w:val="auto"/>
        </w:rPr>
      </w:pPr>
    </w:p>
    <w:p>
      <w:pPr>
        <w:ind w:left="220" w:right="279" w:hanging="5"/>
        <w:spacing w:after="0" w:line="256" w:lineRule="auto"/>
        <w:tabs>
          <w:tab w:leader="none" w:pos="457"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13. ACTION WITHOUT MEETING.</w:t>
      </w:r>
    </w:p>
    <w:p>
      <w:pPr>
        <w:spacing w:after="0" w:line="175" w:lineRule="exact"/>
        <w:rPr>
          <w:sz w:val="20"/>
          <w:szCs w:val="20"/>
          <w:color w:val="auto"/>
        </w:rPr>
      </w:pPr>
    </w:p>
    <w:p>
      <w:pPr>
        <w:ind w:left="220" w:right="259" w:firstLine="767"/>
        <w:spacing w:after="0" w:line="261" w:lineRule="auto"/>
        <w:tabs>
          <w:tab w:leader="none" w:pos="1182"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delivered to the Corporation signed by the holders of outstanding stock having not less than the minimum number of votes that would be necessary to authorize or take such action at a meeting at which all shares entitled to vote thereon were present and voted.</w:t>
      </w:r>
    </w:p>
    <w:p>
      <w:pPr>
        <w:spacing w:after="0" w:line="140" w:lineRule="exact"/>
        <w:rPr>
          <w:rFonts w:ascii="Times New Roman" w:cs="Times New Roman" w:eastAsia="Times New Roman" w:hAnsi="Times New Roman"/>
          <w:sz w:val="14"/>
          <w:szCs w:val="14"/>
          <w:color w:val="auto"/>
        </w:rPr>
      </w:pPr>
    </w:p>
    <w:p>
      <w:pPr>
        <w:ind w:left="220" w:right="279" w:firstLine="767"/>
        <w:spacing w:after="0" w:line="261" w:lineRule="auto"/>
        <w:tabs>
          <w:tab w:leader="none" w:pos="119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25" w:name="page326"/>
    <w:bookmarkEnd w:id="325"/>
    <w:p>
      <w:pPr>
        <w:ind w:left="220" w:right="459" w:firstLine="767"/>
        <w:spacing w:after="0" w:line="256" w:lineRule="auto"/>
        <w:tabs>
          <w:tab w:leader="none" w:pos="1182"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 electronic transmission consenting to an action to be taken and transmitted by a stockholder or proxy holder, or by a person or persons authorized to act for a stockholder or proxy holder, shall be deemed to be written, signed and dated for the purposes of this section, provided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w:t>
      </w:r>
    </w:p>
    <w:p>
      <w:pPr>
        <w:ind w:left="220" w:right="279" w:hanging="5"/>
        <w:spacing w:after="0" w:line="251" w:lineRule="auto"/>
        <w:tabs>
          <w:tab w:leader="none" w:pos="426"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such stockholder or proxy holder or authorized person or persons transmitted such electronic transmission. A consent given by electronic transmission is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stockholders or members are recorded; (iii) when a paper reproduction of the consent is delivered to the Corporation’s registered office in this State by hand or by certified or registered mail, return receipt requested; or (iv) when delivered in such other manner, if any, provided by resolution of the Board of Directors or governing body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61" w:lineRule="exact"/>
        <w:rPr>
          <w:sz w:val="20"/>
          <w:szCs w:val="20"/>
          <w:color w:val="auto"/>
        </w:rPr>
      </w:pPr>
    </w:p>
    <w:p>
      <w:pPr>
        <w:ind w:left="220" w:right="739" w:firstLine="343"/>
        <w:spacing w:after="0" w:line="283" w:lineRule="auto"/>
        <w:rPr>
          <w:sz w:val="20"/>
          <w:szCs w:val="20"/>
          <w:color w:val="auto"/>
        </w:rPr>
      </w:pPr>
      <w:r>
        <w:rPr>
          <w:rFonts w:ascii="Times New Roman" w:cs="Times New Roman" w:eastAsia="Times New Roman" w:hAnsi="Times New Roman"/>
          <w:sz w:val="14"/>
          <w:szCs w:val="14"/>
          <w:color w:val="auto"/>
        </w:rPr>
        <w:t>SECTION 1. GENERAL POWERS. The business and affairs of the Corporation shall be managed by or under the direction of a Board of Directors, who may exercise all of the powers of the Corporation except as otherwise provided by law or the Certificate of Incorporation.</w:t>
      </w:r>
    </w:p>
    <w:p>
      <w:pPr>
        <w:spacing w:after="0" w:line="125"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SECTION 2. NUMBER AND TENURE OF DIRECTORS. Subject to the rights of holders of any class or series of capital stock of the Corporation to elect directors, the number of directors of the Corporation shall be determined from time to time by the stockholders or the Board of Directors in a resolution adopted by the Board of Directors. Each director shall hold office until the next annual meeting of stockholders and until such director’s successor is elected and qualified or until such director’s earlier death, resignation or removal.</w:t>
      </w:r>
    </w:p>
    <w:p>
      <w:pPr>
        <w:spacing w:after="0" w:line="141"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SECTION 3. ELECTION OF DIRECTORS. Except as otherwise provided in these Bylaws, directors shall be elected at the annual meeting of stockholders by such stockholders as have the right to vote on such election. Directors need not be residents of the State of Delaware. Directors need not be stockholders of the Corporation. Elections of directors need not be by written ballot.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326" w:name="page327"/>
    <w:bookmarkEnd w:id="326"/>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4. CHAIRMAN OF THE BOARD; VICE CHAIRMAN OF THE BOARD.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43"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 QUORUM. The greater of (a) a majority of the directors at any time in office and (b) one-third of the number of directors fixed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of Article III of these Bylaws shall constitute a quorum of the Board of Directors. If less than a quorum are present at a meeting of the Board of Directors, a majority of the directors present may adjourn the meeting from time to time without further notice other than announcement at the meeting, until such quorum shall be present.</w:t>
      </w:r>
    </w:p>
    <w:p>
      <w:pPr>
        <w:spacing w:after="0" w:line="141"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SECTION 6. VOTING. The vote of the majority of the directors present at a meeting at which a quorum is present shall be the act of the Board of Directors, unless the Delaware General Corporation Law or the Certificate of Incorporation requires a vote of a greater number.</w:t>
      </w:r>
    </w:p>
    <w:p>
      <w:pPr>
        <w:spacing w:after="0" w:line="125" w:lineRule="exact"/>
        <w:rPr>
          <w:sz w:val="20"/>
          <w:szCs w:val="20"/>
          <w:color w:val="auto"/>
        </w:rPr>
      </w:pPr>
    </w:p>
    <w:p>
      <w:pPr>
        <w:ind w:left="220" w:right="479" w:firstLine="343"/>
        <w:spacing w:after="0" w:line="257" w:lineRule="auto"/>
        <w:rPr>
          <w:sz w:val="20"/>
          <w:szCs w:val="20"/>
          <w:color w:val="auto"/>
        </w:rPr>
      </w:pPr>
      <w:r>
        <w:rPr>
          <w:rFonts w:ascii="Times New Roman" w:cs="Times New Roman" w:eastAsia="Times New Roman" w:hAnsi="Times New Roman"/>
          <w:sz w:val="14"/>
          <w:szCs w:val="14"/>
          <w:color w:val="auto"/>
        </w:rPr>
        <w:t>SECTION 7. VACANCIES.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4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SECTION 8. REMOVAL OF DIRECTORS. Except as otherwise provided by the General Corporation Law of the State of Delaware, a director, or the entire Board of Directors,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141" w:lineRule="exact"/>
        <w:rPr>
          <w:sz w:val="20"/>
          <w:szCs w:val="20"/>
          <w:color w:val="auto"/>
        </w:rPr>
      </w:pPr>
    </w:p>
    <w:p>
      <w:pPr>
        <w:jc w:val="both"/>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SECTION 9. RESIGNATION.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36"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SECTION 10. REGULAR MEETINGS. Regular meetings of the Board of Directors may be held without notice at such time, place and manner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327" w:name="page328"/>
    <w:bookmarkEnd w:id="327"/>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11. SPECIAL MEETINGS. Special meetings of the Board of Directors may be called by or at the request of the Chairman of the Board, the Chief Executive Officer, the President, two or more directors or by one director in the event that there is only a single director in office. The person or persons authorized to call special meetings of the Board of Directors may fix any time, date or place, either within or without the State of Delaware, for holding any special meeting of the Board of Directors called by them.</w:t>
      </w:r>
    </w:p>
    <w:p>
      <w:pPr>
        <w:spacing w:after="0" w:line="141" w:lineRule="exact"/>
        <w:rPr>
          <w:sz w:val="20"/>
          <w:szCs w:val="20"/>
          <w:color w:val="auto"/>
        </w:rPr>
      </w:pPr>
    </w:p>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t>SECTION 12. NOTICE OF SPECIAL MEETINGS OF THE BOARD OF DIRECTORS. Notice of the date, place, if any, and time of any special meeting of the Board of Directors shall be given to each director by the Secretary or by the officer or one of the directors calling the meeting. Notice shall be duly given to each director (a) in person, by telephone, fax or by electronic transmission at least 24 hours in advance of the meeting, (b) by sending written notice by reputable overnight courier or delivering written notice by hand, to such director’s last known business, home or facsimile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44"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SECTION 13. WRITTEN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Without limiting the manner by which consent may be given, members of the Board of Directors may consent by delivery of an electronic transmission when such transmission is directed to a facsimile number or electronic mail address at which the Corporation has consented to receive such electronic transmissions, and copies of the electronic transmissions are filed with the minutes of proceedings of the Board of Directors or committee. After an action is taken, the consent or consents relating thereto shall be filed with the minutes of the proceedings of the Board of Directors, or the committee thereof, in the same paper or electronic form as the minutes are maintained.</w:t>
      </w:r>
    </w:p>
    <w:p>
      <w:pPr>
        <w:spacing w:after="0" w:line="145"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SECTION 14. PARTICIPATION BY CONFERENCE TELEPHONE.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section shall constitute presence in person at such meeting.</w:t>
      </w:r>
    </w:p>
    <w:p>
      <w:pPr>
        <w:spacing w:after="0" w:line="141"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SECTION 15. COMMITTEES.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28" w:name="page329"/>
    <w:bookmarkEnd w:id="328"/>
    <w:p>
      <w:pPr>
        <w:ind w:left="220" w:right="2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law to be submitted to stockholders for approval or (ii) adopting, amending or repealing any bylaw of the Corporation.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44"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t>SECTION 16.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OFFICERS</w:t>
      </w:r>
    </w:p>
    <w:p>
      <w:pPr>
        <w:spacing w:after="0" w:line="161" w:lineRule="exact"/>
        <w:rPr>
          <w:sz w:val="20"/>
          <w:szCs w:val="20"/>
          <w:color w:val="auto"/>
        </w:rPr>
      </w:pPr>
    </w:p>
    <w:p>
      <w:pPr>
        <w:ind w:left="220" w:right="499" w:firstLine="343"/>
        <w:spacing w:after="0" w:line="258" w:lineRule="auto"/>
        <w:rPr>
          <w:sz w:val="20"/>
          <w:szCs w:val="20"/>
          <w:color w:val="auto"/>
        </w:rPr>
      </w:pPr>
      <w:r>
        <w:rPr>
          <w:rFonts w:ascii="Times New Roman" w:cs="Times New Roman" w:eastAsia="Times New Roman" w:hAnsi="Times New Roman"/>
          <w:sz w:val="14"/>
          <w:szCs w:val="14"/>
          <w:color w:val="auto"/>
        </w:rPr>
        <w:t>SECTION 1. GENERAL PROVISIONS.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 No officer need be a stockholder. Any two or more offices may be held by the same person. The officers elected by the Board of Directors shall have such duties as are hereafter described and such additional duties as the Board of Directors may from time to time prescribe.</w:t>
      </w:r>
    </w:p>
    <w:p>
      <w:pPr>
        <w:spacing w:after="0" w:line="144"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SECTION 2. ELECTION AND TERM OF OFFICE. The Chief Executive Officer, President, Treasurer and Secretary shall be elected annually by the Board of Directors at the regular meeting of the Board of Directors held after each annual meeting of the stockholders. If the election of officers is not held at such meeting, such election shall be held as soon thereafter as may be convenient. Other officers may be appointed at any time, at a meeting or by the written consent of the Board of Directors. Except as otherwise provided by law, by the Certificate of Incorporation or by these Bylaws, each officer shall hold office until his or her successor has been duly elected and qualified, unless a different term is specified in the resolution electing or appointing such officer, or until his or her earlier death, resignation or removal. Election or appointment of an officer or agent shall not of itself create contract rights.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29" w:name="page330"/>
    <w:bookmarkEnd w:id="329"/>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3. RESIGNATION AND REMOVAL OF OFFICERS.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44"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SECTION 4. VACANCIES. The Board of Directors may fill any vacancy occurring in any office for any reason and may, in its discretion, leave unfilled for such period as it may determine any offices other than those required by the Delaware General Corporation Law. Each such successor shall hold office for the unexpired term of such officer’s predecessor and until a successor is elected and qualified, or until such officer’s earlier death, resignation or removal.</w:t>
      </w:r>
    </w:p>
    <w:p>
      <w:pPr>
        <w:spacing w:after="0" w:line="141" w:lineRule="exact"/>
        <w:rPr>
          <w:sz w:val="20"/>
          <w:szCs w:val="20"/>
          <w:color w:val="auto"/>
        </w:rPr>
      </w:pPr>
    </w:p>
    <w:p>
      <w:pPr>
        <w:ind w:left="220" w:right="279" w:firstLine="343"/>
        <w:spacing w:after="0" w:line="254" w:lineRule="auto"/>
        <w:rPr>
          <w:sz w:val="20"/>
          <w:szCs w:val="20"/>
          <w:color w:val="auto"/>
        </w:rPr>
      </w:pPr>
      <w:r>
        <w:rPr>
          <w:rFonts w:ascii="Times New Roman" w:cs="Times New Roman" w:eastAsia="Times New Roman" w:hAnsi="Times New Roman"/>
          <w:sz w:val="14"/>
          <w:szCs w:val="14"/>
          <w:color w:val="auto"/>
        </w:rPr>
        <w:t>SECTION 5. THE CHIEF EXECUTIVE OFFICER. Unless the Board of Directors has designated another person as the Corporation’s Chief Executive Officer, the President shall be the Chief Executive Officer of the Corporation. The Chief Executive Officer shall have general charge and supervision of the business and affairs of the Corporation subject to the direction of the Board of Directors, and shall perform all duties and have all powers that are commonly incident to the office of chief executive or that are delegated to such officer by the Board of Directors. The Chief Executive Officer shall preside at all meetings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or her decision as to any matter affecting the Corporation shall be final and binding as between the officers of the Corporation subject only to the Board of Directors.</w:t>
      </w:r>
    </w:p>
    <w:p>
      <w:pPr>
        <w:spacing w:after="0" w:line="146"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SECTION 6. THE PRESIDENT. In the absence of the Chief Executive Officer or in the event of his or her inability or refusal to act,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or the Board of Directors. The President shall have concurrent power with the Chief Executive Officer to sign bonds, mortgages, certificates for shares and other contracts and documents, whether or not under the seal of the Corporation except in cases where the signing and execution thereof shall be expressly delegated by law, by the Board of Directors, or by these Bylaws to some other officer or agent of the Corporation. In general, the President shall perform all duties incident to the office of president and such other duties as the Chief Executive Officer (if the President is not the Chief Executive Officer) or the Board of Directors may from time to time prescribe.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30" w:name="page331"/>
    <w:bookmarkEnd w:id="330"/>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7. THE VICE PRESIDENT. In the absence of the President or in the event of his or her inability or refusal to act, the Vice President (or in the event there be more than one Vice President, the Executive Vice President and then the other Vice President or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Chief Executive Officer or the Board of Directors may from time to time prescribe.</w:t>
      </w:r>
    </w:p>
    <w:p>
      <w:pPr>
        <w:spacing w:after="0" w:line="144"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SECTION 8. THE SECRETARY. The Secretary shall perform such duties and shall have such powers as the Board of Directors or the Chief Executive Officer may from time to time prescribe. The Secretary shall perform such duties and have such powers as are incident to the office of the secretary, including without limitation the duty and power to attend all meetings of the Board of Directors and all meetings of the stockholders and record all the proceedings in a book to be kept for that purpose and shall perform like duties for the standing committees when required and to maintain a stock ledger and prepare lists of stockholders and their addresses as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or she shall be. The Secretary shall have custody of the corporate records and the corporate seal of the Corporation and the Secretary,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46"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SECTION 9. THE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Chief Executive Officer, the Board of Directors or the Secretary may from time to time prescribe. In the absence of the Secretary or any Assistant Secretary at any meeting of stockholders or directors, the chairman of the meeting shall designate a temporary secretary to keep a record of the meeting.</w:t>
      </w:r>
    </w:p>
    <w:p>
      <w:pPr>
        <w:spacing w:after="0" w:line="143"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SECTION 10. THE TREASURER.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have the custody of the corporate funds and securities and to keep full and accurate accounts of receipts and disbursements in books belonging to the Corporation and deposit all moneys and other valuable effects in the name and to the credit of the Corporation in such depositories as may be designated by the Board of Directors. The Treasurer shall disburse the funds of the Corporation as may be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331" w:name="page332"/>
    <w:bookmarkEnd w:id="331"/>
    <w:p>
      <w:pPr>
        <w:ind w:left="22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ordered by the Board of Directors, taking proper vouchers for such disbursements, and shall render to the President and the Board of Directors, as required by the Board of Directors, an account of all his or her transactions as Treasurer and of the financial condition of the Corporation. If required by the Board of Directors, the Treasurer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4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SECTION 11. THE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or her inability or refusal to act, perform the duties and exercise the powers of the Treasurer and shall perform such other duties and have such other powers as the Chief Executive Officer, the Board of Directors or the Treasurer may from time to time prescribe.</w:t>
      </w:r>
    </w:p>
    <w:p>
      <w:pPr>
        <w:spacing w:after="0" w:line="141" w:lineRule="exact"/>
        <w:rPr>
          <w:sz w:val="20"/>
          <w:szCs w:val="20"/>
          <w:color w:val="auto"/>
        </w:rPr>
      </w:pPr>
    </w:p>
    <w:p>
      <w:pPr>
        <w:jc w:val="both"/>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SECTION 12. OTHER OFFICERS, ASSISTANT OFFICERS AND AGENTS. Officers, Assistant Officers and Agents, if any, other than those whose duties are provided for in these Bylaws, shall have such authority and perform such duties as may from time to time be prescribed by resolution of the Board of Directors.</w:t>
      </w:r>
    </w:p>
    <w:p>
      <w:pPr>
        <w:spacing w:after="0" w:line="136" w:lineRule="exact"/>
        <w:rPr>
          <w:sz w:val="20"/>
          <w:szCs w:val="20"/>
          <w:color w:val="auto"/>
        </w:rPr>
      </w:pPr>
    </w:p>
    <w:p>
      <w:pPr>
        <w:jc w:val="both"/>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SECTION 13. ABSENCE OF OFFICERS, DELEGATION OF AUTHORITY. In the absence of any officer of the Corporation, or for any other reason the Board of Directors may deem sufficient, the Board of Directors may from time to time delegate the powers or duties, or any of such powers or duties, of any officers or officer to any other officer or to any director.</w:t>
      </w:r>
    </w:p>
    <w:p>
      <w:pPr>
        <w:spacing w:after="0" w:line="136" w:lineRule="exact"/>
        <w:rPr>
          <w:sz w:val="20"/>
          <w:szCs w:val="20"/>
          <w:color w:val="auto"/>
        </w:rPr>
      </w:pPr>
    </w:p>
    <w:p>
      <w:pPr>
        <w:ind w:left="220" w:right="1059" w:firstLine="343"/>
        <w:spacing w:after="0" w:line="283" w:lineRule="auto"/>
        <w:rPr>
          <w:sz w:val="20"/>
          <w:szCs w:val="20"/>
          <w:color w:val="auto"/>
        </w:rPr>
      </w:pPr>
      <w:r>
        <w:rPr>
          <w:rFonts w:ascii="Times New Roman" w:cs="Times New Roman" w:eastAsia="Times New Roman" w:hAnsi="Times New Roman"/>
          <w:sz w:val="14"/>
          <w:szCs w:val="14"/>
          <w:color w:val="auto"/>
        </w:rPr>
        <w:t>SECTION 14. COMPENSATION. The Board of Directors shall have the authority to establish reasonable salaries, compensation or reimbursement of all officers for services to the Corporation.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61"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SECTION 1. ISSUANCE OF STOCK.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2. CERTIFICATES OF SHARES; UNCERTIFICATED SHARES.</w:t>
      </w:r>
    </w:p>
    <w:p>
      <w:pPr>
        <w:spacing w:after="0" w:line="175" w:lineRule="exact"/>
        <w:rPr>
          <w:sz w:val="20"/>
          <w:szCs w:val="20"/>
          <w:color w:val="auto"/>
        </w:rPr>
      </w:pPr>
    </w:p>
    <w:p>
      <w:pPr>
        <w:ind w:left="220" w:right="239" w:firstLine="767"/>
        <w:spacing w:after="0" w:line="257" w:lineRule="auto"/>
        <w:tabs>
          <w:tab w:leader="none" w:pos="118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signed in a manner that complies with Section 158 of the Delaware General Corporation Law, representing the number of shares held by such holder registered in certificate form. Any or all the signatures on the certificate may be a facsimile or pdf.</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332" w:name="page333"/>
    <w:bookmarkEnd w:id="332"/>
    <w:p>
      <w:pPr>
        <w:ind w:left="220" w:right="459" w:firstLine="767"/>
        <w:spacing w:after="0" w:line="267" w:lineRule="auto"/>
        <w:tabs>
          <w:tab w:leader="none" w:pos="119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35" w:lineRule="exact"/>
        <w:rPr>
          <w:rFonts w:ascii="Times New Roman" w:cs="Times New Roman" w:eastAsia="Times New Roman" w:hAnsi="Times New Roman"/>
          <w:sz w:val="14"/>
          <w:szCs w:val="14"/>
          <w:color w:val="auto"/>
        </w:rPr>
      </w:pPr>
    </w:p>
    <w:p>
      <w:pPr>
        <w:ind w:left="220" w:right="419" w:firstLine="767"/>
        <w:spacing w:after="0" w:line="256" w:lineRule="auto"/>
        <w:tabs>
          <w:tab w:leader="none" w:pos="118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43" w:lineRule="exact"/>
        <w:rPr>
          <w:rFonts w:ascii="Times New Roman" w:cs="Times New Roman" w:eastAsia="Times New Roman" w:hAnsi="Times New Roman"/>
          <w:sz w:val="14"/>
          <w:szCs w:val="14"/>
          <w:color w:val="auto"/>
        </w:rPr>
      </w:pPr>
    </w:p>
    <w:p>
      <w:pPr>
        <w:ind w:left="220" w:right="279" w:firstLine="767"/>
        <w:spacing w:after="0" w:line="258" w:lineRule="auto"/>
        <w:tabs>
          <w:tab w:leader="none" w:pos="119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44"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SECTION 3. SIGNATURES OF FORMER OFFICER,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41"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SECTION 4. TRANSFER OF SHARES. Transfers of shares of the Corporation shall be made only on the books of the Corporation, or by transfer agents designated to transfer shares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333" w:name="page334"/>
    <w:bookmarkEnd w:id="333"/>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5. LOST, DESTROYED OR STOLEN CERTIFICATES. Whenever a certificate representing shares of the Corporation has been lost, destroyed or stolen, the holder thereof may file in the office of the Corporation an affidavit setting forth, to the best of his or her knowledge and belief, the time, place, and circumstance of such loss, destruction or theft together with a statement of indemnity and posting of such bond sufficient in the opinion of the Board of Directors to indemnify the Corporation against any claim that may be made against it on account of the alleged loss of any such certificate. Thereupon the Board may cause to be issued to such person or such person’s legal representative a new certificate or a duplicate of the certificate alleged to have been lost, destroyed or stolen. In the exercise of its discretion, the Board of Directors may waive the indemnification and bond requirements provided herein.</w:t>
      </w:r>
    </w:p>
    <w:p>
      <w:pPr>
        <w:spacing w:after="0" w:line="144" w:lineRule="exact"/>
        <w:rPr>
          <w:sz w:val="20"/>
          <w:szCs w:val="20"/>
          <w:color w:val="auto"/>
        </w:rPr>
      </w:pPr>
    </w:p>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t>SECTION 6. REGULATIONS. The issue, transfer, conversion and registration of shares of stock of the Corporation shall be governed by such other regulations as the Board of Directors may establish.</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RESTRICTIONS ON TRANSFER AND RIGHT OF FIRST REFUSAL.</w:t>
      </w:r>
    </w:p>
    <w:p>
      <w:pPr>
        <w:spacing w:after="0" w:line="161"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SECTION 1. TRANSFERS. If a holder of any shares of stock of the Corporation (a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proposes to, directly or indirectly, sell, assign, transfer, pledge, hypothecate or otherwise dispose of, by operation of law or otherwise (collectively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any such shares, or any right or interest therein (including, without limitation, the entering into of any swap or other arrangement that Transfers to another, in whole or in part, any of the economic consequences of ownership of the common stock of the Corporation, whether any such transaction described above is to be settled by delivery of common stock of the Corporation or other securities, in cash or otherwise), pursuant to a bona fide offer acceptable to such Holder, then Holder shall first give written notice of the proposed Transfer (the “</w:t>
      </w:r>
      <w:r>
        <w:rPr>
          <w:rFonts w:ascii="Times New Roman" w:cs="Times New Roman" w:eastAsia="Times New Roman" w:hAnsi="Times New Roman"/>
          <w:sz w:val="14"/>
          <w:szCs w:val="14"/>
          <w:u w:val="single" w:color="auto"/>
          <w:color w:val="auto"/>
        </w:rPr>
        <w:t>Transfer Notice</w:t>
      </w:r>
      <w:r>
        <w:rPr>
          <w:rFonts w:ascii="Times New Roman" w:cs="Times New Roman" w:eastAsia="Times New Roman" w:hAnsi="Times New Roman"/>
          <w:sz w:val="14"/>
          <w:szCs w:val="14"/>
          <w:color w:val="auto"/>
        </w:rPr>
        <w:t>”) to the Corporation. The Transfer Notice shall state the name of the proposed transferee, the number of shares Holder proposes to Transfer (the “</w:t>
      </w:r>
      <w:r>
        <w:rPr>
          <w:rFonts w:ascii="Times New Roman" w:cs="Times New Roman" w:eastAsia="Times New Roman" w:hAnsi="Times New Roman"/>
          <w:sz w:val="14"/>
          <w:szCs w:val="14"/>
          <w:u w:val="single" w:color="auto"/>
          <w:color w:val="auto"/>
        </w:rPr>
        <w:t>Offered Shares</w:t>
      </w:r>
      <w:r>
        <w:rPr>
          <w:rFonts w:ascii="Times New Roman" w:cs="Times New Roman" w:eastAsia="Times New Roman" w:hAnsi="Times New Roman"/>
          <w:sz w:val="14"/>
          <w:szCs w:val="14"/>
          <w:color w:val="auto"/>
        </w:rPr>
        <w:t>”), whether the Offered Shares are vested or unvested shares, the price per share and all other material terms and conditions of the Transfer, including any available exemption set forth in Section 4 below from the restrictions set forth in Sections 2 and 3 below and shall include a confirmation from the Holder that the proposed transferee is an accredited investor as defined in Rule 501(a) of Regulation D promulgated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SECTION 2. CONSENT TO TRANSFER. Except as specifically provided herein, the prior written consent of the Corporation (upon duly authorized action of its Board of Directors) shall be required for any Transfer of any shares of the Corporation. The Corporation may withhold consent for any legitimate corporate purpose, as determined by the Corporation’s Board of Directors. The Corporation shall notify Holder within 30 days of receipt of the Transfer Notice indicating whether consent has been provided for the proposed Transfer (a “</w:t>
      </w:r>
      <w:r>
        <w:rPr>
          <w:rFonts w:ascii="Times New Roman" w:cs="Times New Roman" w:eastAsia="Times New Roman" w:hAnsi="Times New Roman"/>
          <w:sz w:val="14"/>
          <w:szCs w:val="14"/>
          <w:u w:val="single" w:color="auto"/>
          <w:color w:val="auto"/>
        </w:rPr>
        <w:t>Transfer Approval</w:t>
      </w:r>
      <w:r>
        <w:rPr>
          <w:rFonts w:ascii="Times New Roman" w:cs="Times New Roman" w:eastAsia="Times New Roman" w:hAnsi="Times New Roman"/>
          <w:sz w:val="14"/>
          <w:szCs w:val="14"/>
          <w:color w:val="auto"/>
        </w:rPr>
        <w:t>”) or withheld (a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Denial</w:t>
      </w:r>
      <w:r>
        <w:rPr>
          <w:rFonts w:ascii="Times New Roman" w:cs="Times New Roman" w:eastAsia="Times New Roman" w:hAnsi="Times New Roman"/>
          <w:sz w:val="14"/>
          <w:szCs w:val="14"/>
          <w:color w:val="auto"/>
        </w:rPr>
        <w:t>” and together with “Transfer Approval”, the “</w:t>
      </w:r>
      <w:r>
        <w:rPr>
          <w:rFonts w:ascii="Times New Roman" w:cs="Times New Roman" w:eastAsia="Times New Roman" w:hAnsi="Times New Roman"/>
          <w:sz w:val="14"/>
          <w:szCs w:val="14"/>
          <w:u w:val="single" w:color="auto"/>
          <w:color w:val="auto"/>
        </w:rPr>
        <w:t>Transfer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334" w:name="page335"/>
    <w:bookmarkEnd w:id="334"/>
    <w:p>
      <w:pPr>
        <w:ind w:left="220" w:right="259"/>
        <w:spacing w:after="0" w:line="258"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Determination</w:t>
      </w:r>
      <w:r>
        <w:rPr>
          <w:rFonts w:ascii="Times New Roman" w:cs="Times New Roman" w:eastAsia="Times New Roman" w:hAnsi="Times New Roman"/>
          <w:sz w:val="14"/>
          <w:szCs w:val="14"/>
          <w:color w:val="auto"/>
        </w:rPr>
        <w:t>”). For purposes of clarity, a Holder shall not be entitled to Transfer any shares if such proposed Transfer results in a Transfer Denial. Any Transfer made following a Transfer Determination that results in a Transfer Approval shall be effected pursuant to a transfer agreement in a form reasonably acceptable to the Corporation (which form shall include, without limitation, a release in favor of the Corporation and representations from the Holder and transferee that the Corporation is not a party to the transaction and has made no representations to the transferee). This provision shall not apply to any Transfer of Preferred Stock of the Corporation or the shares of Common Stock issued upon conversion thereof.</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3. RIGHT OF FIRST REFUSAL.</w:t>
      </w:r>
    </w:p>
    <w:p>
      <w:pPr>
        <w:spacing w:after="0" w:line="175" w:lineRule="exact"/>
        <w:rPr>
          <w:sz w:val="20"/>
          <w:szCs w:val="20"/>
          <w:color w:val="auto"/>
        </w:rPr>
      </w:pPr>
    </w:p>
    <w:p>
      <w:pPr>
        <w:ind w:left="220" w:right="259" w:firstLine="767"/>
        <w:spacing w:after="0" w:line="254" w:lineRule="auto"/>
        <w:tabs>
          <w:tab w:leader="none" w:pos="1182"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exceptions set forth in Section 3(e) below, for 30 days following a Transfer Determination that results in a Transfer Approval, the Corporation or its assigns shall have the option to purchase all or part of the Offered Shares at the price and upon the terms set forth in the Transfer Notice (the “</w:t>
      </w:r>
      <w:r>
        <w:rPr>
          <w:rFonts w:ascii="Times New Roman" w:cs="Times New Roman" w:eastAsia="Times New Roman" w:hAnsi="Times New Roman"/>
          <w:sz w:val="14"/>
          <w:szCs w:val="14"/>
          <w:u w:val="single" w:color="auto"/>
          <w:color w:val="auto"/>
        </w:rPr>
        <w:t>Right of First Refusal</w:t>
      </w:r>
      <w:r>
        <w:rPr>
          <w:rFonts w:ascii="Times New Roman" w:cs="Times New Roman" w:eastAsia="Times New Roman" w:hAnsi="Times New Roman"/>
          <w:sz w:val="14"/>
          <w:szCs w:val="14"/>
          <w:color w:val="auto"/>
        </w:rPr>
        <w:t xml:space="preserve">”). In the event the Corporation or its assigns, as applicable, elects to purchase all or part of the Offered Shares, it shall give written notice of such election to the Holder within such 30 day period. Within 10 days after Holder’s receipt of such notice, Holder shall tender to the Corporation at its principal offices the certificate or certificates representing the Offered Shares to be purchased by the Corporation, duly endorsed in blank by Holder or with duly endorsed stock powers attached thereto, all in a form suitable for Transfer of the Offered Shares to the Corporation. Promptly following receipt of such certificate or certificates, the Corporation or its assigns, as applicable, shall deliver or mail to Holder a check in payment of the purchase price for such Offered Shares;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if the terms of payment set forth in the Transfer Notice were other than cash against delivery, the Corporation or its assigns, as applicable, may pay for the Offered Shares on the same terms and conditions as were set forth in the Transfer Notice.</w:t>
      </w:r>
    </w:p>
    <w:p>
      <w:pPr>
        <w:spacing w:after="0" w:line="146" w:lineRule="exact"/>
        <w:rPr>
          <w:rFonts w:ascii="Times New Roman" w:cs="Times New Roman" w:eastAsia="Times New Roman" w:hAnsi="Times New Roman"/>
          <w:sz w:val="14"/>
          <w:szCs w:val="14"/>
          <w:color w:val="auto"/>
        </w:rPr>
      </w:pPr>
    </w:p>
    <w:p>
      <w:pPr>
        <w:ind w:left="220" w:right="299" w:firstLine="767"/>
        <w:spacing w:after="0" w:line="255" w:lineRule="auto"/>
        <w:tabs>
          <w:tab w:leader="none" w:pos="119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Corporation or its assigns, as applicable, does not elect to acquire any of the Offered Shares, Holder may, within the 30-day period following the expiration of the option granted to the Corporation under Section 3(a) above, Transfer the Offered Shares that the Corporation has not elected to acquire to the proposed transferee,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such Transfer shall not be on terms and conditions more favorable to the transferee than those contained in the Transfer Notice, such Transfer shall be only to a prospective transferee that is an accredited investor as defined in Rule 501(a) of Regulation D promulgated under the Securities Act and such Transfer shall comply with the Securities Act. Notwithstanding any of the above, all Offered Shares transferred pursuant to this Section 3 shall remain subject to these Bylaws and any equity grant agreement such Offered Shares were subject to and such transferee shall, as a condition to such Transfer, deliver to the Corporation a written instrument confirming that such transferee shall be bound by all of the terms and conditions of these Bylaws and any applicable equity grant agreement.</w:t>
      </w:r>
    </w:p>
    <w:p>
      <w:pPr>
        <w:spacing w:after="0" w:line="145" w:lineRule="exact"/>
        <w:rPr>
          <w:rFonts w:ascii="Times New Roman" w:cs="Times New Roman" w:eastAsia="Times New Roman" w:hAnsi="Times New Roman"/>
          <w:sz w:val="14"/>
          <w:szCs w:val="14"/>
          <w:color w:val="auto"/>
        </w:rPr>
      </w:pPr>
    </w:p>
    <w:p>
      <w:pPr>
        <w:jc w:val="both"/>
        <w:ind w:left="220" w:right="379" w:firstLine="767"/>
        <w:spacing w:after="0" w:line="261" w:lineRule="auto"/>
        <w:tabs>
          <w:tab w:leader="none" w:pos="1182"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time at which the Offered Shares are required to be delivered to the Corporation for Transfer to the Corporation pursuant to subsection 3(a) above, the Corporation shall not pay any dividend to Holder on account of such Offered Shares or permit Holder to exercise any of the privileges or rights of a stockholder with respect to such Offered Shares, but shall, insofar as permitted by law, treat the Corporation as the owner of such Offered Shares.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335" w:name="page336"/>
    <w:bookmarkEnd w:id="335"/>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 The Corporation may assign its Right of First Refusal in any particular transaction under this Section 3 to one or more persons or</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entities.</w:t>
      </w:r>
    </w:p>
    <w:p>
      <w:pPr>
        <w:spacing w:after="0" w:line="161" w:lineRule="exact"/>
        <w:rPr>
          <w:sz w:val="20"/>
          <w:szCs w:val="20"/>
          <w:color w:val="auto"/>
        </w:rPr>
      </w:pPr>
    </w:p>
    <w:p>
      <w:pPr>
        <w:ind w:left="220" w:right="379" w:firstLine="767"/>
        <w:spacing w:after="0" w:line="283" w:lineRule="auto"/>
        <w:tabs>
          <w:tab w:leader="none" w:pos="1182"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Section 3 shall not apply to any Transfer of Preferred Stock of the Corporation or the shares of Common Stock issued upon conversion thereof.</w:t>
      </w:r>
    </w:p>
    <w:p>
      <w:pPr>
        <w:spacing w:after="0" w:line="124" w:lineRule="exact"/>
        <w:rPr>
          <w:rFonts w:ascii="Times New Roman" w:cs="Times New Roman" w:eastAsia="Times New Roman" w:hAnsi="Times New Roman"/>
          <w:sz w:val="14"/>
          <w:szCs w:val="14"/>
          <w:color w:val="auto"/>
        </w:rPr>
      </w:pPr>
    </w:p>
    <w:p>
      <w:pPr>
        <w:ind w:left="220" w:right="319" w:firstLine="767"/>
        <w:spacing w:after="0" w:line="267" w:lineRule="auto"/>
        <w:tabs>
          <w:tab w:leader="none" w:pos="1167"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Corporation has entered into any written agreement with the stockholder attempting to Transfer shares that grants the Corporation a right of first refusal with respect thereto (“</w:t>
      </w:r>
      <w:r>
        <w:rPr>
          <w:rFonts w:ascii="Times New Roman" w:cs="Times New Roman" w:eastAsia="Times New Roman" w:hAnsi="Times New Roman"/>
          <w:sz w:val="14"/>
          <w:szCs w:val="14"/>
          <w:u w:val="single" w:color="auto"/>
          <w:color w:val="auto"/>
        </w:rPr>
        <w:t>Separate ROFR Terms</w:t>
      </w:r>
      <w:r>
        <w:rPr>
          <w:rFonts w:ascii="Times New Roman" w:cs="Times New Roman" w:eastAsia="Times New Roman" w:hAnsi="Times New Roman"/>
          <w:sz w:val="14"/>
          <w:szCs w:val="14"/>
          <w:color w:val="auto"/>
        </w:rPr>
        <w:t>”), then such Separate ROFR Terms shall supersede this Section 3 of Article VI and shall control such stockholder’s proposed Transfer of shares following a Transfer Determination that results in a Transfer Approval.</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4. EXCEPTIONS.</w:t>
      </w:r>
    </w:p>
    <w:p>
      <w:pPr>
        <w:spacing w:after="0" w:line="175" w:lineRule="exact"/>
        <w:rPr>
          <w:sz w:val="20"/>
          <w:szCs w:val="20"/>
          <w:color w:val="auto"/>
        </w:rPr>
      </w:pPr>
    </w:p>
    <w:p>
      <w:pPr>
        <w:ind w:left="1180" w:hanging="193"/>
        <w:spacing w:after="0"/>
        <w:tabs>
          <w:tab w:leader="none" w:pos="118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Article VI may be waived with respect to any Transfer upon duly authorized action of its Board of Directors.</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transaction shall be exempt from the consent requirements set forth in Article VI, Section 2:</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54" w:lineRule="auto"/>
        <w:tabs>
          <w:tab w:leader="none" w:pos="1565"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made for bona fide estate planning purposes to or for the benefit of (i) any spouse, children, parents, uncles, aunts, siblings or grandchildren of the Holder or any other relatives of the Holder that have been approved by the Board of Directors (collectively, “</w:t>
      </w:r>
      <w:r>
        <w:rPr>
          <w:rFonts w:ascii="Times New Roman" w:cs="Times New Roman" w:eastAsia="Times New Roman" w:hAnsi="Times New Roman"/>
          <w:sz w:val="14"/>
          <w:szCs w:val="14"/>
          <w:u w:val="single" w:color="auto"/>
          <w:color w:val="auto"/>
        </w:rPr>
        <w:t>Approved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Relatives</w:t>
      </w:r>
      <w:r>
        <w:rPr>
          <w:rFonts w:ascii="Times New Roman" w:cs="Times New Roman" w:eastAsia="Times New Roman" w:hAnsi="Times New Roman"/>
          <w:sz w:val="14"/>
          <w:szCs w:val="14"/>
          <w:color w:val="auto"/>
        </w:rPr>
        <w:t>”), (ii) a custodian or trustee of any trust established solely for the benefit of the Holder and/or Approved Relatives or (iii) where the Holder is a trust, (x) a custodian or trustee of any trust established solely for the benefit of one or more beneficiaries of the Holder trust and/or Approved Relatives of any such beneficiaries or (y) one or more beneficiaries of the Holder trust and/or Approved Relatives of any such beneficiaries; provided however, such shares shall remain subject to these Bylaws and any existing equity grant agreement and such transferee shall, as a condition to such Transfer, deliver to the Corporation a written instrument confirming that such transferee shall be bound by all of the terms and conditions of these Bylaws and any applicable equity grant agreement and there shall be no further Transfer of such shares except in accordance with these Bylaws; and provided further that such Transfer is made pursuant to a transaction in which there is no consideration actually paid for such transfer.</w:t>
      </w:r>
    </w:p>
    <w:p>
      <w:pPr>
        <w:spacing w:after="0" w:line="148"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transactions shall be exempt from the restrictions set forth in Article VI, Section 3:</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61" w:lineRule="auto"/>
        <w:tabs>
          <w:tab w:leader="none" w:pos="1565"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made for bona fide estate planning purposes to or for the benefit of (i) any Approved Relatives, (ii) a custodian or trustee of any trust established solely for the benefit of the Holder and/or Approved Relatives or (iii) where the Holder is a trust, (x) a custodian or trustee of any trust established solely for the benefit of one or more beneficiaries of the Holder trust and/or Approved Relatives of any such beneficiaries or (y) one or more beneficiaries of the Holder trust and/or Approved Relatives of any such beneficiaries;</w:t>
      </w:r>
    </w:p>
    <w:p>
      <w:pPr>
        <w:spacing w:after="0" w:line="140" w:lineRule="exact"/>
        <w:rPr>
          <w:rFonts w:ascii="Times New Roman" w:cs="Times New Roman" w:eastAsia="Times New Roman" w:hAnsi="Times New Roman"/>
          <w:sz w:val="14"/>
          <w:szCs w:val="14"/>
          <w:color w:val="auto"/>
        </w:rPr>
      </w:pPr>
    </w:p>
    <w:p>
      <w:pPr>
        <w:ind w:left="220" w:right="699" w:firstLine="1110"/>
        <w:spacing w:after="0" w:line="283" w:lineRule="auto"/>
        <w:tabs>
          <w:tab w:leader="none" w:pos="1557"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made as part of the sale of all or substantially all of the shares of capital stock of the Corporation (including pursuant to a merger or consolidation);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336" w:name="page337"/>
    <w:bookmarkEnd w:id="336"/>
    <w:p>
      <w:pPr>
        <w:ind w:left="1560" w:hanging="230"/>
        <w:spacing w:after="0"/>
        <w:tabs>
          <w:tab w:leader="none" w:pos="156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any Transfer pursuant to an effective registration statement filed by the Corporation under the Securities Act;</w:t>
      </w:r>
    </w:p>
    <w:p>
      <w:pPr>
        <w:spacing w:after="0" w:line="175" w:lineRule="exact"/>
        <w:rPr>
          <w:rFonts w:ascii="Times New Roman" w:cs="Times New Roman" w:eastAsia="Times New Roman" w:hAnsi="Times New Roman"/>
          <w:sz w:val="14"/>
          <w:szCs w:val="14"/>
          <w:color w:val="auto"/>
        </w:rPr>
      </w:pPr>
    </w:p>
    <w:p>
      <w:pPr>
        <w:ind w:left="1560" w:hanging="230"/>
        <w:spacing w:after="0"/>
        <w:tabs>
          <w:tab w:leader="none" w:pos="156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stockholder’s bona fide pledge or mortgage of any Common Stock with a commercial lending institution;</w:t>
      </w:r>
    </w:p>
    <w:p>
      <w:pPr>
        <w:spacing w:after="0" w:line="175" w:lineRule="exact"/>
        <w:rPr>
          <w:rFonts w:ascii="Times New Roman" w:cs="Times New Roman" w:eastAsia="Times New Roman" w:hAnsi="Times New Roman"/>
          <w:sz w:val="14"/>
          <w:szCs w:val="14"/>
          <w:color w:val="auto"/>
        </w:rPr>
      </w:pPr>
    </w:p>
    <w:p>
      <w:pPr>
        <w:ind w:left="220" w:right="379" w:firstLine="1110"/>
        <w:spacing w:after="0" w:line="267" w:lineRule="auto"/>
        <w:tabs>
          <w:tab w:leader="none" w:pos="1549"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corporate stockholder’s Transfer of any or all of its shares pursuant to and in accordance with the terms of any merger, consolidation, reclassification of common stock or capital reorganization of the corporate stockholder, or pursuant to a sale of all or substantially all of the stock or assets of a corporate stockholder;</w:t>
      </w:r>
    </w:p>
    <w:p>
      <w:pPr>
        <w:spacing w:after="0" w:line="135" w:lineRule="exact"/>
        <w:rPr>
          <w:rFonts w:ascii="Times New Roman" w:cs="Times New Roman" w:eastAsia="Times New Roman" w:hAnsi="Times New Roman"/>
          <w:sz w:val="14"/>
          <w:szCs w:val="14"/>
          <w:color w:val="auto"/>
        </w:rPr>
      </w:pPr>
    </w:p>
    <w:p>
      <w:pPr>
        <w:ind w:left="1540" w:hanging="210"/>
        <w:spacing w:after="0"/>
        <w:tabs>
          <w:tab w:leader="none" w:pos="154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corporate stockholder’s Transfer of any or all of its shares to any or all of its stockholders; and</w:t>
      </w:r>
    </w:p>
    <w:p>
      <w:pPr>
        <w:spacing w:after="0" w:line="175" w:lineRule="exact"/>
        <w:rPr>
          <w:rFonts w:ascii="Times New Roman" w:cs="Times New Roman" w:eastAsia="Times New Roman" w:hAnsi="Times New Roman"/>
          <w:sz w:val="14"/>
          <w:szCs w:val="14"/>
          <w:color w:val="auto"/>
        </w:rPr>
      </w:pPr>
    </w:p>
    <w:p>
      <w:pPr>
        <w:ind w:left="1560" w:hanging="230"/>
        <w:spacing w:after="0"/>
        <w:tabs>
          <w:tab w:leader="none" w:pos="1560"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of any or all of the shares held by a stockholder which is a limited or general partnership to any or all of its partners.</w:t>
      </w:r>
    </w:p>
    <w:p>
      <w:pPr>
        <w:spacing w:after="0" w:line="175"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Transfer pursuant to Sections 4(c)(A) and (D)-(G) above, such shares shall remain subject to these Bylaws and any existing equity grant agreement and such transferee shall, as a condition to such Transfer, deliver to the Corporation a written instrument confirming that such transferee shall be bound by all of the terms and conditions of these Bylaws and any applicable equity grant agreement and there shall be no further Transfer of such shares except in accordance with these Bylaws; provided further in the case of any Transfer pursuant to Section 4(c)(A), that such Transfer is made pursuant to a transaction in which there is no consideration actually paid for such Transfer.</w:t>
      </w:r>
    </w:p>
    <w:p>
      <w:pPr>
        <w:spacing w:after="0" w:line="144" w:lineRule="exact"/>
        <w:rPr>
          <w:sz w:val="20"/>
          <w:szCs w:val="20"/>
          <w:color w:val="auto"/>
        </w:rPr>
      </w:pPr>
    </w:p>
    <w:p>
      <w:pPr>
        <w:ind w:left="220" w:right="779" w:firstLine="343"/>
        <w:spacing w:after="0" w:line="283" w:lineRule="auto"/>
        <w:rPr>
          <w:sz w:val="20"/>
          <w:szCs w:val="20"/>
          <w:color w:val="auto"/>
        </w:rPr>
      </w:pPr>
      <w:r>
        <w:rPr>
          <w:rFonts w:ascii="Times New Roman" w:cs="Times New Roman" w:eastAsia="Times New Roman" w:hAnsi="Times New Roman"/>
          <w:sz w:val="14"/>
          <w:szCs w:val="14"/>
          <w:color w:val="auto"/>
        </w:rPr>
        <w:t>SECTION 5. TERMINATION. The provisions of Article VI shall terminate upon the closing of the sale of shares of common stock in an underwritten public offering pursuant to an effective registration statement filed by the Corporation under the Securities Act.</w:t>
      </w:r>
    </w:p>
    <w:p>
      <w:pPr>
        <w:spacing w:after="0" w:line="125" w:lineRule="exact"/>
        <w:rPr>
          <w:sz w:val="20"/>
          <w:szCs w:val="20"/>
          <w:color w:val="auto"/>
        </w:rPr>
      </w:pPr>
    </w:p>
    <w:p>
      <w:pPr>
        <w:jc w:val="both"/>
        <w:ind w:left="220" w:right="419" w:firstLine="343"/>
        <w:spacing w:after="0" w:line="267" w:lineRule="auto"/>
        <w:rPr>
          <w:sz w:val="20"/>
          <w:szCs w:val="20"/>
          <w:color w:val="auto"/>
        </w:rPr>
      </w:pPr>
      <w:r>
        <w:rPr>
          <w:rFonts w:ascii="Times New Roman" w:cs="Times New Roman" w:eastAsia="Times New Roman" w:hAnsi="Times New Roman"/>
          <w:sz w:val="14"/>
          <w:szCs w:val="14"/>
          <w:color w:val="auto"/>
        </w:rPr>
        <w:t>SECTION 6. VOID TRANSFERS. The Corporation shall not be required (a) to Transfer on its books any shares which shall have been sold or otherwise transferred in violation of any of the provisions of this Article VI or (b) to treat as owner of such shares or to accord the right to vote or pay dividends to any purchaser or other transferee to whom any such shares shall have been so sold or transferred.</w:t>
      </w:r>
    </w:p>
    <w:p>
      <w:pPr>
        <w:spacing w:after="0" w:line="136" w:lineRule="exact"/>
        <w:rPr>
          <w:sz w:val="20"/>
          <w:szCs w:val="20"/>
          <w:color w:val="auto"/>
        </w:rPr>
      </w:pPr>
    </w:p>
    <w:p>
      <w:pPr>
        <w:ind w:left="220" w:right="559" w:firstLine="343"/>
        <w:spacing w:after="0" w:line="283" w:lineRule="auto"/>
        <w:rPr>
          <w:sz w:val="20"/>
          <w:szCs w:val="20"/>
          <w:color w:val="auto"/>
        </w:rPr>
      </w:pPr>
      <w:r>
        <w:rPr>
          <w:rFonts w:ascii="Times New Roman" w:cs="Times New Roman" w:eastAsia="Times New Roman" w:hAnsi="Times New Roman"/>
          <w:sz w:val="14"/>
          <w:szCs w:val="14"/>
          <w:color w:val="auto"/>
        </w:rPr>
        <w:t>SECTION 7. LEGENDS. The books and records of the Corporation and any certificates representing shares of stock of the Corporation shall contain or bear the following legend so long as the foregoing Transfer restrictions are in effect:</w:t>
      </w:r>
    </w:p>
    <w:p>
      <w:pPr>
        <w:spacing w:after="0" w:line="41" w:lineRule="exact"/>
        <w:rPr>
          <w:sz w:val="20"/>
          <w:szCs w:val="20"/>
          <w:color w:val="auto"/>
        </w:rPr>
      </w:pPr>
    </w:p>
    <w:p>
      <w:pPr>
        <w:ind w:left="980" w:right="239"/>
        <w:spacing w:after="0" w:line="267" w:lineRule="auto"/>
        <w:rPr>
          <w:sz w:val="20"/>
          <w:szCs w:val="20"/>
          <w:color w:val="auto"/>
        </w:rPr>
      </w:pPr>
      <w:r>
        <w:rPr>
          <w:rFonts w:ascii="Times New Roman" w:cs="Times New Roman" w:eastAsia="Times New Roman" w:hAnsi="Times New Roman"/>
          <w:sz w:val="14"/>
          <w:szCs w:val="14"/>
          <w:color w:val="auto"/>
        </w:rPr>
        <w:t>THE SHARES REPRESENTED BY THIS CERTIFICATE ARE SUBJECT TO (i) TRANSFER RESTRICTIONS AND (ii) A RIGHT OF FIRST REFUSAL OPTION IN FAVOR OF THE CORPORATION AND/OR ITS ASSIGNEE(S), EACH AS PROVIDED IN THE BYLAWS OF THE CORPORATION.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VII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61" w:lineRule="exact"/>
        <w:rPr>
          <w:sz w:val="20"/>
          <w:szCs w:val="20"/>
          <w:color w:val="auto"/>
        </w:rPr>
      </w:pPr>
    </w:p>
    <w:p>
      <w:pPr>
        <w:ind w:left="220" w:right="219" w:firstLine="343"/>
        <w:spacing w:after="0" w:line="254" w:lineRule="auto"/>
        <w:rPr>
          <w:sz w:val="20"/>
          <w:szCs w:val="20"/>
          <w:color w:val="auto"/>
        </w:rPr>
      </w:pPr>
      <w:r>
        <w:rPr>
          <w:rFonts w:ascii="Times New Roman" w:cs="Times New Roman" w:eastAsia="Times New Roman" w:hAnsi="Times New Roman"/>
          <w:sz w:val="14"/>
          <w:szCs w:val="14"/>
          <w:color w:val="auto"/>
        </w:rPr>
        <w:t>SECTION 1. RIGHT TO INDEMNIFICATION OF DIRECTORS AND OFFICERS.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4"/>
          <w:szCs w:val="14"/>
          <w:u w:val="single" w:color="auto"/>
          <w:color w:val="auto"/>
        </w:rPr>
        <w:t>Indemnified Person</w:t>
      </w:r>
      <w:r>
        <w:rPr>
          <w:rFonts w:ascii="Times New Roman" w:cs="Times New Roman" w:eastAsia="Times New Roman" w:hAnsi="Times New Roman"/>
          <w:sz w:val="14"/>
          <w:szCs w:val="14"/>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4"/>
          <w:szCs w:val="14"/>
          <w:u w:val="single" w:color="auto"/>
          <w:color w:val="auto"/>
        </w:rPr>
        <w:t>Proceeding</w:t>
      </w:r>
      <w:r>
        <w:rPr>
          <w:rFonts w:ascii="Times New Roman" w:cs="Times New Roman" w:eastAsia="Times New Roman" w:hAnsi="Times New Roman"/>
          <w:sz w:val="14"/>
          <w:szCs w:val="14"/>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VII,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46"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2. PREPAYMENT OF EXPENSES OF DIRECTORS AND OFFICERS. The Corporation shall pay the expenses (including attorneys’ fees) incurred by an Indemnified Person in defending any Proceeding in advance of its final disposition,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VII or otherwise.</w:t>
      </w:r>
    </w:p>
    <w:p>
      <w:pPr>
        <w:spacing w:after="0" w:line="144" w:lineRule="exact"/>
        <w:rPr>
          <w:sz w:val="20"/>
          <w:szCs w:val="20"/>
          <w:color w:val="auto"/>
        </w:rPr>
      </w:pPr>
    </w:p>
    <w:p>
      <w:pPr>
        <w:ind w:left="220" w:right="379" w:firstLine="343"/>
        <w:spacing w:after="0" w:line="258" w:lineRule="auto"/>
        <w:rPr>
          <w:sz w:val="20"/>
          <w:szCs w:val="20"/>
          <w:color w:val="auto"/>
        </w:rPr>
      </w:pPr>
      <w:r>
        <w:rPr>
          <w:rFonts w:ascii="Times New Roman" w:cs="Times New Roman" w:eastAsia="Times New Roman" w:hAnsi="Times New Roman"/>
          <w:sz w:val="14"/>
          <w:szCs w:val="14"/>
          <w:color w:val="auto"/>
        </w:rPr>
        <w:t>SECTION 3. CLAIMS BY DIRECTORS AND OFFICERS. If a claim for indemnification or advancement of expenses under this Article VII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44"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SECTION 4. INDEMNIFICATION OF EMPLOYEES AND AGENTS.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338" w:name="page339"/>
    <w:bookmarkEnd w:id="338"/>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5. ADVANCEMENT OF EXPENSES OF EMPLOYEES AND AGENTS. The Corporation may pay the expenses (including attorneys’ fees) incurred by an employee or agent in defending any Proceeding in advance of its final disposition on such terms and conditions as may be determined by the Board of Directors.</w:t>
      </w:r>
    </w:p>
    <w:p>
      <w:pPr>
        <w:spacing w:after="0" w:line="136"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SECTION 6. NON-EXCLUSIVITY OF RIGHTS. The rights conferred on any person by this Article VII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36"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SECTION 7. OTHER INDEMNIFICATION.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41"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SECTION 8. INSURANCE.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VII; and (b) to indemnify or insure directors, officers and employees against liability in instances in which they may not otherwise be indemnified by the Corporation under the provisions of this Article VII.</w:t>
      </w:r>
    </w:p>
    <w:p>
      <w:pPr>
        <w:spacing w:after="0" w:line="144" w:lineRule="exact"/>
        <w:rPr>
          <w:sz w:val="20"/>
          <w:szCs w:val="20"/>
          <w:color w:val="auto"/>
        </w:rPr>
      </w:pPr>
    </w:p>
    <w:p>
      <w:pPr>
        <w:jc w:val="both"/>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SECTION 9. AMENDMENT OR REPEAL. Any repeal or modification of the foregoing provisions of this Article VII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61" w:lineRule="exact"/>
        <w:rPr>
          <w:sz w:val="20"/>
          <w:szCs w:val="20"/>
          <w:color w:val="auto"/>
        </w:rPr>
      </w:pPr>
    </w:p>
    <w:p>
      <w:pPr>
        <w:jc w:val="both"/>
        <w:ind w:left="220" w:right="219" w:firstLine="343"/>
        <w:spacing w:after="0" w:line="267" w:lineRule="auto"/>
        <w:rPr>
          <w:sz w:val="20"/>
          <w:szCs w:val="20"/>
          <w:color w:val="auto"/>
        </w:rPr>
      </w:pPr>
      <w:r>
        <w:rPr>
          <w:rFonts w:ascii="Times New Roman" w:cs="Times New Roman" w:eastAsia="Times New Roman" w:hAnsi="Times New Roman"/>
          <w:sz w:val="14"/>
          <w:szCs w:val="14"/>
          <w:color w:val="auto"/>
        </w:rPr>
        <w:t>SECTION 1. DECLARATIONS OF DIVIDENDS.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36"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SECTION 2. SPECIAL PURPOSES RESERVES. The Board of Directors may set apart out of any of the funds of the Corporation available for dividends a reserve or reserves for any proper purpose and may abolish any such reserve.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339" w:name="page340"/>
    <w:bookmarkEnd w:id="3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IX</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 BY ELECTRONIC TRANSMISSION</w:t>
      </w:r>
    </w:p>
    <w:p>
      <w:pPr>
        <w:spacing w:after="0" w:line="161"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SECTION 1. NOTICE BY ELECTRONIC TRANSMISSION. Without limiting the manner by which notice otherwise may be given effectively to stockholders, any notice to stockholders given by the Corporation under the Delaware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or such notice is prohibited by Section 3 of this Article. A notice by electronic mail must include a prominent legend that the communication is an important notice regarding the Corporation.</w:t>
      </w:r>
    </w:p>
    <w:p>
      <w:pPr>
        <w:spacing w:after="0" w:line="145" w:lineRule="exact"/>
        <w:rPr>
          <w:sz w:val="20"/>
          <w:szCs w:val="20"/>
          <w:color w:val="auto"/>
        </w:rPr>
      </w:pPr>
    </w:p>
    <w:p>
      <w:pPr>
        <w:ind w:left="220" w:right="379" w:firstLine="772"/>
        <w:spacing w:after="0" w:line="261" w:lineRule="auto"/>
        <w:rPr>
          <w:sz w:val="20"/>
          <w:szCs w:val="20"/>
          <w:color w:val="auto"/>
        </w:rPr>
      </w:pPr>
      <w:r>
        <w:rPr>
          <w:rFonts w:ascii="Times New Roman" w:cs="Times New Roman" w:eastAsia="Times New Roman" w:hAnsi="Times New Roman"/>
          <w:sz w:val="14"/>
          <w:szCs w:val="14"/>
          <w:color w:val="auto"/>
        </w:rPr>
        <w:t>Without limiting the manner by which notice otherwise may be given effectively to stockholders, but subject to Section 3 of this Article, any notice to stockholders given by the Corporation under any provision of the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Any notice given pursuant to the preceding paragraph shall be deemed given:</w:t>
      </w:r>
    </w:p>
    <w:p>
      <w:pPr>
        <w:spacing w:after="0" w:line="175" w:lineRule="exact"/>
        <w:rPr>
          <w:sz w:val="20"/>
          <w:szCs w:val="20"/>
          <w:color w:val="auto"/>
        </w:rPr>
      </w:pPr>
    </w:p>
    <w:p>
      <w:pPr>
        <w:ind w:left="1180" w:hanging="193"/>
        <w:spacing w:after="0"/>
        <w:tabs>
          <w:tab w:leader="none" w:pos="11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by facsimile telecommunication, when directed to a number at which the stockholder has consented to receive notice;</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by a posting on an electronic network together with separate notice to the stockholder of such specific posting, upon the later of</w:t>
      </w:r>
    </w:p>
    <w:p>
      <w:pPr>
        <w:spacing w:after="0" w:line="21" w:lineRule="exact"/>
        <w:rPr>
          <w:rFonts w:ascii="Times New Roman" w:cs="Times New Roman" w:eastAsia="Times New Roman" w:hAnsi="Times New Roman"/>
          <w:sz w:val="14"/>
          <w:szCs w:val="14"/>
          <w:color w:val="auto"/>
        </w:rPr>
      </w:pPr>
    </w:p>
    <w:p>
      <w:pPr>
        <w:ind w:left="440" w:hanging="225"/>
        <w:spacing w:after="0"/>
        <w:tabs>
          <w:tab w:leader="none" w:pos="44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posting and (B) the giving of such separate notice; and</w:t>
      </w:r>
    </w:p>
    <w:p>
      <w:pPr>
        <w:spacing w:after="0" w:line="16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by any other form of electronic transmission, when directed to the stockholder.</w:t>
      </w:r>
    </w:p>
    <w:p>
      <w:pPr>
        <w:spacing w:after="0" w:line="175" w:lineRule="exact"/>
        <w:rPr>
          <w:sz w:val="20"/>
          <w:szCs w:val="20"/>
          <w:color w:val="auto"/>
        </w:rPr>
      </w:pPr>
    </w:p>
    <w:p>
      <w:pPr>
        <w:ind w:left="220" w:right="479"/>
        <w:spacing w:after="0" w:line="261" w:lineRule="auto"/>
        <w:rPr>
          <w:sz w:val="20"/>
          <w:szCs w:val="20"/>
          <w:color w:val="auto"/>
        </w:rPr>
      </w:pPr>
      <w:r>
        <w:rPr>
          <w:rFonts w:ascii="Times New Roman" w:cs="Times New Roman" w:eastAsia="Times New Roman" w:hAnsi="Times New Roman"/>
          <w:sz w:val="14"/>
          <w:szCs w:val="14"/>
          <w:color w:val="auto"/>
        </w:rPr>
        <w:t>Notwithstanding the foregoing, a notice may not be given by an electronic transmission from and after the time that (1) the Corporation is unable to deliver by such electronic transmission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41" w:lineRule="exact"/>
        <w:rPr>
          <w:sz w:val="20"/>
          <w:szCs w:val="20"/>
          <w:color w:val="auto"/>
        </w:rPr>
      </w:pPr>
    </w:p>
    <w:p>
      <w:pPr>
        <w:ind w:left="220" w:right="279"/>
        <w:spacing w:after="0" w:line="283" w:lineRule="auto"/>
        <w:rPr>
          <w:sz w:val="20"/>
          <w:szCs w:val="20"/>
          <w:color w:val="auto"/>
        </w:rPr>
      </w:pPr>
      <w:r>
        <w:rPr>
          <w:rFonts w:ascii="Times New Roman" w:cs="Times New Roman" w:eastAsia="Times New Roman" w:hAnsi="Times New Roman"/>
          <w:sz w:val="14"/>
          <w:szCs w:val="14"/>
          <w:color w:val="auto"/>
        </w:rPr>
        <w:t xml:space="preserve">An affidavit of the secretary or an assistant secretary or of the transfer agent or other agent of the Corporation that the notice has been given shall, in the absence of fraud, be </w:t>
      </w:r>
      <w:r>
        <w:rPr>
          <w:rFonts w:ascii="Times New Roman" w:cs="Times New Roman" w:eastAsia="Times New Roman" w:hAnsi="Times New Roman"/>
          <w:sz w:val="14"/>
          <w:szCs w:val="14"/>
          <w:i w:val="1"/>
          <w:iCs w:val="1"/>
          <w:color w:val="auto"/>
        </w:rPr>
        <w:t>prima facie</w:t>
      </w:r>
      <w:r>
        <w:rPr>
          <w:rFonts w:ascii="Times New Roman" w:cs="Times New Roman" w:eastAsia="Times New Roman" w:hAnsi="Times New Roman"/>
          <w:sz w:val="14"/>
          <w:szCs w:val="14"/>
          <w:color w:val="auto"/>
        </w:rPr>
        <w:t xml:space="preserve"> evidence of the facts stated therein.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340" w:name="page341"/>
    <w:bookmarkEnd w:id="340"/>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2. DEFINITION OF ELECTRONIC TRANSMISSION; ELECTRONIC MAIL; ELECTRONIC MAIL ADDRESS.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49" w:lineRule="exact"/>
        <w:rPr>
          <w:sz w:val="20"/>
          <w:szCs w:val="20"/>
          <w:color w:val="auto"/>
        </w:rPr>
      </w:pPr>
    </w:p>
    <w:p>
      <w:pPr>
        <w:ind w:left="220" w:right="659" w:firstLine="343"/>
        <w:spacing w:after="0" w:line="283" w:lineRule="auto"/>
        <w:rPr>
          <w:sz w:val="20"/>
          <w:szCs w:val="20"/>
          <w:color w:val="auto"/>
        </w:rPr>
      </w:pPr>
      <w:r>
        <w:rPr>
          <w:rFonts w:ascii="Times New Roman" w:cs="Times New Roman" w:eastAsia="Times New Roman" w:hAnsi="Times New Roman"/>
          <w:sz w:val="14"/>
          <w:szCs w:val="14"/>
          <w:color w:val="auto"/>
        </w:rPr>
        <w:t>SECTION 3. INAPPLICABILITY. Notice by a form of electronic transmission shall not apply to Sections 164, 296, 311, 312 or 324 of the Delaware General Corporation Law.</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1. FISCAL YEAR. The fiscal year of the Corporation shall be fixed by resolution of the Board of Directors.</w:t>
      </w:r>
    </w:p>
    <w:p>
      <w:pPr>
        <w:spacing w:after="0" w:line="17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SECTION 2. SEAL. The corporate seal shall have inscribed thereon the name of the Corporation, the year of its organization and the words “Corporate Seal, Delaware” or such other form as shall be approved by the Board of Directors. Said seal may be used by causing it or a facsimile thereof to be impressed or affixed or reproduced or otherwise.</w:t>
      </w:r>
    </w:p>
    <w:p>
      <w:pPr>
        <w:spacing w:after="0" w:line="136"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SECTION 3. WRITTEN WAIVER OF NOTICE. A written waiver of any notice required to be given by law, the Certificate of Incorporation or by these Bylaws, signed by or electronically transmitted by the person entitled to notice, whether before, at or after the time of the event for which notice is to be given, shall be deemed equivalent to notice required to be given to such person. Neither the business to be transacted at, nor the purpose of, any regular or special meeting of stockholders, directors or members of a committee of directors need be specified in any written waiver of notice.</w:t>
      </w:r>
    </w:p>
    <w:p>
      <w:pPr>
        <w:spacing w:after="0" w:line="141"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SECTION 4. ATTENDANCE AS WAIVER OF NOTICE. Attendance of a person at a meeting shall constitute a waiver of notice of such meeting, except when the person attends a meeting for the express purpose of objecting at the beginning of the meeting, and objects, to the transaction of any business because the meeting is not lawfully called or convened.</w:t>
      </w:r>
    </w:p>
    <w:p>
      <w:pPr>
        <w:spacing w:after="0" w:line="136" w:lineRule="exact"/>
        <w:rPr>
          <w:sz w:val="20"/>
          <w:szCs w:val="20"/>
          <w:color w:val="auto"/>
        </w:rPr>
      </w:pPr>
    </w:p>
    <w:p>
      <w:pPr>
        <w:ind w:left="220" w:right="639" w:firstLine="343"/>
        <w:spacing w:after="0" w:line="283" w:lineRule="auto"/>
        <w:rPr>
          <w:sz w:val="20"/>
          <w:szCs w:val="20"/>
          <w:color w:val="auto"/>
        </w:rPr>
      </w:pPr>
      <w:r>
        <w:rPr>
          <w:rFonts w:ascii="Times New Roman" w:cs="Times New Roman" w:eastAsia="Times New Roman" w:hAnsi="Times New Roman"/>
          <w:sz w:val="14"/>
          <w:szCs w:val="14"/>
          <w:color w:val="auto"/>
        </w:rPr>
        <w:t>SECTION 5. WAIVER OF SECTION 1501. To the fullest extent provided by the law, the Corporation shall not be required to cause annual reports to be delivered to its stockholders under Section 1501 of the California General Corporation Law.</w:t>
      </w:r>
    </w:p>
    <w:p>
      <w:pPr>
        <w:spacing w:after="0" w:line="125" w:lineRule="exact"/>
        <w:rPr>
          <w:sz w:val="20"/>
          <w:szCs w:val="20"/>
          <w:color w:val="auto"/>
        </w:rPr>
      </w:pPr>
    </w:p>
    <w:p>
      <w:pPr>
        <w:ind w:left="220" w:right="399" w:firstLine="343"/>
        <w:spacing w:after="0" w:line="323" w:lineRule="auto"/>
        <w:rPr>
          <w:sz w:val="20"/>
          <w:szCs w:val="20"/>
          <w:color w:val="auto"/>
        </w:rPr>
      </w:pPr>
      <w:r>
        <w:rPr>
          <w:rFonts w:ascii="Times New Roman" w:cs="Times New Roman" w:eastAsia="Times New Roman" w:hAnsi="Times New Roman"/>
          <w:sz w:val="13"/>
          <w:szCs w:val="13"/>
          <w:color w:val="auto"/>
        </w:rPr>
        <w:t>SECTION 6.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341" w:name="page342"/>
    <w:bookmarkEnd w:id="341"/>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7.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25"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SECTION 8. CHECKS, DRAFTS, ETC.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w:t>
      </w:r>
    </w:p>
    <w:p>
      <w:pPr>
        <w:spacing w:after="0" w:line="136" w:lineRule="exact"/>
        <w:rPr>
          <w:sz w:val="20"/>
          <w:szCs w:val="20"/>
          <w:color w:val="auto"/>
        </w:rPr>
      </w:pPr>
    </w:p>
    <w:p>
      <w:pPr>
        <w:ind w:left="220" w:right="219" w:firstLine="343"/>
        <w:spacing w:after="0" w:line="283" w:lineRule="auto"/>
        <w:rPr>
          <w:sz w:val="20"/>
          <w:szCs w:val="20"/>
          <w:color w:val="auto"/>
        </w:rPr>
      </w:pPr>
      <w:r>
        <w:rPr>
          <w:rFonts w:ascii="Times New Roman" w:cs="Times New Roman" w:eastAsia="Times New Roman" w:hAnsi="Times New Roman"/>
          <w:sz w:val="14"/>
          <w:szCs w:val="14"/>
          <w:color w:val="auto"/>
        </w:rPr>
        <w:t>SECTION 9. DEPOSITS. The funds of the Corporation may be deposited or invested in such bank account, in such investments or with such other depositaries as determined by the Board of Directors.</w:t>
      </w:r>
    </w:p>
    <w:p>
      <w:pPr>
        <w:spacing w:after="0" w:line="125" w:lineRule="exact"/>
        <w:rPr>
          <w:sz w:val="20"/>
          <w:szCs w:val="20"/>
          <w:color w:val="auto"/>
        </w:rPr>
      </w:pPr>
    </w:p>
    <w:p>
      <w:pPr>
        <w:ind w:left="220" w:right="859" w:firstLine="343"/>
        <w:spacing w:after="0" w:line="283" w:lineRule="auto"/>
        <w:rPr>
          <w:sz w:val="20"/>
          <w:szCs w:val="20"/>
          <w:color w:val="auto"/>
        </w:rPr>
      </w:pPr>
      <w:r>
        <w:rPr>
          <w:rFonts w:ascii="Times New Roman" w:cs="Times New Roman" w:eastAsia="Times New Roman" w:hAnsi="Times New Roman"/>
          <w:sz w:val="14"/>
          <w:szCs w:val="14"/>
          <w:color w:val="auto"/>
        </w:rPr>
        <w:t>SECTION 10.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125" w:lineRule="exact"/>
        <w:rPr>
          <w:sz w:val="20"/>
          <w:szCs w:val="20"/>
          <w:color w:val="auto"/>
        </w:rPr>
      </w:pPr>
    </w:p>
    <w:p>
      <w:pPr>
        <w:ind w:left="220" w:right="219" w:firstLine="343"/>
        <w:spacing w:after="0" w:line="261" w:lineRule="auto"/>
        <w:rPr>
          <w:sz w:val="20"/>
          <w:szCs w:val="20"/>
          <w:color w:val="auto"/>
        </w:rPr>
      </w:pPr>
      <w:r>
        <w:rPr>
          <w:rFonts w:ascii="Times New Roman" w:cs="Times New Roman" w:eastAsia="Times New Roman" w:hAnsi="Times New Roman"/>
          <w:sz w:val="14"/>
          <w:szCs w:val="14"/>
          <w:color w:val="auto"/>
        </w:rPr>
        <w:t>SECTION 11. VOTING OF SECURITIES.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41" w:lineRule="exact"/>
        <w:rPr>
          <w:sz w:val="20"/>
          <w:szCs w:val="20"/>
          <w:color w:val="auto"/>
        </w:rPr>
      </w:pPr>
    </w:p>
    <w:p>
      <w:pPr>
        <w:jc w:val="both"/>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SECTION 12. EVIDENCE OF AUTHORITY.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36"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SECTION 13. CERTIFICATE OF INCORPORATION. All references in these Bylaws to the Certificate of Incorporation shall be deemed to refer to the Certificate of Incorporation of the Corporation, as amended and in effect from time to time.</w:t>
      </w:r>
    </w:p>
    <w:p>
      <w:pPr>
        <w:spacing w:after="0" w:line="125"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SECTION 14. SEVERABILITY. Any determination that any provision of these Bylaws is for any reason inapplicable, illegal or ineffective shall not affect or invalidate any other provision of these Bylaws.</w:t>
      </w:r>
    </w:p>
    <w:p>
      <w:pPr>
        <w:spacing w:after="0" w:line="125" w:lineRule="exact"/>
        <w:rPr>
          <w:sz w:val="20"/>
          <w:szCs w:val="20"/>
          <w:color w:val="auto"/>
        </w:rPr>
      </w:pPr>
    </w:p>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t>SECTION 15. PRONOUNS. All pronouns used in these Bylaws shall be deemed to refer to the masculine, feminine or neuter, singular or plural, as the identity of the person or persons may require.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342" w:name="page343"/>
    <w:bookmarkEnd w:id="34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XI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61" w:lineRule="exact"/>
        <w:rPr>
          <w:sz w:val="20"/>
          <w:szCs w:val="20"/>
          <w:color w:val="auto"/>
        </w:rPr>
      </w:pPr>
    </w:p>
    <w:p>
      <w:pPr>
        <w:ind w:left="220" w:right="219" w:firstLine="343"/>
        <w:spacing w:after="0" w:line="283" w:lineRule="auto"/>
        <w:rPr>
          <w:sz w:val="20"/>
          <w:szCs w:val="20"/>
          <w:color w:val="auto"/>
        </w:rPr>
      </w:pPr>
      <w:r>
        <w:rPr>
          <w:rFonts w:ascii="Times New Roman" w:cs="Times New Roman" w:eastAsia="Times New Roman" w:hAnsi="Times New Roman"/>
          <w:sz w:val="14"/>
          <w:szCs w:val="14"/>
          <w:color w:val="auto"/>
        </w:rPr>
        <w:t>SECTION 1. BY THE BOARD OF DIRECTORS. These Bylaws may be altered, amended or repealed, in whole or in part, or new Bylaws may be adopted by the Board of Directors, when such power is conferred upon the Board of Directors by the Certificate of Incorporation.</w:t>
      </w:r>
    </w:p>
    <w:p>
      <w:pPr>
        <w:spacing w:after="0" w:line="125"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SECTION 2. BY THE STOCKHOLDERS.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8" w:right="1440" w:bottom="1440" w:gutter="0" w:footer="0" w:header="0"/>
        </w:sectPr>
      </w:pPr>
    </w:p>
    <w:bookmarkStart w:id="343" w:name="page344"/>
    <w:bookmarkEnd w:id="343"/>
    <w:p>
      <w:pPr>
        <w:ind w:left="814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74930</wp:posOffset>
            </wp:positionV>
            <wp:extent cx="5553710" cy="33845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53710" cy="33845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5951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1535" cy="659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346" w:lineRule="exact"/>
        <w:rPr>
          <w:sz w:val="20"/>
          <w:szCs w:val="20"/>
          <w:color w:val="auto"/>
        </w:rPr>
      </w:pPr>
    </w:p>
    <w:p>
      <w:pPr>
        <w:jc w:val="center"/>
        <w:ind w:left="215" w:right="234"/>
        <w:spacing w:after="0" w:line="267" w:lineRule="auto"/>
        <w:rPr>
          <w:sz w:val="20"/>
          <w:szCs w:val="20"/>
          <w:color w:val="auto"/>
        </w:rPr>
      </w:pPr>
      <w:r>
        <w:rPr>
          <w:rFonts w:ascii="Times New Roman" w:cs="Times New Roman" w:eastAsia="Times New Roman" w:hAnsi="Times New Roman"/>
          <w:sz w:val="14"/>
          <w:szCs w:val="14"/>
          <w:color w:val="auto"/>
        </w:rPr>
        <w:t xml:space="preserve">CERTAIN IDENTIFIED INFORMATION HAS BEEN EXCLUDED FROM THIS EXHIBIT BECAUSE IT IS NOT MATERIAL, AND THE REGISTRANT TREATS SUCH INFORMATION AS PRIVATE AND CONFIDENTIAL. [***] INDICATES THAT INFORMATION HAS BEEN </w:t>
      </w:r>
      <w:r>
        <w:rPr>
          <w:rFonts w:ascii="Times New Roman" w:cs="Times New Roman" w:eastAsia="Times New Roman" w:hAnsi="Times New Roman"/>
          <w:sz w:val="14"/>
          <w:szCs w:val="14"/>
          <w:b w:val="1"/>
          <w:bCs w:val="1"/>
          <w:color w:val="auto"/>
        </w:rPr>
        <w:t>REDACTED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INVESTORS’ RIGHTS AGREEMENT</w:t>
      </w:r>
    </w:p>
    <w:p>
      <w:pPr>
        <w:spacing w:after="0" w:line="175" w:lineRule="exact"/>
        <w:rPr>
          <w:sz w:val="20"/>
          <w:szCs w:val="20"/>
          <w:color w:val="auto"/>
        </w:rPr>
      </w:pPr>
    </w:p>
    <w:p>
      <w:pPr>
        <w:ind w:left="220" w:right="619"/>
        <w:spacing w:after="0" w:line="286" w:lineRule="auto"/>
        <w:rPr>
          <w:sz w:val="20"/>
          <w:szCs w:val="20"/>
          <w:color w:val="auto"/>
        </w:rPr>
      </w:pPr>
      <w:r>
        <w:rPr>
          <w:rFonts w:ascii="Times New Roman" w:cs="Times New Roman" w:eastAsia="Times New Roman" w:hAnsi="Times New Roman"/>
          <w:sz w:val="14"/>
          <w:szCs w:val="14"/>
          <w:color w:val="auto"/>
        </w:rPr>
        <w:t>THIS AMENDED AND RESTATED INVESTORS’ RIGHTS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as of October 18, 2024, by and among Seaport Therapeutics,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the Investors (as defined below).</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5" w:lineRule="exact"/>
        <w:rPr>
          <w:sz w:val="20"/>
          <w:szCs w:val="20"/>
          <w:color w:val="auto"/>
        </w:rPr>
      </w:pPr>
    </w:p>
    <w:p>
      <w:pPr>
        <w:jc w:val="both"/>
        <w:ind w:left="220" w:right="2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certain of the Investors (the “</w:t>
      </w:r>
      <w:r>
        <w:rPr>
          <w:rFonts w:ascii="Times New Roman" w:cs="Times New Roman" w:eastAsia="Times New Roman" w:hAnsi="Times New Roman"/>
          <w:sz w:val="14"/>
          <w:szCs w:val="14"/>
          <w:b w:val="1"/>
          <w:bCs w:val="1"/>
          <w:color w:val="auto"/>
        </w:rPr>
        <w:t>Existing Investors</w:t>
      </w:r>
      <w:r>
        <w:rPr>
          <w:rFonts w:ascii="Times New Roman" w:cs="Times New Roman" w:eastAsia="Times New Roman" w:hAnsi="Times New Roman"/>
          <w:sz w:val="14"/>
          <w:szCs w:val="14"/>
          <w:color w:val="auto"/>
        </w:rPr>
        <w:t>”) hold shares of Preferred Stock and possess registration rights, information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of first offer, and other rights pursuant to that certain Investors’ Rights Agreement dated as of April 8, 2024, by and among the Company and such Existing Investors (the “</w:t>
      </w:r>
      <w:r>
        <w:rPr>
          <w:rFonts w:ascii="Times New Roman" w:cs="Times New Roman" w:eastAsia="Times New Roman" w:hAnsi="Times New Roman"/>
          <w:sz w:val="14"/>
          <w:szCs w:val="14"/>
          <w:b w:val="1"/>
          <w:bCs w:val="1"/>
          <w:color w:val="auto"/>
        </w:rPr>
        <w:t>Prior Agreement</w:t>
      </w:r>
      <w:r>
        <w:rPr>
          <w:rFonts w:ascii="Times New Roman" w:cs="Times New Roman" w:eastAsia="Times New Roman" w:hAnsi="Times New Roman"/>
          <w:sz w:val="14"/>
          <w:szCs w:val="14"/>
          <w:color w:val="auto"/>
        </w:rPr>
        <w:t>”); and</w:t>
      </w:r>
    </w:p>
    <w:p>
      <w:pPr>
        <w:spacing w:after="0" w:line="133"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Existing Investors and the Company desire to induce certain of the Investors to purchase shares of Series B Preferred Stock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par value $0.0001 per share (“</w:t>
      </w:r>
      <w:r>
        <w:rPr>
          <w:rFonts w:ascii="Times New Roman" w:cs="Times New Roman" w:eastAsia="Times New Roman" w:hAnsi="Times New Roman"/>
          <w:sz w:val="14"/>
          <w:szCs w:val="14"/>
          <w:b w:val="1"/>
          <w:bCs w:val="1"/>
          <w:color w:val="auto"/>
        </w:rPr>
        <w:t>Series B Preferred Stock</w:t>
      </w:r>
      <w:r>
        <w:rPr>
          <w:rFonts w:ascii="Times New Roman" w:cs="Times New Roman" w:eastAsia="Times New Roman" w:hAnsi="Times New Roman"/>
          <w:sz w:val="14"/>
          <w:szCs w:val="14"/>
          <w:color w:val="auto"/>
        </w:rPr>
        <w:t>”), pursuant to that certain Series B Preferred Stock Purchase Agreement dated as of the date hereof by and among the Company and such Investors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by amending and restating the Prior Agreement in its entirety.</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the parties agree as follows:</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 Agreement:</w:t>
      </w:r>
    </w:p>
    <w:p>
      <w:pPr>
        <w:spacing w:after="0" w:line="173" w:lineRule="exact"/>
        <w:rPr>
          <w:sz w:val="20"/>
          <w:szCs w:val="20"/>
          <w:color w:val="auto"/>
        </w:rPr>
      </w:pPr>
    </w:p>
    <w:p>
      <w:pPr>
        <w:ind w:left="220" w:right="399" w:firstLine="343"/>
        <w:spacing w:after="0" w:line="262" w:lineRule="auto"/>
        <w:rPr>
          <w:sz w:val="20"/>
          <w:szCs w:val="20"/>
          <w:color w:val="auto"/>
        </w:rPr>
      </w:pPr>
      <w:r>
        <w:rPr>
          <w:rFonts w:ascii="Times New Roman" w:cs="Times New Roman" w:eastAsia="Times New Roman" w:hAnsi="Times New Roman"/>
          <w:sz w:val="14"/>
          <w:szCs w:val="14"/>
          <w:color w:val="auto"/>
        </w:rPr>
        <w:t>1.1 “</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 of, or shares the same management company or investment adviser (or sub-adviser or affiliate adviser) with, such Person.</w:t>
      </w:r>
    </w:p>
    <w:p>
      <w:pPr>
        <w:spacing w:after="0" w:line="138" w:lineRule="exact"/>
        <w:rPr>
          <w:sz w:val="20"/>
          <w:szCs w:val="20"/>
          <w:color w:val="auto"/>
        </w:rPr>
      </w:pPr>
    </w:p>
    <w:p>
      <w:pPr>
        <w:ind w:left="220" w:right="319" w:firstLine="343"/>
        <w:spacing w:after="0" w:line="286" w:lineRule="auto"/>
        <w:rPr>
          <w:sz w:val="20"/>
          <w:szCs w:val="20"/>
          <w:color w:val="auto"/>
        </w:rPr>
      </w:pPr>
      <w:r>
        <w:rPr>
          <w:rFonts w:ascii="Times New Roman" w:cs="Times New Roman" w:eastAsia="Times New Roman" w:hAnsi="Times New Roman"/>
          <w:sz w:val="14"/>
          <w:szCs w:val="14"/>
          <w:color w:val="auto"/>
        </w:rPr>
        <w:t>1.2 “</w:t>
      </w:r>
      <w:r>
        <w:rPr>
          <w:rFonts w:ascii="Times New Roman" w:cs="Times New Roman" w:eastAsia="Times New Roman" w:hAnsi="Times New Roman"/>
          <w:sz w:val="14"/>
          <w:szCs w:val="14"/>
          <w:b w:val="1"/>
          <w:bCs w:val="1"/>
          <w:color w:val="auto"/>
        </w:rPr>
        <w:t>Approved Annual Budget</w:t>
      </w:r>
      <w:r>
        <w:rPr>
          <w:rFonts w:ascii="Times New Roman" w:cs="Times New Roman" w:eastAsia="Times New Roman" w:hAnsi="Times New Roman"/>
          <w:sz w:val="14"/>
          <w:szCs w:val="14"/>
          <w:color w:val="auto"/>
        </w:rPr>
        <w:t>” means an annual budget and business plan for the next fiscal year, prepared on a monthly basis, as approved by the Requisite Director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1.3 “</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14"/>
          <w:szCs w:val="14"/>
          <w:color w:val="auto"/>
        </w:rPr>
        <w:t>” means ARCH VENTURE FUND XII, L.P.</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 “</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means the board of directors of the Company.</w:t>
      </w:r>
    </w:p>
    <w:p>
      <w:pPr>
        <w:spacing w:after="0" w:line="175" w:lineRule="exact"/>
        <w:rPr>
          <w:sz w:val="20"/>
          <w:szCs w:val="20"/>
          <w:color w:val="auto"/>
        </w:rPr>
      </w:pPr>
    </w:p>
    <w:p>
      <w:pPr>
        <w:ind w:left="220" w:right="379" w:firstLine="343"/>
        <w:spacing w:after="0" w:line="286" w:lineRule="auto"/>
        <w:rPr>
          <w:sz w:val="20"/>
          <w:szCs w:val="20"/>
          <w:color w:val="auto"/>
        </w:rPr>
      </w:pPr>
      <w:r>
        <w:rPr>
          <w:rFonts w:ascii="Times New Roman" w:cs="Times New Roman" w:eastAsia="Times New Roman" w:hAnsi="Times New Roman"/>
          <w:sz w:val="14"/>
          <w:szCs w:val="14"/>
          <w:color w:val="auto"/>
        </w:rPr>
        <w:t>1.5 “</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means the Company’s Amended and Restated Certificate of Incorporation, as amended and/or restated from time to time.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1.6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means shares of the Company’s common stock, par value $0.0001 per share.</w:t>
      </w:r>
    </w:p>
    <w:p>
      <w:pPr>
        <w:spacing w:after="0" w:line="175" w:lineRule="exact"/>
        <w:rPr>
          <w:sz w:val="20"/>
          <w:szCs w:val="20"/>
          <w:color w:val="auto"/>
        </w:rPr>
      </w:pPr>
    </w:p>
    <w:p>
      <w:pPr>
        <w:ind w:left="220" w:right="239" w:firstLine="343"/>
        <w:spacing w:after="0" w:line="274" w:lineRule="auto"/>
        <w:rPr>
          <w:sz w:val="20"/>
          <w:szCs w:val="20"/>
          <w:color w:val="auto"/>
        </w:rPr>
      </w:pPr>
      <w:r>
        <w:rPr>
          <w:rFonts w:ascii="Times New Roman" w:cs="Times New Roman" w:eastAsia="Times New Roman" w:hAnsi="Times New Roman"/>
          <w:sz w:val="13"/>
          <w:szCs w:val="13"/>
          <w:color w:val="auto"/>
        </w:rPr>
        <w:t>1.7 “</w:t>
      </w:r>
      <w:r>
        <w:rPr>
          <w:rFonts w:ascii="Times New Roman" w:cs="Times New Roman" w:eastAsia="Times New Roman" w:hAnsi="Times New Roman"/>
          <w:sz w:val="13"/>
          <w:szCs w:val="13"/>
          <w:b w:val="1"/>
          <w:bCs w:val="1"/>
          <w:color w:val="auto"/>
        </w:rPr>
        <w:t>Competitor</w:t>
      </w:r>
      <w:r>
        <w:rPr>
          <w:rFonts w:ascii="Times New Roman" w:cs="Times New Roman" w:eastAsia="Times New Roman" w:hAnsi="Times New Roman"/>
          <w:sz w:val="13"/>
          <w:szCs w:val="13"/>
          <w:color w:val="auto"/>
        </w:rPr>
        <w:t>” means any Person engaged, directly or indirectly (including through any partnership, limited liability company, corporation, joint venture or similar arrangement (whether now existing or formed hereafter)), in biotechnology focusing on neurological and/ or psychiatric conditions with products or product candidates targeting similar diseases or indications to the Company; but shall not include any financial investment firm or collective investment vehicle that, together with its Affiliates, holds less than 20% of the outstanding equity of any Competitor and does not, nor do any of its Affiliates, have a right to designate any members of the board of directors of any Competitor. Notwithstanding the above, the Company and the Investors acknowledge and agree that each of ARCH, CPPIB, Foresite, General Atlantic, [***], Invus, PureTech, Sofinnova, Third Rock, [***] and</w:t>
      </w:r>
    </w:p>
    <w:p>
      <w:pPr>
        <w:spacing w:after="0" w:line="2" w:lineRule="exact"/>
        <w:rPr>
          <w:sz w:val="20"/>
          <w:szCs w:val="20"/>
          <w:color w:val="auto"/>
        </w:rPr>
      </w:pPr>
    </w:p>
    <w:p>
      <w:pPr>
        <w:ind w:left="220" w:right="699" w:hanging="5"/>
        <w:spacing w:after="0" w:line="261" w:lineRule="auto"/>
        <w:tabs>
          <w:tab w:leader="none" w:pos="558"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financial investor and shall not be deemed a Competitor (notwithstanding the fact that its Affiliates and/or portfolio companies may be engaged, or may in the future engage, in activities some of which may be deemed competitive with the Company’s business).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346" w:name="page347"/>
    <w:bookmarkEnd w:id="346"/>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1.8 “</w:t>
      </w:r>
      <w:r>
        <w:rPr>
          <w:rFonts w:ascii="Times New Roman" w:cs="Times New Roman" w:eastAsia="Times New Roman" w:hAnsi="Times New Roman"/>
          <w:sz w:val="14"/>
          <w:szCs w:val="14"/>
          <w:b w:val="1"/>
          <w:bCs w:val="1"/>
          <w:color w:val="auto"/>
        </w:rPr>
        <w:t>CPPIB</w:t>
      </w:r>
      <w:r>
        <w:rPr>
          <w:rFonts w:ascii="Times New Roman" w:cs="Times New Roman" w:eastAsia="Times New Roman" w:hAnsi="Times New Roman"/>
          <w:sz w:val="14"/>
          <w:szCs w:val="14"/>
          <w:color w:val="auto"/>
        </w:rPr>
        <w:t>” means CPP Investment Board Holdings (4) Inc.</w:t>
      </w:r>
    </w:p>
    <w:p>
      <w:pPr>
        <w:spacing w:after="0" w:line="175" w:lineRule="exact"/>
        <w:rPr>
          <w:sz w:val="20"/>
          <w:szCs w:val="20"/>
          <w:color w:val="auto"/>
        </w:rPr>
      </w:pPr>
    </w:p>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t>1.9 “</w:t>
      </w:r>
      <w:r>
        <w:rPr>
          <w:rFonts w:ascii="Times New Roman" w:cs="Times New Roman" w:eastAsia="Times New Roman" w:hAnsi="Times New Roman"/>
          <w:sz w:val="14"/>
          <w:szCs w:val="14"/>
          <w:b w:val="1"/>
          <w:bCs w:val="1"/>
          <w:color w:val="auto"/>
        </w:rPr>
        <w:t>Damages</w:t>
      </w:r>
      <w:r>
        <w:rPr>
          <w:rFonts w:ascii="Times New Roman" w:cs="Times New Roman" w:eastAsia="Times New Roman" w:hAnsi="Times New Roman"/>
          <w:sz w:val="14"/>
          <w:szCs w:val="14"/>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44" w:lineRule="exact"/>
        <w:rPr>
          <w:sz w:val="20"/>
          <w:szCs w:val="20"/>
          <w:color w:val="auto"/>
        </w:rPr>
      </w:pPr>
    </w:p>
    <w:p>
      <w:pPr>
        <w:ind w:left="220" w:right="279" w:firstLine="343"/>
        <w:spacing w:after="0" w:line="286" w:lineRule="auto"/>
        <w:rPr>
          <w:sz w:val="20"/>
          <w:szCs w:val="20"/>
          <w:color w:val="auto"/>
        </w:rPr>
      </w:pPr>
      <w:r>
        <w:rPr>
          <w:rFonts w:ascii="Times New Roman" w:cs="Times New Roman" w:eastAsia="Times New Roman" w:hAnsi="Times New Roman"/>
          <w:sz w:val="14"/>
          <w:szCs w:val="14"/>
          <w:color w:val="auto"/>
        </w:rPr>
        <w:t>1.10 “</w:t>
      </w:r>
      <w:r>
        <w:rPr>
          <w:rFonts w:ascii="Times New Roman" w:cs="Times New Roman" w:eastAsia="Times New Roman" w:hAnsi="Times New Roman"/>
          <w:sz w:val="14"/>
          <w:szCs w:val="14"/>
          <w:b w:val="1"/>
          <w:bCs w:val="1"/>
          <w:color w:val="auto"/>
        </w:rPr>
        <w:t>Deemed Liquidation Event</w:t>
      </w:r>
      <w:r>
        <w:rPr>
          <w:rFonts w:ascii="Times New Roman" w:cs="Times New Roman" w:eastAsia="Times New Roman" w:hAnsi="Times New Roman"/>
          <w:sz w:val="14"/>
          <w:szCs w:val="14"/>
          <w:color w:val="auto"/>
        </w:rPr>
        <w:t>” shall have the meaning ascribed to it in the Company’s Certificate of Incorporation, as in effect on the date of this Agreement and regardless of the date on which such event occurs.</w:t>
      </w:r>
    </w:p>
    <w:p>
      <w:pPr>
        <w:spacing w:after="0" w:line="121" w:lineRule="exact"/>
        <w:rPr>
          <w:sz w:val="20"/>
          <w:szCs w:val="20"/>
          <w:color w:val="auto"/>
        </w:rPr>
      </w:pPr>
    </w:p>
    <w:p>
      <w:pPr>
        <w:ind w:left="220" w:right="799" w:firstLine="343"/>
        <w:spacing w:after="0" w:line="286" w:lineRule="auto"/>
        <w:rPr>
          <w:sz w:val="20"/>
          <w:szCs w:val="20"/>
          <w:color w:val="auto"/>
        </w:rPr>
      </w:pPr>
      <w:r>
        <w:rPr>
          <w:rFonts w:ascii="Times New Roman" w:cs="Times New Roman" w:eastAsia="Times New Roman" w:hAnsi="Times New Roman"/>
          <w:sz w:val="14"/>
          <w:szCs w:val="14"/>
          <w:color w:val="auto"/>
        </w:rPr>
        <w:t>1.11 “</w:t>
      </w:r>
      <w:r>
        <w:rPr>
          <w:rFonts w:ascii="Times New Roman" w:cs="Times New Roman" w:eastAsia="Times New Roman" w:hAnsi="Times New Roman"/>
          <w:sz w:val="14"/>
          <w:szCs w:val="14"/>
          <w:b w:val="1"/>
          <w:bCs w:val="1"/>
          <w:color w:val="auto"/>
        </w:rPr>
        <w:t>Derivative Securities</w:t>
      </w:r>
      <w:r>
        <w:rPr>
          <w:rFonts w:ascii="Times New Roman" w:cs="Times New Roman" w:eastAsia="Times New Roman" w:hAnsi="Times New Roman"/>
          <w:sz w:val="14"/>
          <w:szCs w:val="14"/>
          <w:color w:val="auto"/>
        </w:rPr>
        <w:t>” means any securities or rights convertible into, or exercisable or exchangeable for (in each case, directly or indirectly), Common Stock, including options and warrants.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1.12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75" w:lineRule="exact"/>
        <w:rPr>
          <w:sz w:val="20"/>
          <w:szCs w:val="20"/>
          <w:color w:val="auto"/>
        </w:rPr>
      </w:pPr>
    </w:p>
    <w:p>
      <w:pPr>
        <w:ind w:left="220" w:right="299" w:firstLine="343"/>
        <w:spacing w:after="0" w:line="259" w:lineRule="auto"/>
        <w:rPr>
          <w:sz w:val="20"/>
          <w:szCs w:val="20"/>
          <w:color w:val="auto"/>
        </w:rPr>
      </w:pPr>
      <w:r>
        <w:rPr>
          <w:rFonts w:ascii="Times New Roman" w:cs="Times New Roman" w:eastAsia="Times New Roman" w:hAnsi="Times New Roman"/>
          <w:sz w:val="14"/>
          <w:szCs w:val="14"/>
          <w:color w:val="auto"/>
        </w:rPr>
        <w:t>1.13 “</w:t>
      </w:r>
      <w:r>
        <w:rPr>
          <w:rFonts w:ascii="Times New Roman" w:cs="Times New Roman" w:eastAsia="Times New Roman" w:hAnsi="Times New Roman"/>
          <w:sz w:val="14"/>
          <w:szCs w:val="14"/>
          <w:b w:val="1"/>
          <w:bCs w:val="1"/>
          <w:color w:val="auto"/>
        </w:rPr>
        <w:t>Excluded Registration</w:t>
      </w:r>
      <w:r>
        <w:rPr>
          <w:rFonts w:ascii="Times New Roman" w:cs="Times New Roman" w:eastAsia="Times New Roman" w:hAnsi="Times New Roman"/>
          <w:sz w:val="14"/>
          <w:szCs w:val="14"/>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1.14 “</w:t>
      </w:r>
      <w:r>
        <w:rPr>
          <w:rFonts w:ascii="Times New Roman" w:cs="Times New Roman" w:eastAsia="Times New Roman" w:hAnsi="Times New Roman"/>
          <w:sz w:val="14"/>
          <w:szCs w:val="14"/>
          <w:b w:val="1"/>
          <w:bCs w:val="1"/>
          <w:color w:val="auto"/>
        </w:rPr>
        <w:t>Foresite</w:t>
      </w:r>
      <w:r>
        <w:rPr>
          <w:rFonts w:ascii="Times New Roman" w:cs="Times New Roman" w:eastAsia="Times New Roman" w:hAnsi="Times New Roman"/>
          <w:sz w:val="14"/>
          <w:szCs w:val="14"/>
          <w:color w:val="auto"/>
        </w:rPr>
        <w:t>” means Foresite Capital Fund VI, L.P.</w:t>
      </w:r>
    </w:p>
    <w:p>
      <w:pPr>
        <w:spacing w:after="0" w:line="175" w:lineRule="exact"/>
        <w:rPr>
          <w:sz w:val="20"/>
          <w:szCs w:val="20"/>
          <w:color w:val="auto"/>
        </w:rPr>
      </w:pPr>
    </w:p>
    <w:p>
      <w:pPr>
        <w:ind w:left="220" w:right="339" w:firstLine="343"/>
        <w:spacing w:after="0" w:line="286" w:lineRule="auto"/>
        <w:rPr>
          <w:sz w:val="20"/>
          <w:szCs w:val="20"/>
          <w:color w:val="auto"/>
        </w:rPr>
      </w:pPr>
      <w:r>
        <w:rPr>
          <w:rFonts w:ascii="Times New Roman" w:cs="Times New Roman" w:eastAsia="Times New Roman" w:hAnsi="Times New Roman"/>
          <w:sz w:val="14"/>
          <w:szCs w:val="14"/>
          <w:color w:val="auto"/>
        </w:rPr>
        <w:t>1.15 “</w:t>
      </w:r>
      <w:r>
        <w:rPr>
          <w:rFonts w:ascii="Times New Roman" w:cs="Times New Roman" w:eastAsia="Times New Roman" w:hAnsi="Times New Roman"/>
          <w:sz w:val="14"/>
          <w:szCs w:val="14"/>
          <w:b w:val="1"/>
          <w:bCs w:val="1"/>
          <w:color w:val="auto"/>
        </w:rPr>
        <w:t>Form S-1</w:t>
      </w:r>
      <w:r>
        <w:rPr>
          <w:rFonts w:ascii="Times New Roman" w:cs="Times New Roman" w:eastAsia="Times New Roman" w:hAnsi="Times New Roman"/>
          <w:sz w:val="14"/>
          <w:szCs w:val="14"/>
          <w:color w:val="auto"/>
        </w:rPr>
        <w:t>” means such form under the Securities Act as in effect on the date hereof or any successor registration form under the Securities Act subsequently adopted by the SEC.</w:t>
      </w:r>
    </w:p>
    <w:p>
      <w:pPr>
        <w:spacing w:after="0" w:line="121" w:lineRule="exact"/>
        <w:rPr>
          <w:sz w:val="20"/>
          <w:szCs w:val="20"/>
          <w:color w:val="auto"/>
        </w:rPr>
      </w:pPr>
    </w:p>
    <w:p>
      <w:pPr>
        <w:ind w:left="220" w:right="379" w:firstLine="343"/>
        <w:spacing w:after="0" w:line="268" w:lineRule="auto"/>
        <w:rPr>
          <w:sz w:val="20"/>
          <w:szCs w:val="20"/>
          <w:color w:val="auto"/>
        </w:rPr>
      </w:pPr>
      <w:r>
        <w:rPr>
          <w:rFonts w:ascii="Times New Roman" w:cs="Times New Roman" w:eastAsia="Times New Roman" w:hAnsi="Times New Roman"/>
          <w:sz w:val="14"/>
          <w:szCs w:val="14"/>
          <w:color w:val="auto"/>
        </w:rPr>
        <w:t>1.16 “</w:t>
      </w:r>
      <w:r>
        <w:rPr>
          <w:rFonts w:ascii="Times New Roman" w:cs="Times New Roman" w:eastAsia="Times New Roman" w:hAnsi="Times New Roman"/>
          <w:sz w:val="14"/>
          <w:szCs w:val="14"/>
          <w:b w:val="1"/>
          <w:bCs w:val="1"/>
          <w:color w:val="auto"/>
        </w:rPr>
        <w:t>Form S-3</w:t>
      </w:r>
      <w:r>
        <w:rPr>
          <w:rFonts w:ascii="Times New Roman" w:cs="Times New Roman" w:eastAsia="Times New Roman" w:hAnsi="Times New Roman"/>
          <w:sz w:val="14"/>
          <w:szCs w:val="14"/>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1.17 “</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generally accepted accounting principles in the United States as in effect from time to time.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1.18 “</w:t>
      </w:r>
      <w:r>
        <w:rPr>
          <w:rFonts w:ascii="Times New Roman" w:cs="Times New Roman" w:eastAsia="Times New Roman" w:hAnsi="Times New Roman"/>
          <w:sz w:val="14"/>
          <w:szCs w:val="14"/>
          <w:b w:val="1"/>
          <w:bCs w:val="1"/>
          <w:color w:val="auto"/>
        </w:rPr>
        <w:t>General Atlantic</w:t>
      </w:r>
      <w:r>
        <w:rPr>
          <w:rFonts w:ascii="Times New Roman" w:cs="Times New Roman" w:eastAsia="Times New Roman" w:hAnsi="Times New Roman"/>
          <w:sz w:val="14"/>
          <w:szCs w:val="14"/>
          <w:color w:val="auto"/>
        </w:rPr>
        <w:t>” means General Atlantic (SP), L.P.</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347" w:name="page348"/>
    <w:bookmarkEnd w:id="347"/>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1.19 [***]</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1.20 “</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means any holder of Registrable Securities who is a party to this Agreement.</w:t>
      </w:r>
    </w:p>
    <w:p>
      <w:pPr>
        <w:spacing w:after="0" w:line="175" w:lineRule="exact"/>
        <w:rPr>
          <w:sz w:val="20"/>
          <w:szCs w:val="20"/>
          <w:color w:val="auto"/>
        </w:rPr>
      </w:pPr>
    </w:p>
    <w:p>
      <w:pPr>
        <w:ind w:left="220" w:right="519" w:firstLine="343"/>
        <w:spacing w:after="0" w:line="268" w:lineRule="auto"/>
        <w:rPr>
          <w:sz w:val="20"/>
          <w:szCs w:val="20"/>
          <w:color w:val="auto"/>
        </w:rPr>
      </w:pPr>
      <w:r>
        <w:rPr>
          <w:rFonts w:ascii="Times New Roman" w:cs="Times New Roman" w:eastAsia="Times New Roman" w:hAnsi="Times New Roman"/>
          <w:sz w:val="14"/>
          <w:szCs w:val="14"/>
          <w:color w:val="auto"/>
        </w:rPr>
        <w:t>1.21 “</w:t>
      </w:r>
      <w:r>
        <w:rPr>
          <w:rFonts w:ascii="Times New Roman" w:cs="Times New Roman" w:eastAsia="Times New Roman" w:hAnsi="Times New Roman"/>
          <w:sz w:val="14"/>
          <w:szCs w:val="14"/>
          <w:b w:val="1"/>
          <w:bCs w:val="1"/>
          <w:color w:val="auto"/>
        </w:rPr>
        <w:t>Immediate Family Member</w:t>
      </w:r>
      <w:r>
        <w:rPr>
          <w:rFonts w:ascii="Times New Roman" w:cs="Times New Roman" w:eastAsia="Times New Roman" w:hAnsi="Times New Roman"/>
          <w:sz w:val="14"/>
          <w:szCs w:val="14"/>
          <w:color w:val="auto"/>
        </w:rPr>
        <w:t>”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1.22 “</w:t>
      </w:r>
      <w:r>
        <w:rPr>
          <w:rFonts w:ascii="Times New Roman" w:cs="Times New Roman" w:eastAsia="Times New Roman" w:hAnsi="Times New Roman"/>
          <w:sz w:val="14"/>
          <w:szCs w:val="14"/>
          <w:b w:val="1"/>
          <w:bCs w:val="1"/>
          <w:color w:val="auto"/>
        </w:rPr>
        <w:t>Initiating Holders</w:t>
      </w:r>
      <w:r>
        <w:rPr>
          <w:rFonts w:ascii="Times New Roman" w:cs="Times New Roman" w:eastAsia="Times New Roman" w:hAnsi="Times New Roman"/>
          <w:sz w:val="14"/>
          <w:szCs w:val="14"/>
          <w:color w:val="auto"/>
        </w:rPr>
        <w:t>” means, collectively, Holders who properly initiate a registration request under this Agreement.</w:t>
      </w:r>
    </w:p>
    <w:p>
      <w:pPr>
        <w:spacing w:after="0" w:line="175" w:lineRule="exact"/>
        <w:rPr>
          <w:sz w:val="20"/>
          <w:szCs w:val="20"/>
          <w:color w:val="auto"/>
        </w:rPr>
      </w:pPr>
    </w:p>
    <w:p>
      <w:pPr>
        <w:ind w:left="220" w:right="759" w:firstLine="343"/>
        <w:spacing w:after="0" w:line="286" w:lineRule="auto"/>
        <w:rPr>
          <w:sz w:val="20"/>
          <w:szCs w:val="20"/>
          <w:color w:val="auto"/>
        </w:rPr>
      </w:pPr>
      <w:r>
        <w:rPr>
          <w:rFonts w:ascii="Times New Roman" w:cs="Times New Roman" w:eastAsia="Times New Roman" w:hAnsi="Times New Roman"/>
          <w:sz w:val="14"/>
          <w:szCs w:val="14"/>
          <w:color w:val="auto"/>
        </w:rPr>
        <w:t>1.23 “</w:t>
      </w:r>
      <w:r>
        <w:rPr>
          <w:rFonts w:ascii="Times New Roman" w:cs="Times New Roman" w:eastAsia="Times New Roman" w:hAnsi="Times New Roman"/>
          <w:sz w:val="14"/>
          <w:szCs w:val="14"/>
          <w:b w:val="1"/>
          <w:bCs w:val="1"/>
          <w:color w:val="auto"/>
        </w:rPr>
        <w:t>Investors</w:t>
      </w:r>
      <w:r>
        <w:rPr>
          <w:rFonts w:ascii="Times New Roman" w:cs="Times New Roman" w:eastAsia="Times New Roman" w:hAnsi="Times New Roman"/>
          <w:sz w:val="14"/>
          <w:szCs w:val="14"/>
          <w:color w:val="auto"/>
        </w:rPr>
        <w:t xml:space="preserve">” means the persons named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each person to whom the rights of an Investor are assigned pursuant to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and each person who hereafter becomes a party to this Agreement pursuant to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1.24 “</w:t>
      </w:r>
      <w:r>
        <w:rPr>
          <w:rFonts w:ascii="Times New Roman" w:cs="Times New Roman" w:eastAsia="Times New Roman" w:hAnsi="Times New Roman"/>
          <w:sz w:val="14"/>
          <w:szCs w:val="14"/>
          <w:b w:val="1"/>
          <w:bCs w:val="1"/>
          <w:color w:val="auto"/>
        </w:rPr>
        <w:t>Invus</w:t>
      </w:r>
      <w:r>
        <w:rPr>
          <w:rFonts w:ascii="Times New Roman" w:cs="Times New Roman" w:eastAsia="Times New Roman" w:hAnsi="Times New Roman"/>
          <w:sz w:val="14"/>
          <w:szCs w:val="14"/>
          <w:color w:val="auto"/>
        </w:rPr>
        <w:t>” means Invus Public Equities, L.P.</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1.25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means the Company’s first underwritten public offering of its Common Stock under the Securities Act.</w:t>
      </w:r>
    </w:p>
    <w:p>
      <w:pPr>
        <w:spacing w:after="0" w:line="175" w:lineRule="exact"/>
        <w:rPr>
          <w:sz w:val="20"/>
          <w:szCs w:val="20"/>
          <w:color w:val="auto"/>
        </w:rPr>
      </w:pPr>
    </w:p>
    <w:p>
      <w:pPr>
        <w:ind w:left="220" w:right="479" w:firstLine="343"/>
        <w:spacing w:after="0" w:line="268" w:lineRule="auto"/>
        <w:rPr>
          <w:sz w:val="20"/>
          <w:szCs w:val="20"/>
          <w:color w:val="auto"/>
        </w:rPr>
      </w:pPr>
      <w:r>
        <w:rPr>
          <w:rFonts w:ascii="Times New Roman" w:cs="Times New Roman" w:eastAsia="Times New Roman" w:hAnsi="Times New Roman"/>
          <w:sz w:val="14"/>
          <w:szCs w:val="14"/>
          <w:color w:val="auto"/>
        </w:rPr>
        <w:t>1.26 “</w:t>
      </w:r>
      <w:r>
        <w:rPr>
          <w:rFonts w:ascii="Times New Roman" w:cs="Times New Roman" w:eastAsia="Times New Roman" w:hAnsi="Times New Roman"/>
          <w:sz w:val="14"/>
          <w:szCs w:val="14"/>
          <w:b w:val="1"/>
          <w:bCs w:val="1"/>
          <w:color w:val="auto"/>
        </w:rPr>
        <w:t>Major Investor</w:t>
      </w:r>
      <w:r>
        <w:rPr>
          <w:rFonts w:ascii="Times New Roman" w:cs="Times New Roman" w:eastAsia="Times New Roman" w:hAnsi="Times New Roman"/>
          <w:sz w:val="14"/>
          <w:szCs w:val="14"/>
          <w:color w:val="auto"/>
        </w:rPr>
        <w:t>” means any Investor that, individually or together with such Investor’s Affiliates, holds at least 2,100,000 shares of Registrable Securities (as adjusted for any stock split, stock dividend, combination, or other recapitalization or reclassification effected after the date hereof).</w:t>
      </w:r>
    </w:p>
    <w:p>
      <w:pPr>
        <w:spacing w:after="0" w:line="133" w:lineRule="exact"/>
        <w:rPr>
          <w:sz w:val="20"/>
          <w:szCs w:val="20"/>
          <w:color w:val="auto"/>
        </w:rPr>
      </w:pPr>
    </w:p>
    <w:p>
      <w:pPr>
        <w:ind w:left="220" w:right="459" w:firstLine="343"/>
        <w:spacing w:after="0" w:line="268" w:lineRule="auto"/>
        <w:rPr>
          <w:sz w:val="20"/>
          <w:szCs w:val="20"/>
          <w:color w:val="auto"/>
        </w:rPr>
      </w:pPr>
      <w:r>
        <w:rPr>
          <w:rFonts w:ascii="Times New Roman" w:cs="Times New Roman" w:eastAsia="Times New Roman" w:hAnsi="Times New Roman"/>
          <w:sz w:val="14"/>
          <w:szCs w:val="14"/>
          <w:color w:val="auto"/>
        </w:rPr>
        <w:t>1.27 “</w:t>
      </w:r>
      <w:r>
        <w:rPr>
          <w:rFonts w:ascii="Times New Roman" w:cs="Times New Roman" w:eastAsia="Times New Roman" w:hAnsi="Times New Roman"/>
          <w:sz w:val="14"/>
          <w:szCs w:val="14"/>
          <w:b w:val="1"/>
          <w:bCs w:val="1"/>
          <w:color w:val="auto"/>
        </w:rPr>
        <w:t>New Securities</w:t>
      </w:r>
      <w:r>
        <w:rPr>
          <w:rFonts w:ascii="Times New Roman" w:cs="Times New Roman" w:eastAsia="Times New Roman" w:hAnsi="Times New Roman"/>
          <w:sz w:val="14"/>
          <w:szCs w:val="14"/>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33" w:lineRule="exact"/>
        <w:rPr>
          <w:sz w:val="20"/>
          <w:szCs w:val="20"/>
          <w:color w:val="auto"/>
        </w:rPr>
      </w:pPr>
    </w:p>
    <w:p>
      <w:pPr>
        <w:ind w:left="220" w:right="399" w:firstLine="343"/>
        <w:spacing w:after="0" w:line="286" w:lineRule="auto"/>
        <w:rPr>
          <w:sz w:val="20"/>
          <w:szCs w:val="20"/>
          <w:color w:val="auto"/>
        </w:rPr>
      </w:pPr>
      <w:r>
        <w:rPr>
          <w:rFonts w:ascii="Times New Roman" w:cs="Times New Roman" w:eastAsia="Times New Roman" w:hAnsi="Times New Roman"/>
          <w:sz w:val="14"/>
          <w:szCs w:val="14"/>
          <w:color w:val="auto"/>
        </w:rPr>
        <w:t>1.28 “</w:t>
      </w:r>
      <w:r>
        <w:rPr>
          <w:rFonts w:ascii="Times New Roman" w:cs="Times New Roman" w:eastAsia="Times New Roman" w:hAnsi="Times New Roman"/>
          <w:sz w:val="14"/>
          <w:szCs w:val="14"/>
          <w:b w:val="1"/>
          <w:bCs w:val="1"/>
          <w:color w:val="auto"/>
        </w:rPr>
        <w:t>New Series B Investor</w:t>
      </w:r>
      <w:r>
        <w:rPr>
          <w:rFonts w:ascii="Times New Roman" w:cs="Times New Roman" w:eastAsia="Times New Roman" w:hAnsi="Times New Roman"/>
          <w:sz w:val="14"/>
          <w:szCs w:val="14"/>
          <w:color w:val="auto"/>
        </w:rPr>
        <w:t>” means any Major Investor whose holdings of Preferred Stock as of the date of this Agreement consist entirely of shares of Series B 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1.29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any individual, corporation, partnership, trust, limited liability company, association, or other entity.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1.30 “</w:t>
      </w:r>
      <w:r>
        <w:rPr>
          <w:rFonts w:ascii="Times New Roman" w:cs="Times New Roman" w:eastAsia="Times New Roman" w:hAnsi="Times New Roman"/>
          <w:sz w:val="14"/>
          <w:szCs w:val="14"/>
          <w:b w:val="1"/>
          <w:bCs w:val="1"/>
          <w:color w:val="auto"/>
        </w:rPr>
        <w:t>PureTech</w:t>
      </w:r>
      <w:r>
        <w:rPr>
          <w:rFonts w:ascii="Times New Roman" w:cs="Times New Roman" w:eastAsia="Times New Roman" w:hAnsi="Times New Roman"/>
          <w:sz w:val="14"/>
          <w:szCs w:val="14"/>
          <w:color w:val="auto"/>
        </w:rPr>
        <w:t>” means PureTech LYT, Inc.</w:t>
      </w:r>
    </w:p>
    <w:p>
      <w:pPr>
        <w:spacing w:after="0" w:line="175" w:lineRule="exact"/>
        <w:rPr>
          <w:sz w:val="20"/>
          <w:szCs w:val="20"/>
          <w:color w:val="auto"/>
        </w:rPr>
      </w:pPr>
    </w:p>
    <w:p>
      <w:pPr>
        <w:ind w:left="220" w:right="659" w:firstLine="343"/>
        <w:spacing w:after="0" w:line="286" w:lineRule="auto"/>
        <w:rPr>
          <w:sz w:val="20"/>
          <w:szCs w:val="20"/>
          <w:color w:val="auto"/>
        </w:rPr>
      </w:pPr>
      <w:r>
        <w:rPr>
          <w:rFonts w:ascii="Times New Roman" w:cs="Times New Roman" w:eastAsia="Times New Roman" w:hAnsi="Times New Roman"/>
          <w:sz w:val="14"/>
          <w:szCs w:val="14"/>
          <w:color w:val="auto"/>
        </w:rPr>
        <w:t>1.31 “</w:t>
      </w:r>
      <w:r>
        <w:rPr>
          <w:rFonts w:ascii="Times New Roman" w:cs="Times New Roman" w:eastAsia="Times New Roman" w:hAnsi="Times New Roman"/>
          <w:sz w:val="14"/>
          <w:szCs w:val="14"/>
          <w:b w:val="1"/>
          <w:bCs w:val="1"/>
          <w:color w:val="auto"/>
        </w:rPr>
        <w:t>Preferred Director</w:t>
      </w:r>
      <w:r>
        <w:rPr>
          <w:rFonts w:ascii="Times New Roman" w:cs="Times New Roman" w:eastAsia="Times New Roman" w:hAnsi="Times New Roman"/>
          <w:sz w:val="14"/>
          <w:szCs w:val="14"/>
          <w:color w:val="auto"/>
        </w:rPr>
        <w:t>” means any director of the Company that the holders of record of a class, classes or series of Preferred Stock are entitled to elect, exclusively and as a separate class, pursuant to the Certificate of Incorporation.</w:t>
      </w:r>
    </w:p>
    <w:p>
      <w:pPr>
        <w:spacing w:after="0" w:line="121" w:lineRule="exact"/>
        <w:rPr>
          <w:sz w:val="20"/>
          <w:szCs w:val="20"/>
          <w:color w:val="auto"/>
        </w:rPr>
      </w:pPr>
    </w:p>
    <w:p>
      <w:pPr>
        <w:ind w:left="220" w:right="699" w:firstLine="343"/>
        <w:spacing w:after="0" w:line="286" w:lineRule="auto"/>
        <w:rPr>
          <w:sz w:val="20"/>
          <w:szCs w:val="20"/>
          <w:color w:val="auto"/>
        </w:rPr>
      </w:pPr>
      <w:r>
        <w:rPr>
          <w:rFonts w:ascii="Times New Roman" w:cs="Times New Roman" w:eastAsia="Times New Roman" w:hAnsi="Times New Roman"/>
          <w:sz w:val="14"/>
          <w:szCs w:val="14"/>
          <w:color w:val="auto"/>
        </w:rPr>
        <w:t>1.32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means, collectively, shares of the Company’s Series A-1 Preferred Stock, Series A-2 Preferred Stock and Series B Preferred Stock.</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48" w:name="page349"/>
    <w:bookmarkEnd w:id="348"/>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1.33 “</w:t>
      </w:r>
      <w:r>
        <w:rPr>
          <w:rFonts w:ascii="Times New Roman" w:cs="Times New Roman" w:eastAsia="Times New Roman" w:hAnsi="Times New Roman"/>
          <w:sz w:val="14"/>
          <w:szCs w:val="14"/>
          <w:b w:val="1"/>
          <w:bCs w:val="1"/>
          <w:color w:val="auto"/>
        </w:rPr>
        <w:t>Registrable Securities</w:t>
      </w:r>
      <w:r>
        <w:rPr>
          <w:rFonts w:ascii="Times New Roman" w:cs="Times New Roman" w:eastAsia="Times New Roman" w:hAnsi="Times New Roman"/>
          <w:sz w:val="14"/>
          <w:szCs w:val="14"/>
          <w:color w:val="auto"/>
        </w:rPr>
        <w:t xml:space="preserve">” means (i) the Common Stock issuable or issued upon conversion of the Preferred Stock; (ii) any Common Stock, or any Common Stock issued or issuable (directly or indirectly) upon conversion and/or exercise of any other securities of the Company, held by the Investors from time to time; and (iii)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(other than the restrictions on transfer and legend requirements in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 xml:space="preserve">), however, any Registrable Securities sold by a Person in a transaction in which the applicable rights under this Agreement are not assigned pursuant to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and excluding for purposes of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any shares for which registration rights have terminated pursuant to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220" w:right="259" w:firstLine="343"/>
        <w:spacing w:after="0" w:line="268" w:lineRule="auto"/>
        <w:rPr>
          <w:sz w:val="20"/>
          <w:szCs w:val="20"/>
          <w:color w:val="auto"/>
        </w:rPr>
      </w:pPr>
      <w:r>
        <w:rPr>
          <w:rFonts w:ascii="Times New Roman" w:cs="Times New Roman" w:eastAsia="Times New Roman" w:hAnsi="Times New Roman"/>
          <w:sz w:val="14"/>
          <w:szCs w:val="14"/>
          <w:color w:val="auto"/>
        </w:rPr>
        <w:t>1.34 “</w:t>
      </w:r>
      <w:r>
        <w:rPr>
          <w:rFonts w:ascii="Times New Roman" w:cs="Times New Roman" w:eastAsia="Times New Roman" w:hAnsi="Times New Roman"/>
          <w:sz w:val="14"/>
          <w:szCs w:val="14"/>
          <w:b w:val="1"/>
          <w:bCs w:val="1"/>
          <w:color w:val="auto"/>
        </w:rPr>
        <w:t>Registrable Securities then outstanding</w:t>
      </w:r>
      <w:r>
        <w:rPr>
          <w:rFonts w:ascii="Times New Roman" w:cs="Times New Roman" w:eastAsia="Times New Roman" w:hAnsi="Times New Roman"/>
          <w:sz w:val="14"/>
          <w:szCs w:val="14"/>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33" w:lineRule="exact"/>
        <w:rPr>
          <w:sz w:val="20"/>
          <w:szCs w:val="20"/>
          <w:color w:val="auto"/>
        </w:rPr>
      </w:pPr>
    </w:p>
    <w:p>
      <w:pPr>
        <w:ind w:left="220" w:right="239" w:firstLine="343"/>
        <w:spacing w:after="0" w:line="259" w:lineRule="auto"/>
        <w:rPr>
          <w:sz w:val="20"/>
          <w:szCs w:val="20"/>
          <w:color w:val="auto"/>
        </w:rPr>
      </w:pPr>
      <w:r>
        <w:rPr>
          <w:rFonts w:ascii="Times New Roman" w:cs="Times New Roman" w:eastAsia="Times New Roman" w:hAnsi="Times New Roman"/>
          <w:sz w:val="14"/>
          <w:szCs w:val="14"/>
          <w:color w:val="auto"/>
        </w:rPr>
        <w:t>1.35 “</w:t>
      </w:r>
      <w:r>
        <w:rPr>
          <w:rFonts w:ascii="Times New Roman" w:cs="Times New Roman" w:eastAsia="Times New Roman" w:hAnsi="Times New Roman"/>
          <w:sz w:val="14"/>
          <w:szCs w:val="14"/>
          <w:b w:val="1"/>
          <w:bCs w:val="1"/>
          <w:color w:val="auto"/>
        </w:rPr>
        <w:t>Requisite Holder Vote</w:t>
      </w:r>
      <w:r>
        <w:rPr>
          <w:rFonts w:ascii="Times New Roman" w:cs="Times New Roman" w:eastAsia="Times New Roman" w:hAnsi="Times New Roman"/>
          <w:sz w:val="14"/>
          <w:szCs w:val="14"/>
          <w:color w:val="auto"/>
        </w:rPr>
        <w:t>” means (i) prior to an IPO, the approval of (x) Investors holding a majority of the Registrable Securities issued or issuable upon conversion of the Preferred Stock, voting together as a single class, and (y) the holders of a majority of the Registrable Securities issued or issuable upon conversion of the Series A-2 Preferred Stock and Series B Preferred Stock, voting together as a single class, which majority must include at least one New Series B Investor, and (ii) following an IPO, the approval of Investors holding a majority of the Registrable Securities issued or issuable upon conversion of the Preferred Stock, voting together as a single class.</w:t>
      </w:r>
    </w:p>
    <w:p>
      <w:pPr>
        <w:spacing w:after="0" w:line="141" w:lineRule="exact"/>
        <w:rPr>
          <w:sz w:val="20"/>
          <w:szCs w:val="20"/>
          <w:color w:val="auto"/>
        </w:rPr>
      </w:pPr>
    </w:p>
    <w:p>
      <w:pPr>
        <w:jc w:val="both"/>
        <w:ind w:left="220" w:right="359" w:firstLine="343"/>
        <w:spacing w:after="0" w:line="268" w:lineRule="auto"/>
        <w:rPr>
          <w:sz w:val="20"/>
          <w:szCs w:val="20"/>
          <w:color w:val="auto"/>
        </w:rPr>
      </w:pPr>
      <w:r>
        <w:rPr>
          <w:rFonts w:ascii="Times New Roman" w:cs="Times New Roman" w:eastAsia="Times New Roman" w:hAnsi="Times New Roman"/>
          <w:sz w:val="14"/>
          <w:szCs w:val="14"/>
          <w:color w:val="auto"/>
        </w:rPr>
        <w:t>1.36 “</w:t>
      </w:r>
      <w:r>
        <w:rPr>
          <w:rFonts w:ascii="Times New Roman" w:cs="Times New Roman" w:eastAsia="Times New Roman" w:hAnsi="Times New Roman"/>
          <w:sz w:val="14"/>
          <w:szCs w:val="14"/>
          <w:b w:val="1"/>
          <w:bCs w:val="1"/>
          <w:color w:val="auto"/>
        </w:rPr>
        <w:t>Requisite Director Vote</w:t>
      </w:r>
      <w:r>
        <w:rPr>
          <w:rFonts w:ascii="Times New Roman" w:cs="Times New Roman" w:eastAsia="Times New Roman" w:hAnsi="Times New Roman"/>
          <w:sz w:val="14"/>
          <w:szCs w:val="14"/>
          <w:color w:val="auto"/>
        </w:rPr>
        <w:t>” means the approval of a majority of the Board of Directors, including a majority of the Preferred Directors then seated (or three (3) Preferred Directors if greater), and including at least two (2) Preferred Directors that are not Series A-1 Directors (as defined in the Certificate of Incorporation).</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1.37 “</w:t>
      </w:r>
      <w:r>
        <w:rPr>
          <w:rFonts w:ascii="Times New Roman" w:cs="Times New Roman" w:eastAsia="Times New Roman" w:hAnsi="Times New Roman"/>
          <w:sz w:val="14"/>
          <w:szCs w:val="14"/>
          <w:b w:val="1"/>
          <w:bCs w:val="1"/>
          <w:color w:val="auto"/>
        </w:rPr>
        <w:t>Restricted Securities</w:t>
      </w:r>
      <w:r>
        <w:rPr>
          <w:rFonts w:ascii="Times New Roman" w:cs="Times New Roman" w:eastAsia="Times New Roman" w:hAnsi="Times New Roman"/>
          <w:sz w:val="14"/>
          <w:szCs w:val="14"/>
          <w:color w:val="auto"/>
        </w:rPr>
        <w:t xml:space="preserve">” means the securities of the Company required to be notated with the legend set forth in </w:t>
      </w:r>
      <w:r>
        <w:rPr>
          <w:rFonts w:ascii="Times New Roman" w:cs="Times New Roman" w:eastAsia="Times New Roman" w:hAnsi="Times New Roman"/>
          <w:sz w:val="14"/>
          <w:szCs w:val="14"/>
          <w:u w:val="single" w:color="auto"/>
          <w:color w:val="auto"/>
        </w:rPr>
        <w:t>Section 2.12(b)</w:t>
      </w:r>
      <w:r>
        <w:rPr>
          <w:rFonts w:ascii="Times New Roman" w:cs="Times New Roman" w:eastAsia="Times New Roman" w:hAnsi="Times New Roman"/>
          <w:sz w:val="14"/>
          <w:szCs w:val="14"/>
          <w:color w:val="auto"/>
        </w:rPr>
        <w:t xml:space="preserve"> hereof.</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1.38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Securities and Exchange Commission.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1.39 “</w:t>
      </w:r>
      <w:r>
        <w:rPr>
          <w:rFonts w:ascii="Times New Roman" w:cs="Times New Roman" w:eastAsia="Times New Roman" w:hAnsi="Times New Roman"/>
          <w:sz w:val="14"/>
          <w:szCs w:val="14"/>
          <w:b w:val="1"/>
          <w:bCs w:val="1"/>
          <w:color w:val="auto"/>
        </w:rPr>
        <w:t>SEC Rule 144</w:t>
      </w:r>
      <w:r>
        <w:rPr>
          <w:rFonts w:ascii="Times New Roman" w:cs="Times New Roman" w:eastAsia="Times New Roman" w:hAnsi="Times New Roman"/>
          <w:sz w:val="14"/>
          <w:szCs w:val="14"/>
          <w:color w:val="auto"/>
        </w:rPr>
        <w:t>” means Rule 144 promulgated by the SEC under the Securities Act.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1.40 “</w:t>
      </w:r>
      <w:r>
        <w:rPr>
          <w:rFonts w:ascii="Times New Roman" w:cs="Times New Roman" w:eastAsia="Times New Roman" w:hAnsi="Times New Roman"/>
          <w:sz w:val="14"/>
          <w:szCs w:val="14"/>
          <w:b w:val="1"/>
          <w:bCs w:val="1"/>
          <w:color w:val="auto"/>
        </w:rPr>
        <w:t>SEC Rule 145</w:t>
      </w:r>
      <w:r>
        <w:rPr>
          <w:rFonts w:ascii="Times New Roman" w:cs="Times New Roman" w:eastAsia="Times New Roman" w:hAnsi="Times New Roman"/>
          <w:sz w:val="14"/>
          <w:szCs w:val="14"/>
          <w:color w:val="auto"/>
        </w:rPr>
        <w:t>” means Rule 145 promulgated by the SEC under the Securities Act.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1.41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 and the rules and regulations promulgated thereunder.</w:t>
      </w:r>
    </w:p>
    <w:p>
      <w:pPr>
        <w:spacing w:after="0" w:line="175" w:lineRule="exact"/>
        <w:rPr>
          <w:sz w:val="20"/>
          <w:szCs w:val="20"/>
          <w:color w:val="auto"/>
        </w:rPr>
      </w:pPr>
    </w:p>
    <w:p>
      <w:pPr>
        <w:ind w:left="220" w:right="259" w:firstLine="343"/>
        <w:spacing w:after="0" w:line="268" w:lineRule="auto"/>
        <w:rPr>
          <w:sz w:val="20"/>
          <w:szCs w:val="20"/>
          <w:color w:val="auto"/>
        </w:rPr>
      </w:pPr>
      <w:r>
        <w:rPr>
          <w:rFonts w:ascii="Times New Roman" w:cs="Times New Roman" w:eastAsia="Times New Roman" w:hAnsi="Times New Roman"/>
          <w:sz w:val="14"/>
          <w:szCs w:val="14"/>
          <w:color w:val="auto"/>
        </w:rPr>
        <w:t>1.42 “</w:t>
      </w:r>
      <w:r>
        <w:rPr>
          <w:rFonts w:ascii="Times New Roman" w:cs="Times New Roman" w:eastAsia="Times New Roman" w:hAnsi="Times New Roman"/>
          <w:sz w:val="14"/>
          <w:szCs w:val="14"/>
          <w:b w:val="1"/>
          <w:bCs w:val="1"/>
          <w:color w:val="auto"/>
        </w:rPr>
        <w:t>Selling Expenses</w:t>
      </w:r>
      <w:r>
        <w:rPr>
          <w:rFonts w:ascii="Times New Roman" w:cs="Times New Roman" w:eastAsia="Times New Roman" w:hAnsi="Times New Roman"/>
          <w:sz w:val="14"/>
          <w:szCs w:val="14"/>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1.43 “</w:t>
      </w:r>
      <w:r>
        <w:rPr>
          <w:rFonts w:ascii="Times New Roman" w:cs="Times New Roman" w:eastAsia="Times New Roman" w:hAnsi="Times New Roman"/>
          <w:sz w:val="14"/>
          <w:szCs w:val="14"/>
          <w:b w:val="1"/>
          <w:bCs w:val="1"/>
          <w:color w:val="auto"/>
        </w:rPr>
        <w:t>Series A-1 Preferred Stock</w:t>
      </w:r>
      <w:r>
        <w:rPr>
          <w:rFonts w:ascii="Times New Roman" w:cs="Times New Roman" w:eastAsia="Times New Roman" w:hAnsi="Times New Roman"/>
          <w:sz w:val="14"/>
          <w:szCs w:val="14"/>
          <w:color w:val="auto"/>
        </w:rPr>
        <w:t>” means shares of the Company’s Series A-1 Preferred Stock, par value $0.0001 per share.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1.44 “</w:t>
      </w:r>
      <w:r>
        <w:rPr>
          <w:rFonts w:ascii="Times New Roman" w:cs="Times New Roman" w:eastAsia="Times New Roman" w:hAnsi="Times New Roman"/>
          <w:sz w:val="14"/>
          <w:szCs w:val="14"/>
          <w:b w:val="1"/>
          <w:bCs w:val="1"/>
          <w:color w:val="auto"/>
        </w:rPr>
        <w:t>Series A-2 Preferred Stock</w:t>
      </w:r>
      <w:r>
        <w:rPr>
          <w:rFonts w:ascii="Times New Roman" w:cs="Times New Roman" w:eastAsia="Times New Roman" w:hAnsi="Times New Roman"/>
          <w:sz w:val="14"/>
          <w:szCs w:val="14"/>
          <w:color w:val="auto"/>
        </w:rPr>
        <w:t>” means shares of the Company’s Series A-2 Preferred Stock, par value $0.0001 per share.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1.45 “</w:t>
      </w:r>
      <w:r>
        <w:rPr>
          <w:rFonts w:ascii="Times New Roman" w:cs="Times New Roman" w:eastAsia="Times New Roman" w:hAnsi="Times New Roman"/>
          <w:sz w:val="14"/>
          <w:szCs w:val="14"/>
          <w:b w:val="1"/>
          <w:bCs w:val="1"/>
          <w:color w:val="auto"/>
        </w:rPr>
        <w:t>Sofinnova</w:t>
      </w:r>
      <w:r>
        <w:rPr>
          <w:rFonts w:ascii="Times New Roman" w:cs="Times New Roman" w:eastAsia="Times New Roman" w:hAnsi="Times New Roman"/>
          <w:sz w:val="14"/>
          <w:szCs w:val="14"/>
          <w:color w:val="auto"/>
        </w:rPr>
        <w:t>” means Sofinnova Venture Partners XI, L.P.</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349" w:name="page350"/>
    <w:bookmarkEnd w:id="349"/>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1.46 “</w:t>
      </w:r>
      <w:r>
        <w:rPr>
          <w:rFonts w:ascii="Times New Roman" w:cs="Times New Roman" w:eastAsia="Times New Roman" w:hAnsi="Times New Roman"/>
          <w:sz w:val="14"/>
          <w:szCs w:val="14"/>
          <w:b w:val="1"/>
          <w:bCs w:val="1"/>
          <w:color w:val="auto"/>
        </w:rPr>
        <w:t>Third Rock</w:t>
      </w:r>
      <w:r>
        <w:rPr>
          <w:rFonts w:ascii="Times New Roman" w:cs="Times New Roman" w:eastAsia="Times New Roman" w:hAnsi="Times New Roman"/>
          <w:sz w:val="14"/>
          <w:szCs w:val="14"/>
          <w:color w:val="auto"/>
        </w:rPr>
        <w:t>” means Third Rock Ventures VI, L.P.</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1.47 [***]</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1.48 [***]</w:t>
      </w:r>
    </w:p>
    <w:p>
      <w:pPr>
        <w:spacing w:after="0" w:line="91" w:lineRule="exact"/>
        <w:rPr>
          <w:sz w:val="20"/>
          <w:szCs w:val="20"/>
          <w:color w:val="auto"/>
        </w:rPr>
      </w:pPr>
    </w:p>
    <w:p>
      <w:pPr>
        <w:ind w:left="560" w:right="4839" w:hanging="345"/>
        <w:spacing w:after="0" w:line="500" w:lineRule="auto"/>
        <w:tabs>
          <w:tab w:leader="none" w:pos="357"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Rights</w:t>
      </w:r>
      <w:r>
        <w:rPr>
          <w:rFonts w:ascii="Times New Roman" w:cs="Times New Roman" w:eastAsia="Times New Roman" w:hAnsi="Times New Roman"/>
          <w:sz w:val="14"/>
          <w:szCs w:val="14"/>
          <w:color w:val="auto"/>
        </w:rPr>
        <w:t xml:space="preserve">. The Company covenants and agrees as follows: 2.1 </w:t>
      </w:r>
      <w:r>
        <w:rPr>
          <w:rFonts w:ascii="Times New Roman" w:cs="Times New Roman" w:eastAsia="Times New Roman" w:hAnsi="Times New Roman"/>
          <w:sz w:val="14"/>
          <w:szCs w:val="14"/>
          <w:u w:val="single" w:color="auto"/>
          <w:color w:val="auto"/>
        </w:rPr>
        <w:t>Demand Registration</w:t>
      </w:r>
      <w:r>
        <w:rPr>
          <w:rFonts w:ascii="Times New Roman" w:cs="Times New Roman" w:eastAsia="Times New Roman" w:hAnsi="Times New Roman"/>
          <w:sz w:val="14"/>
          <w:szCs w:val="14"/>
          <w:color w:val="auto"/>
        </w:rPr>
        <w:t>.</w:t>
      </w:r>
    </w:p>
    <w:p>
      <w:pPr>
        <w:ind w:left="220" w:right="319" w:firstLine="767"/>
        <w:spacing w:after="0" w:line="254" w:lineRule="auto"/>
        <w:tabs>
          <w:tab w:leader="none" w:pos="1182" w:val="left"/>
        </w:tabs>
        <w:numPr>
          <w:ilvl w:val="1"/>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Form S-1 Demand</w:t>
      </w:r>
      <w:r>
        <w:rPr>
          <w:rFonts w:ascii="Times New Roman" w:cs="Times New Roman" w:eastAsia="Times New Roman" w:hAnsi="Times New Roman"/>
          <w:sz w:val="14"/>
          <w:szCs w:val="14"/>
          <w:color w:val="auto"/>
        </w:rPr>
        <w:t>. If at any time after the earlier of (i) five (5) years after the date of this Agreement or (ii) 180 days after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date of the registration statement for the IPO, the Company receives a request from Holders of at least 9% of the Registrable Securities then outstanding that the Company file a Form S-1 registration statement with respect to Registrable Securities then outstanding having an anticipated aggregate offering price (as adjusted for any stock split, stock dividend, combination, or other recapitalization or reclassification effected after the date hereof), net of Selling Expenses, of at least $15,000,000, then the Company shall: (x) within ten days after the date such request is given, give notice thereof (the “</w:t>
      </w:r>
      <w:r>
        <w:rPr>
          <w:rFonts w:ascii="Times New Roman" w:cs="Times New Roman" w:eastAsia="Times New Roman" w:hAnsi="Times New Roman"/>
          <w:sz w:val="14"/>
          <w:szCs w:val="14"/>
          <w:b w:val="1"/>
          <w:bCs w:val="1"/>
          <w:color w:val="auto"/>
        </w:rPr>
        <w:t>Demand Notice</w:t>
      </w:r>
      <w:r>
        <w:rPr>
          <w:rFonts w:ascii="Times New Roman" w:cs="Times New Roman" w:eastAsia="Times New Roman" w:hAnsi="Times New Roman"/>
          <w:sz w:val="14"/>
          <w:szCs w:val="14"/>
          <w:color w:val="auto"/>
        </w:rPr>
        <w:t xml:space="preserve">”) to all Holders other than the Initiating Holders; and (y) as soon as practicable, and in any event within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Times New Roman" w:cs="Times New Roman" w:eastAsia="Times New Roman" w:hAnsi="Times New Roman"/>
          <w:sz w:val="14"/>
          <w:szCs w:val="14"/>
          <w:u w:val="single" w:color="auto"/>
          <w:color w:val="auto"/>
        </w:rPr>
        <w:t>Sections 2.1(c)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2.3</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220" w:right="219" w:firstLine="767"/>
        <w:spacing w:after="0" w:line="254" w:lineRule="auto"/>
        <w:tabs>
          <w:tab w:leader="none" w:pos="1190" w:val="left"/>
        </w:tabs>
        <w:numPr>
          <w:ilvl w:val="1"/>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Form S-3 Demand</w:t>
      </w:r>
      <w:r>
        <w:rPr>
          <w:rFonts w:ascii="Times New Roman" w:cs="Times New Roman" w:eastAsia="Times New Roman" w:hAnsi="Times New Roman"/>
          <w:sz w:val="14"/>
          <w:szCs w:val="14"/>
          <w:color w:val="auto"/>
        </w:rPr>
        <w:t>. If at any time when it is eligible to use a Form S-3 registration statement, the Company receives a request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Holders of at least 9%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days after the date such request is given, give a Demand Notice to all Holders other than the Initiating Holders, and (ii) as soon as practicable, and in any event within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Times New Roman" w:cs="Times New Roman" w:eastAsia="Times New Roman" w:hAnsi="Times New Roman"/>
          <w:sz w:val="14"/>
          <w:szCs w:val="14"/>
          <w:u w:val="single" w:color="auto"/>
          <w:color w:val="auto"/>
        </w:rPr>
        <w:t>Sections 2.1(c)</w:t>
      </w:r>
      <w:r>
        <w:rPr>
          <w:rFonts w:ascii="Times New Roman" w:cs="Times New Roman" w:eastAsia="Times New Roman" w:hAnsi="Times New Roman"/>
          <w:sz w:val="14"/>
          <w:szCs w:val="14"/>
          <w:color w:val="auto"/>
        </w:rPr>
        <w:t xml:space="preserve"> and</w:t>
      </w:r>
    </w:p>
    <w:p>
      <w:pPr>
        <w:spacing w:after="0" w:line="1" w:lineRule="exact"/>
        <w:rPr>
          <w:rFonts w:ascii="Times New Roman" w:cs="Times New Roman" w:eastAsia="Times New Roman" w:hAnsi="Times New Roman"/>
          <w:sz w:val="14"/>
          <w:szCs w:val="14"/>
          <w:color w:val="auto"/>
        </w:rPr>
      </w:pPr>
    </w:p>
    <w:p>
      <w:pPr>
        <w:spacing w:after="0"/>
        <w:tabs>
          <w:tab w:leader="none" w:pos="0" w:val="left"/>
        </w:tabs>
        <w:numPr>
          <w:ilvl w:val="0"/>
          <w:numId w:val="201"/>
        </w:numPr>
        <w:rPr>
          <w:rFonts w:ascii="Times New Roman" w:cs="Times New Roman" w:eastAsia="Times New Roman" w:hAnsi="Times New Roman"/>
          <w:sz w:val="14"/>
          <w:szCs w:val="14"/>
          <w:u w:val="single" w:color="auto"/>
          <w:color w:val="auto"/>
        </w:rPr>
      </w:pPr>
    </w:p>
    <w:p>
      <w:pPr>
        <w:spacing w:after="0" w:line="160" w:lineRule="exact"/>
        <w:rPr>
          <w:rFonts w:ascii="Times New Roman" w:cs="Times New Roman" w:eastAsia="Times New Roman" w:hAnsi="Times New Roman"/>
          <w:sz w:val="14"/>
          <w:szCs w:val="14"/>
          <w:u w:val="single" w:color="auto"/>
          <w:color w:val="auto"/>
        </w:rPr>
      </w:pPr>
    </w:p>
    <w:p>
      <w:pPr>
        <w:ind w:left="220" w:right="299" w:firstLine="767"/>
        <w:spacing w:after="0" w:line="254" w:lineRule="auto"/>
        <w:tabs>
          <w:tab w:leader="none" w:pos="1182"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a certificate signed by the Company’s chief executive officer stating that in the good faith judgment of the Board of Directors it would be materially detrimental to the Company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90 days after the request of the Initiating Holders is given;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may not invoke this right more than twice in any 12-month period;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the Company shall not register any securities for its own account or that of any other stockholder during such 90 day period other than an Excluded Registration.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350" w:name="page351"/>
    <w:bookmarkEnd w:id="350"/>
    <w:p>
      <w:pPr>
        <w:ind w:left="220" w:right="239" w:firstLine="767"/>
        <w:spacing w:after="0" w:line="253" w:lineRule="auto"/>
        <w:tabs>
          <w:tab w:leader="none" w:pos="119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The Company shall not be obligated to effect, or to take any action to effect, any registration pursuant to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(i) during the period that is 60 days before the Company’s good faith estimate of the date of filing of, and ending on a date that is 180 days after the effective date of, a Company- initiated registration,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is actively 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 xml:space="preserve">. The Company shall not be obligated to effect, or to take any action to effect, any registration pursuant to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 xml:space="preserve">, (i) during the period that is 30 days before the Company’s good faith estimate of the date of filing of, and ending on a date that is 90 days after the effective date of, a Company- initiated registration,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 xml:space="preserve"> within the 12-month period immediately preceding the date of such request. A registration shall not be counted as “effected” for purposes of this </w:t>
      </w:r>
      <w:r>
        <w:rPr>
          <w:rFonts w:ascii="Times New Roman" w:cs="Times New Roman" w:eastAsia="Times New Roman" w:hAnsi="Times New Roman"/>
          <w:sz w:val="14"/>
          <w:szCs w:val="14"/>
          <w:u w:val="single" w:color="auto"/>
          <w:color w:val="auto"/>
        </w:rPr>
        <w:t>Section 2.1(d)</w:t>
      </w:r>
      <w:r>
        <w:rPr>
          <w:rFonts w:ascii="Times New Roman" w:cs="Times New Roman" w:eastAsia="Times New Roman" w:hAnsi="Times New Roman"/>
          <w:sz w:val="14"/>
          <w:szCs w:val="14"/>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in which case such withdrawn registration statement shall be counted as “effected” for purposes of this </w:t>
      </w:r>
      <w:r>
        <w:rPr>
          <w:rFonts w:ascii="Times New Roman" w:cs="Times New Roman" w:eastAsia="Times New Roman" w:hAnsi="Times New Roman"/>
          <w:sz w:val="14"/>
          <w:szCs w:val="14"/>
          <w:u w:val="single" w:color="auto"/>
          <w:color w:val="auto"/>
        </w:rPr>
        <w:t>Section 2.1(d)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withdrawal is during a period the Company has deferred taking action pursuant to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4"/>
          <w:szCs w:val="14"/>
          <w:u w:val="single" w:color="auto"/>
          <w:color w:val="auto"/>
        </w:rPr>
        <w:t>Section 2.1(d)</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Company Registration</w:t>
      </w:r>
      <w:r>
        <w:rPr>
          <w:rFonts w:ascii="Times New Roman" w:cs="Times New Roman" w:eastAsia="Times New Roman" w:hAnsi="Times New Roman"/>
          <w:sz w:val="14"/>
          <w:szCs w:val="14"/>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or a registration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the Company shall, at such time, promptly give each Holder notice of such registration. Upon the request of each Holder given within 20 days after such notice is given by the Company, the Company shall, subject to the provisions of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Underwriting Requirements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767"/>
        <w:spacing w:after="0" w:line="256" w:lineRule="auto"/>
        <w:tabs>
          <w:tab w:leader="none" w:pos="1182"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and the Company shall include such information in the Demand Notice. The underwriter(s) will be selected by the Board of Directors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4"/>
          <w:szCs w:val="14"/>
          <w:u w:val="single" w:color="auto"/>
          <w:color w:val="auto"/>
        </w:rPr>
        <w:t>Section 2.4(e)</w:t>
      </w:r>
      <w:r>
        <w:rPr>
          <w:rFonts w:ascii="Times New Roman" w:cs="Times New Roman" w:eastAsia="Times New Roman" w:hAnsi="Times New Roman"/>
          <w:sz w:val="14"/>
          <w:szCs w:val="14"/>
          <w:color w:val="auto"/>
        </w:rPr>
        <w:t xml:space="preserve">) enter into an underwriting agreement in customary form with the underwriter(s) selected for such underwriting;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351" w:name="page352"/>
    <w:bookmarkEnd w:id="351"/>
    <w:p>
      <w:pPr>
        <w:ind w:left="220" w:right="2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44" w:lineRule="exact"/>
        <w:rPr>
          <w:sz w:val="20"/>
          <w:szCs w:val="20"/>
          <w:color w:val="auto"/>
        </w:rPr>
      </w:pPr>
    </w:p>
    <w:p>
      <w:pPr>
        <w:ind w:left="220" w:right="219" w:firstLine="767"/>
        <w:spacing w:after="0" w:line="252" w:lineRule="auto"/>
        <w:tabs>
          <w:tab w:leader="none" w:pos="119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any offering involving an underwriting of shares of the Company’s capital stock pursuant to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4"/>
          <w:szCs w:val="14"/>
          <w:u w:val="single" w:color="auto"/>
          <w:color w:val="auto"/>
        </w:rPr>
        <w:t>Section 2.3(b)</w:t>
      </w:r>
      <w:r>
        <w:rPr>
          <w:rFonts w:ascii="Times New Roman" w:cs="Times New Roman" w:eastAsia="Times New Roman" w:hAnsi="Times New Roman"/>
          <w:sz w:val="14"/>
          <w:szCs w:val="14"/>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50" w:lineRule="exact"/>
        <w:rPr>
          <w:rFonts w:ascii="Times New Roman" w:cs="Times New Roman" w:eastAsia="Times New Roman" w:hAnsi="Times New Roman"/>
          <w:sz w:val="14"/>
          <w:szCs w:val="14"/>
          <w:color w:val="auto"/>
        </w:rPr>
      </w:pPr>
    </w:p>
    <w:p>
      <w:pPr>
        <w:ind w:left="220" w:right="239" w:firstLine="767"/>
        <w:spacing w:after="0" w:line="267" w:lineRule="auto"/>
        <w:tabs>
          <w:tab w:leader="none" w:pos="1182"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 fewer than 50% of the total number of Registrable Securities that Holders have requested to be included in such registration statement are actually included.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352" w:name="page353"/>
    <w:bookmarkEnd w:id="352"/>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2.4 </w:t>
      </w:r>
      <w:r>
        <w:rPr>
          <w:rFonts w:ascii="Times New Roman" w:cs="Times New Roman" w:eastAsia="Times New Roman" w:hAnsi="Times New Roman"/>
          <w:sz w:val="14"/>
          <w:szCs w:val="14"/>
          <w:u w:val="single" w:color="auto"/>
          <w:color w:val="auto"/>
        </w:rPr>
        <w:t>Obligations of the Company</w:t>
      </w:r>
      <w:r>
        <w:rPr>
          <w:rFonts w:ascii="Times New Roman" w:cs="Times New Roman" w:eastAsia="Times New Roman" w:hAnsi="Times New Roman"/>
          <w:sz w:val="14"/>
          <w:szCs w:val="14"/>
          <w:color w:val="auto"/>
        </w:rPr>
        <w:t xml:space="preserve">. Whenever required under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2 to effect the registration of any Registrable Securities, the Company shall, as expeditiously as reasonably possible:</w:t>
      </w:r>
    </w:p>
    <w:p>
      <w:pPr>
        <w:spacing w:after="0" w:line="125" w:lineRule="exact"/>
        <w:rPr>
          <w:sz w:val="20"/>
          <w:szCs w:val="20"/>
          <w:color w:val="auto"/>
        </w:rPr>
      </w:pPr>
    </w:p>
    <w:p>
      <w:pPr>
        <w:ind w:left="220" w:right="239" w:firstLine="767"/>
        <w:spacing w:after="0" w:line="255" w:lineRule="auto"/>
        <w:tabs>
          <w:tab w:leader="none" w:pos="1182"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such 120-day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if necessary, to keep the registration statement effective until all such Registrable Securities are sold;</w:t>
      </w:r>
    </w:p>
    <w:p>
      <w:pPr>
        <w:spacing w:after="0" w:line="145" w:lineRule="exact"/>
        <w:rPr>
          <w:rFonts w:ascii="Times New Roman" w:cs="Times New Roman" w:eastAsia="Times New Roman" w:hAnsi="Times New Roman"/>
          <w:sz w:val="14"/>
          <w:szCs w:val="14"/>
          <w:color w:val="auto"/>
        </w:rPr>
      </w:pPr>
    </w:p>
    <w:p>
      <w:pPr>
        <w:ind w:left="220" w:right="279" w:firstLine="767"/>
        <w:spacing w:after="0" w:line="267" w:lineRule="auto"/>
        <w:tabs>
          <w:tab w:leader="none" w:pos="119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35" w:lineRule="exact"/>
        <w:rPr>
          <w:rFonts w:ascii="Times New Roman" w:cs="Times New Roman" w:eastAsia="Times New Roman" w:hAnsi="Times New Roman"/>
          <w:sz w:val="14"/>
          <w:szCs w:val="14"/>
          <w:color w:val="auto"/>
        </w:rPr>
      </w:pPr>
    </w:p>
    <w:p>
      <w:pPr>
        <w:ind w:left="220" w:right="299" w:firstLine="767"/>
        <w:spacing w:after="0" w:line="283" w:lineRule="auto"/>
        <w:tabs>
          <w:tab w:leader="none" w:pos="1182"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4" w:lineRule="exact"/>
        <w:rPr>
          <w:rFonts w:ascii="Times New Roman" w:cs="Times New Roman" w:eastAsia="Times New Roman" w:hAnsi="Times New Roman"/>
          <w:sz w:val="14"/>
          <w:szCs w:val="14"/>
          <w:color w:val="auto"/>
        </w:rPr>
      </w:pPr>
    </w:p>
    <w:p>
      <w:pPr>
        <w:ind w:left="220" w:right="259" w:firstLine="767"/>
        <w:spacing w:after="0" w:line="261" w:lineRule="auto"/>
        <w:tabs>
          <w:tab w:leader="none" w:pos="119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40" w:lineRule="exact"/>
        <w:rPr>
          <w:rFonts w:ascii="Times New Roman" w:cs="Times New Roman" w:eastAsia="Times New Roman" w:hAnsi="Times New Roman"/>
          <w:sz w:val="14"/>
          <w:szCs w:val="14"/>
          <w:color w:val="auto"/>
        </w:rPr>
      </w:pPr>
    </w:p>
    <w:p>
      <w:pPr>
        <w:ind w:left="220" w:right="379" w:firstLine="767"/>
        <w:spacing w:after="0" w:line="283" w:lineRule="auto"/>
        <w:tabs>
          <w:tab w:leader="none" w:pos="1182"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underwritten public offering, enter into and perform its obligations under an underwriting agreement, in usual and customary form, with the underwriter(s) of such offering;</w:t>
      </w:r>
    </w:p>
    <w:p>
      <w:pPr>
        <w:spacing w:after="0" w:line="124" w:lineRule="exact"/>
        <w:rPr>
          <w:rFonts w:ascii="Times New Roman" w:cs="Times New Roman" w:eastAsia="Times New Roman" w:hAnsi="Times New Roman"/>
          <w:sz w:val="14"/>
          <w:szCs w:val="14"/>
          <w:color w:val="auto"/>
        </w:rPr>
      </w:pPr>
    </w:p>
    <w:p>
      <w:pPr>
        <w:ind w:left="220" w:right="339" w:firstLine="767"/>
        <w:spacing w:after="0" w:line="267" w:lineRule="auto"/>
        <w:tabs>
          <w:tab w:leader="none" w:pos="1167"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35" w:lineRule="exact"/>
        <w:rPr>
          <w:rFonts w:ascii="Times New Roman" w:cs="Times New Roman" w:eastAsia="Times New Roman" w:hAnsi="Times New Roman"/>
          <w:sz w:val="14"/>
          <w:szCs w:val="14"/>
          <w:color w:val="auto"/>
        </w:rPr>
      </w:pPr>
    </w:p>
    <w:p>
      <w:pPr>
        <w:ind w:left="220" w:right="299" w:firstLine="767"/>
        <w:spacing w:after="0" w:line="283" w:lineRule="auto"/>
        <w:tabs>
          <w:tab w:leader="none" w:pos="119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24" w:lineRule="exact"/>
        <w:rPr>
          <w:rFonts w:ascii="Times New Roman" w:cs="Times New Roman" w:eastAsia="Times New Roman" w:hAnsi="Times New Roman"/>
          <w:sz w:val="14"/>
          <w:szCs w:val="14"/>
          <w:color w:val="auto"/>
        </w:rPr>
      </w:pPr>
    </w:p>
    <w:p>
      <w:pPr>
        <w:ind w:left="220" w:right="379" w:firstLine="767"/>
        <w:spacing w:after="0" w:line="257" w:lineRule="auto"/>
        <w:tabs>
          <w:tab w:leader="none" w:pos="119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53" w:name="page354"/>
    <w:bookmarkEnd w:id="353"/>
    <w:p>
      <w:pPr>
        <w:ind w:left="220" w:right="379" w:firstLine="767"/>
        <w:spacing w:after="0" w:line="283" w:lineRule="auto"/>
        <w:tabs>
          <w:tab w:leader="none" w:pos="1159"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4" w:lineRule="exact"/>
        <w:rPr>
          <w:rFonts w:ascii="Times New Roman" w:cs="Times New Roman" w:eastAsia="Times New Roman" w:hAnsi="Times New Roman"/>
          <w:sz w:val="14"/>
          <w:szCs w:val="14"/>
          <w:color w:val="auto"/>
        </w:rPr>
      </w:pPr>
    </w:p>
    <w:p>
      <w:pPr>
        <w:ind w:left="220" w:right="399" w:firstLine="767"/>
        <w:spacing w:after="0" w:line="283" w:lineRule="auto"/>
        <w:tabs>
          <w:tab w:leader="none" w:pos="1159"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such registration statement becomes effective, notify each selling Holder of any request by the SEC that the Company amend or supplement such registration statement or prospectus.</w:t>
      </w:r>
    </w:p>
    <w:p>
      <w:pPr>
        <w:spacing w:after="0" w:line="125" w:lineRule="exact"/>
        <w:rPr>
          <w:sz w:val="20"/>
          <w:szCs w:val="20"/>
          <w:color w:val="auto"/>
        </w:rPr>
      </w:pPr>
    </w:p>
    <w:p>
      <w:pPr>
        <w:ind w:left="220" w:right="479" w:firstLine="343"/>
        <w:spacing w:after="0" w:line="267" w:lineRule="auto"/>
        <w:rPr>
          <w:sz w:val="20"/>
          <w:szCs w:val="20"/>
          <w:color w:val="auto"/>
        </w:rPr>
      </w:pPr>
      <w:r>
        <w:rPr>
          <w:rFonts w:ascii="Times New Roman" w:cs="Times New Roman" w:eastAsia="Times New Roman" w:hAnsi="Times New Roman"/>
          <w:sz w:val="14"/>
          <w:szCs w:val="14"/>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36" w:lineRule="exact"/>
        <w:rPr>
          <w:sz w:val="20"/>
          <w:szCs w:val="20"/>
          <w:color w:val="auto"/>
        </w:rPr>
      </w:pPr>
    </w:p>
    <w:p>
      <w:pPr>
        <w:ind w:left="220" w:right="5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Furnish Information</w:t>
      </w:r>
      <w:r>
        <w:rPr>
          <w:rFonts w:ascii="Times New Roman" w:cs="Times New Roman" w:eastAsia="Times New Roman" w:hAnsi="Times New Roman"/>
          <w:sz w:val="14"/>
          <w:szCs w:val="14"/>
          <w:color w:val="auto"/>
        </w:rPr>
        <w:t xml:space="preserve">. It shall be a condition precedent to the obligations of the Company to take any action pursuant to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41" w:lineRule="exact"/>
        <w:rPr>
          <w:sz w:val="20"/>
          <w:szCs w:val="20"/>
          <w:color w:val="auto"/>
        </w:rPr>
      </w:pPr>
    </w:p>
    <w:p>
      <w:pPr>
        <w:ind w:left="220" w:right="279" w:firstLine="343"/>
        <w:spacing w:after="0" w:line="253"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Expenses of Registration</w:t>
      </w:r>
      <w:r>
        <w:rPr>
          <w:rFonts w:ascii="Times New Roman" w:cs="Times New Roman" w:eastAsia="Times New Roman" w:hAnsi="Times New Roman"/>
          <w:sz w:val="14"/>
          <w:szCs w:val="14"/>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including all registration, filing, and qualification fees; printers’ and accounting fees; fees and disbursements of counsel for the Company; and the reasonable fees and disbursements, not to exceed $50,000 per registration, of one counsel for the selling Holders selected by Holders of a majority of the Registrable Securities to be registered (“</w:t>
      </w:r>
      <w:r>
        <w:rPr>
          <w:rFonts w:ascii="Times New Roman" w:cs="Times New Roman" w:eastAsia="Times New Roman" w:hAnsi="Times New Roman"/>
          <w:sz w:val="14"/>
          <w:szCs w:val="14"/>
          <w:b w:val="1"/>
          <w:bCs w:val="1"/>
          <w:color w:val="auto"/>
        </w:rPr>
        <w:t>Selling Holder Counsel</w:t>
      </w:r>
      <w:r>
        <w:rPr>
          <w:rFonts w:ascii="Times New Roman" w:cs="Times New Roman" w:eastAsia="Times New Roman" w:hAnsi="Times New Roman"/>
          <w:sz w:val="14"/>
          <w:szCs w:val="14"/>
          <w:color w:val="auto"/>
        </w:rPr>
        <w:t xml:space="preserve">”), shall be borne and paid by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be required to pay for any expenses of any registration proceeding begun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4"/>
          <w:szCs w:val="14"/>
          <w:u w:val="single" w:color="auto"/>
          <w:color w:val="auto"/>
        </w:rPr>
        <w:t>Sections 2.1(a)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2.1(b)</w:t>
      </w:r>
      <w:r>
        <w:rPr>
          <w:rFonts w:ascii="Times New Roman" w:cs="Times New Roman" w:eastAsia="Times New Roman" w:hAnsi="Times New Roman"/>
          <w:sz w:val="14"/>
          <w:szCs w:val="14"/>
          <w:color w:val="auto"/>
        </w:rPr>
        <w:t xml:space="preserve">, as the case may be;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4"/>
          <w:szCs w:val="14"/>
          <w:u w:val="single" w:color="auto"/>
          <w:color w:val="auto"/>
        </w:rPr>
        <w:t>Sections 2.1(a)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2.1(b)</w:t>
      </w:r>
      <w:r>
        <w:rPr>
          <w:rFonts w:ascii="Times New Roman" w:cs="Times New Roman" w:eastAsia="Times New Roman" w:hAnsi="Times New Roman"/>
          <w:sz w:val="14"/>
          <w:szCs w:val="14"/>
          <w:color w:val="auto"/>
        </w:rPr>
        <w:t xml:space="preserve">. All Selling Expenses relating to Registrable Securities registered pursuant to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(other than fees and disbursements of counsel to any Holder, other than the Selling Holder Counsel, which shall be borne solely by the Holder engaging such counsel) shall be borne and paid by the Holders pro rata on the basis of the number of Registrable Securities registered on their behalf.</w:t>
      </w:r>
    </w:p>
    <w:p>
      <w:pPr>
        <w:spacing w:after="0" w:line="147" w:lineRule="exact"/>
        <w:rPr>
          <w:sz w:val="20"/>
          <w:szCs w:val="20"/>
          <w:color w:val="auto"/>
        </w:rPr>
      </w:pPr>
    </w:p>
    <w:p>
      <w:pPr>
        <w:jc w:val="both"/>
        <w:ind w:left="220" w:right="6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Delay of Registration</w:t>
      </w:r>
      <w:r>
        <w:rPr>
          <w:rFonts w:ascii="Times New Roman" w:cs="Times New Roman" w:eastAsia="Times New Roman" w:hAnsi="Times New Roman"/>
          <w:sz w:val="14"/>
          <w:szCs w:val="14"/>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54" w:name="page355"/>
    <w:bookmarkEnd w:id="35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2.8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xml:space="preserve">. If any Registrable Securities are included in a registration statement under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67"/>
        <w:spacing w:after="0" w:line="254" w:lineRule="auto"/>
        <w:tabs>
          <w:tab w:leader="none" w:pos="1182"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indemnity agreement contained in this </w:t>
      </w:r>
      <w:r>
        <w:rPr>
          <w:rFonts w:ascii="Times New Roman" w:cs="Times New Roman" w:eastAsia="Times New Roman" w:hAnsi="Times New Roman"/>
          <w:sz w:val="14"/>
          <w:szCs w:val="14"/>
          <w:u w:val="single" w:color="auto"/>
          <w:color w:val="auto"/>
        </w:rPr>
        <w:t>Section 2.8(a)</w:t>
      </w:r>
      <w:r>
        <w:rPr>
          <w:rFonts w:ascii="Times New Roman" w:cs="Times New Roman" w:eastAsia="Times New Roman" w:hAnsi="Times New Roman"/>
          <w:sz w:val="14"/>
          <w:szCs w:val="14"/>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except to the extent such information has been corrected in a subsequent writing prior to the sale of Registrable Securities to the Person asserting the claim.</w:t>
      </w:r>
    </w:p>
    <w:p>
      <w:pPr>
        <w:spacing w:after="0" w:line="144" w:lineRule="exact"/>
        <w:rPr>
          <w:rFonts w:ascii="Times New Roman" w:cs="Times New Roman" w:eastAsia="Times New Roman" w:hAnsi="Times New Roman"/>
          <w:sz w:val="14"/>
          <w:szCs w:val="14"/>
          <w:color w:val="auto"/>
        </w:rPr>
      </w:pPr>
    </w:p>
    <w:p>
      <w:pPr>
        <w:ind w:left="220" w:right="239" w:firstLine="767"/>
        <w:spacing w:after="0" w:line="253" w:lineRule="auto"/>
        <w:tabs>
          <w:tab w:leader="none" w:pos="119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that has not been corrected in a subsequent writing prior to the sale of Registrable Securities to the Person asserting the claim;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indemnity agreement contained in this </w:t>
      </w:r>
      <w:r>
        <w:rPr>
          <w:rFonts w:ascii="Times New Roman" w:cs="Times New Roman" w:eastAsia="Times New Roman" w:hAnsi="Times New Roman"/>
          <w:sz w:val="14"/>
          <w:szCs w:val="14"/>
          <w:u w:val="single" w:color="auto"/>
          <w:color w:val="auto"/>
        </w:rPr>
        <w:t>Section 2.8(b)</w:t>
      </w:r>
      <w:r>
        <w:rPr>
          <w:rFonts w:ascii="Times New Roman" w:cs="Times New Roman" w:eastAsia="Times New Roman" w:hAnsi="Times New Roman"/>
          <w:sz w:val="14"/>
          <w:szCs w:val="14"/>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in no event shall the aggregate amounts payable by any Holder by way of indemnity or contribution under </w:t>
      </w:r>
      <w:r>
        <w:rPr>
          <w:rFonts w:ascii="Times New Roman" w:cs="Times New Roman" w:eastAsia="Times New Roman" w:hAnsi="Times New Roman"/>
          <w:sz w:val="14"/>
          <w:szCs w:val="14"/>
          <w:u w:val="single" w:color="auto"/>
          <w:color w:val="auto"/>
        </w:rPr>
        <w:t>Sections 2.8(b)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2.8(d</w:t>
      </w:r>
      <w:r>
        <w:rPr>
          <w:rFonts w:ascii="Times New Roman" w:cs="Times New Roman" w:eastAsia="Times New Roman" w:hAnsi="Times New Roman"/>
          <w:sz w:val="14"/>
          <w:szCs w:val="14"/>
          <w:color w:val="auto"/>
        </w:rPr>
        <w:t>) exceed the proceeds from the offering received by such Holder (net of any Selling Expenses paid by such Holder), except in the case of fraud or willful misconduct by such Holder.</w:t>
      </w:r>
    </w:p>
    <w:p>
      <w:pPr>
        <w:spacing w:after="0" w:line="148" w:lineRule="exact"/>
        <w:rPr>
          <w:rFonts w:ascii="Times New Roman" w:cs="Times New Roman" w:eastAsia="Times New Roman" w:hAnsi="Times New Roman"/>
          <w:sz w:val="14"/>
          <w:szCs w:val="14"/>
          <w:color w:val="auto"/>
        </w:rPr>
      </w:pPr>
    </w:p>
    <w:p>
      <w:pPr>
        <w:ind w:left="220" w:right="219" w:firstLine="767"/>
        <w:spacing w:after="0" w:line="253" w:lineRule="auto"/>
        <w:tabs>
          <w:tab w:leader="none" w:pos="1182"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receipt by an indemnified party under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only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55" w:name="page356"/>
    <w:bookmarkEnd w:id="355"/>
    <w:p>
      <w:pPr>
        <w:ind w:left="220" w:right="319" w:firstLine="767"/>
        <w:spacing w:after="0" w:line="256" w:lineRule="auto"/>
        <w:tabs>
          <w:tab w:leader="none" w:pos="119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provides for indemnification in such case, or</w:t>
      </w:r>
    </w:p>
    <w:p>
      <w:pPr>
        <w:ind w:left="220" w:right="279" w:hanging="5"/>
        <w:spacing w:after="0" w:line="251" w:lineRule="auto"/>
        <w:tabs>
          <w:tab w:leader="none" w:pos="426"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in no event shall a Holder’s liability pursuant to this </w:t>
      </w:r>
      <w:r>
        <w:rPr>
          <w:rFonts w:ascii="Times New Roman" w:cs="Times New Roman" w:eastAsia="Times New Roman" w:hAnsi="Times New Roman"/>
          <w:sz w:val="14"/>
          <w:szCs w:val="14"/>
          <w:u w:val="single" w:color="auto"/>
          <w:color w:val="auto"/>
        </w:rPr>
        <w:t>Section 2.8(d)</w:t>
      </w:r>
      <w:r>
        <w:rPr>
          <w:rFonts w:ascii="Times New Roman" w:cs="Times New Roman" w:eastAsia="Times New Roman" w:hAnsi="Times New Roman"/>
          <w:sz w:val="14"/>
          <w:szCs w:val="14"/>
          <w:color w:val="auto"/>
        </w:rPr>
        <w:t xml:space="preserve">, when combined with the amounts paid or payable by such Holder pursuant to </w:t>
      </w:r>
      <w:r>
        <w:rPr>
          <w:rFonts w:ascii="Times New Roman" w:cs="Times New Roman" w:eastAsia="Times New Roman" w:hAnsi="Times New Roman"/>
          <w:sz w:val="14"/>
          <w:szCs w:val="14"/>
          <w:u w:val="single" w:color="auto"/>
          <w:color w:val="auto"/>
        </w:rPr>
        <w:t>Section 2.8(b)</w:t>
      </w:r>
      <w:r>
        <w:rPr>
          <w:rFonts w:ascii="Times New Roman" w:cs="Times New Roman" w:eastAsia="Times New Roman" w:hAnsi="Times New Roman"/>
          <w:sz w:val="14"/>
          <w:szCs w:val="14"/>
          <w:color w:val="auto"/>
        </w:rPr>
        <w:t>, exceed the proceeds from the offering received by such Holder (net of any Selling Expenses paid by such Holder), except in the case of willful misconduct or fraud by such Holder.</w:t>
      </w:r>
    </w:p>
    <w:p>
      <w:pPr>
        <w:spacing w:after="0" w:line="151" w:lineRule="exact"/>
        <w:rPr>
          <w:rFonts w:ascii="Times New Roman" w:cs="Times New Roman" w:eastAsia="Times New Roman" w:hAnsi="Times New Roman"/>
          <w:sz w:val="14"/>
          <w:szCs w:val="14"/>
          <w:color w:val="auto"/>
        </w:rPr>
      </w:pPr>
    </w:p>
    <w:p>
      <w:pPr>
        <w:ind w:left="220" w:right="239" w:firstLine="767"/>
        <w:spacing w:after="0" w:line="261" w:lineRule="auto"/>
        <w:tabs>
          <w:tab w:leader="none" w:pos="1182"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matter expressly provided for or addressed by the provisions of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that is not expressly provided for or addressed by the underwriting agreement shall be controlled by the foregoing provisions.</w:t>
      </w:r>
    </w:p>
    <w:p>
      <w:pPr>
        <w:spacing w:after="0" w:line="140" w:lineRule="exact"/>
        <w:rPr>
          <w:rFonts w:ascii="Times New Roman" w:cs="Times New Roman" w:eastAsia="Times New Roman" w:hAnsi="Times New Roman"/>
          <w:sz w:val="14"/>
          <w:szCs w:val="14"/>
          <w:color w:val="auto"/>
        </w:rPr>
      </w:pPr>
    </w:p>
    <w:p>
      <w:pPr>
        <w:ind w:left="220" w:right="459" w:firstLine="767"/>
        <w:spacing w:after="0" w:line="267" w:lineRule="auto"/>
        <w:tabs>
          <w:tab w:leader="none" w:pos="1167"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shall survive the completion of any offering of Registrable Securities in a registration under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and otherwise shall survive the termination of this Agreement or any provision(s) of this Agreement.</w:t>
      </w:r>
    </w:p>
    <w:p>
      <w:pPr>
        <w:spacing w:after="0" w:line="136"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Reports Under Exchange Act</w:t>
      </w:r>
      <w:r>
        <w:rPr>
          <w:rFonts w:ascii="Times New Roman" w:cs="Times New Roman" w:eastAsia="Times New Roman" w:hAnsi="Times New Roman"/>
          <w:sz w:val="14"/>
          <w:szCs w:val="14"/>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36" w:lineRule="exact"/>
        <w:rPr>
          <w:sz w:val="20"/>
          <w:szCs w:val="20"/>
          <w:color w:val="auto"/>
        </w:rPr>
      </w:pPr>
    </w:p>
    <w:p>
      <w:pPr>
        <w:ind w:left="220" w:right="319" w:firstLine="767"/>
        <w:spacing w:after="0" w:line="283" w:lineRule="auto"/>
        <w:tabs>
          <w:tab w:leader="none" w:pos="1182"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24" w:lineRule="exact"/>
        <w:rPr>
          <w:rFonts w:ascii="Times New Roman" w:cs="Times New Roman" w:eastAsia="Times New Roman" w:hAnsi="Times New Roman"/>
          <w:sz w:val="14"/>
          <w:szCs w:val="14"/>
          <w:color w:val="auto"/>
        </w:rPr>
      </w:pPr>
    </w:p>
    <w:p>
      <w:pPr>
        <w:ind w:left="220" w:right="339" w:firstLine="767"/>
        <w:spacing w:after="0" w:line="283" w:lineRule="auto"/>
        <w:tabs>
          <w:tab w:leader="none" w:pos="119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356" w:name="page357"/>
    <w:bookmarkEnd w:id="356"/>
    <w:p>
      <w:pPr>
        <w:ind w:left="220" w:right="239" w:firstLine="767"/>
        <w:spacing w:after="0" w:line="256" w:lineRule="auto"/>
        <w:tabs>
          <w:tab w:leader="none" w:pos="1182"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44"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Limitations on Subsequent Registration Rights</w:t>
      </w:r>
      <w:r>
        <w:rPr>
          <w:rFonts w:ascii="Times New Roman" w:cs="Times New Roman" w:eastAsia="Times New Roman" w:hAnsi="Times New Roman"/>
          <w:sz w:val="14"/>
          <w:szCs w:val="14"/>
          <w:color w:val="auto"/>
        </w:rPr>
        <w:t xml:space="preserve">. From and after the date of this Agreement, the Company shall not, without a prior Requisite Holder Vote, enter into any agreement with any holder or prospective holder of any securities of the Company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limitation shall not apply to Registrable Securities acquired by any additional Investor that becomes a party to this Agreement in accordance with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220" w:right="259" w:firstLine="343"/>
        <w:spacing w:after="0" w:line="252"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“Market Stand-off” Agreement</w:t>
      </w:r>
      <w:r>
        <w:rPr>
          <w:rFonts w:ascii="Times New Roman" w:cs="Times New Roman" w:eastAsia="Times New Roman" w:hAnsi="Times New Roman"/>
          <w:sz w:val="14"/>
          <w:szCs w:val="14"/>
          <w:color w:val="auto"/>
        </w:rPr>
        <w:t xml:space="preserve">.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(other than an Excluded Registration) on Form S-1, and ending on the date specified by the Company and the managing underwriter (such period not to exceed 180 days in the case of the IPO),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hedging, or other transaction or arrangement that transfers, or is designed to transfer, to another, in whole or in part, any of the economic consequences of ownership, directly or indirectly, of such securities, whether or not any such transaction or arrangement described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is to be settled by delivery of Common Stock or other securities, in cash, or otherwise. The foregoing provisions of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apply only to the IPO, shall not apply to shares purchased in the IPO or on the open market following the IPO, shall not apply to the sale of any shares to an underwriter pursuant to an underwriting agreement or to the establishment of a trading plan pursuant to Rule 10b5-1,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plan does not permit transfers during the restricted period, or the transfer of any shares to any trust for the direct or indirect benefit of the Holder or one or more of the Holder’s Immediate Family Members,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trustee of the trust agrees to be bound in writing by the restrictions set forth herein, and that any such transfer shall not involve a disposition for value, and shall be applicable to the Holders only if all officers and directors of the Company are subject to the same restrictions and the Company uses commercially reasonable efforts to obtain a similar agreement from all stockholders individually owning more than one percent (1%) of the Company’s outstanding Common Stock (after giving effect to the conversion into Common Stock of all outstanding Preferred Stock). The Company shall work in good faith with PureTech and the managing underwriter with the aim of providing PureTech with such exceptions to the restrictions set forth herein as are necessary for PureTech to maintain an exemption from registration under the Investment Company Act of 1940. The underwriters in connection with such registration are intended third-party beneficiaries of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and shall have the right, power and authority to enforce the provisions hereof as though they were a party hereto. Each Holder further agrees to execute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357" w:name="page358"/>
    <w:bookmarkEnd w:id="357"/>
    <w:p>
      <w:pPr>
        <w:ind w:left="220" w:right="4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such agreements as may be reasonably requested by the underwriters in connection with such registration that are consistent with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 except that, notwithstanding the foregoing, the Company and the underwriters may, in their sole discretion, waive or terminate these restrictions with respect to up to an aggregate of 100,000 shares of Common Stock (subject to appropriate adjustment for stock splits, stock dividends, combinations, and other recapitalizations).</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Restrictions on Transfer</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59" w:firstLine="767"/>
        <w:spacing w:after="0" w:line="256" w:lineRule="auto"/>
        <w:tabs>
          <w:tab w:leader="none" w:pos="1182"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and all other applicable U.S. laws and regulations.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96" w:lineRule="auto"/>
        <w:tabs>
          <w:tab w:leader="none" w:pos="1190"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3"/>
          <w:szCs w:val="13"/>
          <w:u w:val="single" w:color="auto"/>
          <w:color w:val="auto"/>
        </w:rPr>
        <w:t>Section 2.12(c)</w:t>
      </w:r>
      <w:r>
        <w:rPr>
          <w:rFonts w:ascii="Times New Roman" w:cs="Times New Roman" w:eastAsia="Times New Roman" w:hAnsi="Times New Roman"/>
          <w:sz w:val="13"/>
          <w:szCs w:val="13"/>
          <w:color w:val="auto"/>
        </w:rPr>
        <w:t>) be notated with a legend substantially in the following form:</w:t>
      </w:r>
    </w:p>
    <w:p>
      <w:pPr>
        <w:spacing w:after="0" w:line="120" w:lineRule="exact"/>
        <w:rPr>
          <w:sz w:val="20"/>
          <w:szCs w:val="20"/>
          <w:color w:val="auto"/>
        </w:rPr>
      </w:pPr>
    </w:p>
    <w:p>
      <w:pPr>
        <w:ind w:left="220" w:right="359"/>
        <w:spacing w:after="0" w:line="296" w:lineRule="auto"/>
        <w:rPr>
          <w:sz w:val="20"/>
          <w:szCs w:val="20"/>
          <w:color w:val="auto"/>
        </w:rPr>
      </w:pPr>
      <w:r>
        <w:rPr>
          <w:rFonts w:ascii="Times New Roman" w:cs="Times New Roman" w:eastAsia="Times New Roman" w:hAnsi="Times New Roman"/>
          <w:sz w:val="13"/>
          <w:szCs w:val="13"/>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20" w:lineRule="exact"/>
        <w:rPr>
          <w:sz w:val="20"/>
          <w:szCs w:val="20"/>
          <w:color w:val="auto"/>
        </w:rPr>
      </w:pPr>
    </w:p>
    <w:p>
      <w:pPr>
        <w:ind w:left="220" w:right="359"/>
        <w:spacing w:after="0" w:line="323" w:lineRule="auto"/>
        <w:rPr>
          <w:sz w:val="20"/>
          <w:szCs w:val="20"/>
          <w:color w:val="auto"/>
        </w:rPr>
      </w:pPr>
      <w:r>
        <w:rPr>
          <w:rFonts w:ascii="Times New Roman" w:cs="Times New Roman" w:eastAsia="Times New Roman" w:hAnsi="Times New Roman"/>
          <w:sz w:val="13"/>
          <w:szCs w:val="13"/>
          <w:color w:val="auto"/>
        </w:rPr>
        <w:t>THE SECURITIES REPRESENTED HEREBY MAY BE TRANSFERRED ONLY IN ACCORDANCE WITH THE TERMS OF AN AGREEMENT BETWEEN THE COMPANY AND THE STOCKHOLDER, A COPY OF WHICH IS ON FILE WITH THE SECRETARY OF THE COMPANY.</w:t>
      </w:r>
    </w:p>
    <w:p>
      <w:pPr>
        <w:spacing w:after="0" w:line="102"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259" w:firstLine="767"/>
        <w:spacing w:after="0" w:line="256" w:lineRule="auto"/>
        <w:tabs>
          <w:tab w:leader="none" w:pos="1182"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358" w:name="page359"/>
    <w:bookmarkEnd w:id="358"/>
    <w:p>
      <w:pPr>
        <w:ind w:left="22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Notwithstanding the foregoing, the Company will not require such a notice, legal opinion or “no action” letter (x) in any transaction in compliance with SEC Rule 144; or (y) in any transaction in which such Holder distributes or transfers Restricted Securities to an Affiliate of such Holder for no consideration;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transferee agrees in writing to be subject to the terms of this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 w:cs="Times New Roman" w:eastAsia="Times New Roman" w:hAnsi="Times New Roman"/>
          <w:sz w:val="14"/>
          <w:szCs w:val="14"/>
          <w:u w:val="single" w:color="auto"/>
          <w:color w:val="auto"/>
        </w:rPr>
        <w:t>Section 2.12(b)</w:t>
      </w:r>
      <w:r>
        <w:rPr>
          <w:rFonts w:ascii="Times New Roman" w:cs="Times New Roman" w:eastAsia="Times New Roman" w:hAnsi="Times New Roman"/>
          <w:sz w:val="14"/>
          <w:szCs w:val="14"/>
          <w:color w:val="auto"/>
        </w:rPr>
        <w:t xml:space="preserve">, except that such certificate, instrument, or book entry shall not be notated with such restrictive legend if, in the opinion of counsel for such Holder and the Company, such legend is not required in order to establish compliance with any provisions of the Securities Act and the Company will use commercially reasonable efforts to cause any such legend to be removed. In addition, subject to compliance with applicable securities laws and regulation, and any contractual restrictions entered into by the Investor (such as a lock-up or market standoff agreement), at the request of the Investor, if, in the opinion of counsel for such Investor and the Company, the restrictive legend set forth in </w:t>
      </w:r>
      <w:r>
        <w:rPr>
          <w:rFonts w:ascii="Times New Roman" w:cs="Times New Roman" w:eastAsia="Times New Roman" w:hAnsi="Times New Roman"/>
          <w:sz w:val="14"/>
          <w:szCs w:val="14"/>
          <w:u w:val="single" w:color="auto"/>
          <w:color w:val="auto"/>
        </w:rPr>
        <w:t>Section 2.12(b)</w:t>
      </w:r>
      <w:r>
        <w:rPr>
          <w:rFonts w:ascii="Times New Roman" w:cs="Times New Roman" w:eastAsia="Times New Roman" w:hAnsi="Times New Roman"/>
          <w:sz w:val="14"/>
          <w:szCs w:val="14"/>
          <w:color w:val="auto"/>
        </w:rPr>
        <w:t xml:space="preserve"> is no longer required in order to establish compliance with any provisions of the Securities Act, the Company will use commercially reasonable efforts to cause any such legend to be removed.</w:t>
      </w:r>
    </w:p>
    <w:p>
      <w:pPr>
        <w:spacing w:after="0" w:line="155"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Termination and Suspension of Registration Rights</w:t>
      </w:r>
      <w:r>
        <w:rPr>
          <w:rFonts w:ascii="Times New Roman" w:cs="Times New Roman" w:eastAsia="Times New Roman" w:hAnsi="Times New Roman"/>
          <w:sz w:val="14"/>
          <w:szCs w:val="14"/>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shall terminate, as to such Holder, upon the earliest to occur of:</w:t>
      </w:r>
    </w:p>
    <w:p>
      <w:pPr>
        <w:spacing w:after="0" w:line="125" w:lineRule="exact"/>
        <w:rPr>
          <w:sz w:val="20"/>
          <w:szCs w:val="20"/>
          <w:color w:val="auto"/>
        </w:rPr>
      </w:pPr>
    </w:p>
    <w:p>
      <w:pPr>
        <w:ind w:left="1180" w:hanging="193"/>
        <w:spacing w:after="0"/>
        <w:tabs>
          <w:tab w:leader="none" w:pos="118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of a Deemed Liquidation Event;</w:t>
      </w:r>
    </w:p>
    <w:p>
      <w:pPr>
        <w:spacing w:after="0" w:line="175" w:lineRule="exact"/>
        <w:rPr>
          <w:rFonts w:ascii="Times New Roman" w:cs="Times New Roman" w:eastAsia="Times New Roman" w:hAnsi="Times New Roman"/>
          <w:sz w:val="14"/>
          <w:szCs w:val="14"/>
          <w:color w:val="auto"/>
        </w:rPr>
      </w:pPr>
    </w:p>
    <w:p>
      <w:pPr>
        <w:jc w:val="both"/>
        <w:ind w:left="220" w:right="419" w:firstLine="767"/>
        <w:spacing w:after="0" w:line="261" w:lineRule="auto"/>
        <w:tabs>
          <w:tab w:leader="none" w:pos="119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time after consummation of an IPO, when the Holder (A) together with together with its “affiliates” (as determined under SEC Rule 144) holds less than 1% of the outstanding capital stock of the Company and (B) may immediately sell all of the Holder’s Registrable Securities under SEC Rule 144 without volume limitation, or another similar exemption under the Securities Act is available for the sale of all of such Holder’s shares without limitation, during a three-month period without registration; and</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third anniversary of the IPO.</w:t>
      </w:r>
    </w:p>
    <w:p>
      <w:pPr>
        <w:spacing w:after="0" w:line="175"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Information Rights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Delivery of Financial Statements</w:t>
      </w:r>
      <w:r>
        <w:rPr>
          <w:rFonts w:ascii="Times New Roman" w:cs="Times New Roman" w:eastAsia="Times New Roman" w:hAnsi="Times New Roman"/>
          <w:sz w:val="14"/>
          <w:szCs w:val="14"/>
          <w:color w:val="auto"/>
        </w:rPr>
        <w:t xml:space="preserve">. The Company shall deliver to each Major Investor,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Board of Directors has not reasonably determined that such Major Investor is a Competitor of the Company:</w:t>
      </w:r>
    </w:p>
    <w:p>
      <w:pPr>
        <w:spacing w:after="0" w:line="125" w:lineRule="exact"/>
        <w:rPr>
          <w:sz w:val="20"/>
          <w:szCs w:val="20"/>
          <w:color w:val="auto"/>
        </w:rPr>
      </w:pPr>
    </w:p>
    <w:p>
      <w:pPr>
        <w:ind w:left="220" w:right="299" w:firstLine="767"/>
        <w:spacing w:after="0" w:line="261" w:lineRule="auto"/>
        <w:tabs>
          <w:tab w:leader="none" w:pos="1182"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within one hundred eighty (180) days 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of nationally recognized standing selected by the Company;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359" w:name="page360"/>
    <w:bookmarkEnd w:id="359"/>
    <w:p>
      <w:pPr>
        <w:ind w:left="1180" w:hanging="193"/>
        <w:spacing w:after="0"/>
        <w:tabs>
          <w:tab w:leader="none" w:pos="118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as soon as practicable, but in any event within forty-five (45) days after the end of each quarter of each fiscal year of the Company,</w:t>
      </w:r>
    </w:p>
    <w:p>
      <w:pPr>
        <w:spacing w:after="0" w:line="21" w:lineRule="exact"/>
        <w:rPr>
          <w:rFonts w:ascii="Times New Roman" w:cs="Times New Roman" w:eastAsia="Times New Roman" w:hAnsi="Times New Roman"/>
          <w:sz w:val="14"/>
          <w:szCs w:val="14"/>
          <w:color w:val="auto"/>
        </w:rPr>
      </w:pPr>
    </w:p>
    <w:p>
      <w:pPr>
        <w:ind w:left="220" w:right="239" w:hanging="5"/>
        <w:spacing w:after="0" w:line="256" w:lineRule="auto"/>
        <w:tabs>
          <w:tab w:leader="none" w:pos="387"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statements of income and cash flows for such fiscal quarter, and an unaudited balance sheet as of the end of such fiscal quarter, all prepared in accordance with GAAP (except that such financial statements may (x) be subject to normal year-end audit adjustments; and (y) not contain all notes thereto that may be required in accordance with GAAP) and (ii) an up-to-date capitalization table;</w:t>
      </w:r>
    </w:p>
    <w:p>
      <w:pPr>
        <w:spacing w:after="0" w:line="142" w:lineRule="exact"/>
        <w:rPr>
          <w:rFonts w:ascii="Times New Roman" w:cs="Times New Roman" w:eastAsia="Times New Roman" w:hAnsi="Times New Roman"/>
          <w:sz w:val="14"/>
          <w:szCs w:val="14"/>
          <w:color w:val="auto"/>
        </w:rPr>
      </w:pPr>
    </w:p>
    <w:p>
      <w:pPr>
        <w:ind w:left="220" w:right="259" w:firstLine="767"/>
        <w:spacing w:after="0" w:line="283" w:lineRule="auto"/>
        <w:tabs>
          <w:tab w:leader="none" w:pos="1182"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any event within 30 days prior to the end of each fiscal year, the Company’s Approved Annual Budget for the upcoming fiscal year; and</w:t>
      </w:r>
    </w:p>
    <w:p>
      <w:pPr>
        <w:spacing w:after="0" w:line="124" w:lineRule="exact"/>
        <w:rPr>
          <w:rFonts w:ascii="Times New Roman" w:cs="Times New Roman" w:eastAsia="Times New Roman" w:hAnsi="Times New Roman"/>
          <w:sz w:val="14"/>
          <w:szCs w:val="14"/>
          <w:color w:val="auto"/>
        </w:rPr>
      </w:pPr>
    </w:p>
    <w:p>
      <w:pPr>
        <w:ind w:left="220" w:right="239" w:firstLine="767"/>
        <w:spacing w:after="0" w:line="261" w:lineRule="auto"/>
        <w:tabs>
          <w:tab w:leader="none" w:pos="1190"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other information relating to the financial condition, business, prospects, or corporate affairs of the Company as any Major Investor may from time to time reasonably request;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be obligated under this </w:t>
      </w:r>
      <w:r>
        <w:rPr>
          <w:rFonts w:ascii="Times New Roman" w:cs="Times New Roman" w:eastAsia="Times New Roman" w:hAnsi="Times New Roman"/>
          <w:sz w:val="14"/>
          <w:szCs w:val="14"/>
          <w:u w:val="single" w:color="auto"/>
          <w:color w:val="auto"/>
        </w:rPr>
        <w:t>Section 3.1(d)</w:t>
      </w:r>
      <w:r>
        <w:rPr>
          <w:rFonts w:ascii="Times New Roman" w:cs="Times New Roman" w:eastAsia="Times New Roman" w:hAnsi="Times New Roman"/>
          <w:sz w:val="14"/>
          <w:szCs w:val="14"/>
          <w:color w:val="auto"/>
        </w:rPr>
        <w:t xml:space="preserve"> to provide information (i) that the Company reasonably determines in good faith to be a trade secret or similar highly confidential information; or (ii) the disclosure of which would reasonably be expected to adversely affect the attorney-client privilege between the Company and its counsel.</w:t>
      </w:r>
    </w:p>
    <w:p>
      <w:pPr>
        <w:spacing w:after="0" w:line="141" w:lineRule="exact"/>
        <w:rPr>
          <w:sz w:val="20"/>
          <w:szCs w:val="20"/>
          <w:color w:val="auto"/>
        </w:rPr>
      </w:pPr>
    </w:p>
    <w:p>
      <w:pPr>
        <w:jc w:val="both"/>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36"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Notwithstanding anything else in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to the contrary, the Company may cease providing the information set forth in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during the period starting with the date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Company’s covenants under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shall be reinstated at such time as the Company is no longer actively employing its commercially reasonable efforts to cause such registration statement to become effective.</w:t>
      </w:r>
    </w:p>
    <w:p>
      <w:pPr>
        <w:spacing w:after="0" w:line="144"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Inspection</w:t>
      </w:r>
      <w:r>
        <w:rPr>
          <w:rFonts w:ascii="Times New Roman" w:cs="Times New Roman" w:eastAsia="Times New Roman" w:hAnsi="Times New Roman"/>
          <w:sz w:val="14"/>
          <w:szCs w:val="14"/>
          <w:color w:val="auto"/>
        </w:rPr>
        <w:t>. The Company shall permit each Major Investor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Board of Directors has not reasonably determined that such Major Investor is a Competitor),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shall not be obligated pursuant to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to provide access to any information that it reasonably and in good faith considers to be a trade secret or confidential information or the disclosure of which would adversely affect the attorney-client privilege between the Company and its counsel.</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Termination of Information Rights</w:t>
      </w:r>
      <w:r>
        <w:rPr>
          <w:rFonts w:ascii="Times New Roman" w:cs="Times New Roman" w:eastAsia="Times New Roman" w:hAnsi="Times New Roman"/>
          <w:sz w:val="14"/>
          <w:szCs w:val="14"/>
          <w:color w:val="auto"/>
        </w:rPr>
        <w:t xml:space="preserve">. The covenants set forth in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shall terminate and be of no further force or effect</w:t>
      </w:r>
    </w:p>
    <w:p>
      <w:pPr>
        <w:spacing w:after="0" w:line="22" w:lineRule="exact"/>
        <w:rPr>
          <w:sz w:val="20"/>
          <w:szCs w:val="20"/>
          <w:color w:val="auto"/>
        </w:rPr>
      </w:pPr>
    </w:p>
    <w:p>
      <w:pPr>
        <w:ind w:left="220" w:right="959" w:hanging="5"/>
        <w:spacing w:after="0" w:line="261" w:lineRule="auto"/>
        <w:tabs>
          <w:tab w:leader="none" w:pos="387"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before the consummation of the IPO, (ii) when the Company first becomes subject to the periodic reporting requirements of Section 12(g) or 15(d) of the Exchange Act, or (iii) upon the closing of a Deemed Liquidation Event, whichever event occurs first.</w:t>
      </w:r>
    </w:p>
    <w:p>
      <w:pPr>
        <w:spacing w:after="0" w:line="140" w:lineRule="exact"/>
        <w:rPr>
          <w:sz w:val="20"/>
          <w:szCs w:val="20"/>
          <w:color w:val="auto"/>
        </w:rPr>
      </w:pPr>
    </w:p>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by such Investor), (b) is or has been independently developed or conceived by such Investor without use of the Company’s confidential information, or (c) is or has been made known or disclosed to such Investor by 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360" w:name="page361"/>
    <w:bookmarkEnd w:id="360"/>
    <w:p>
      <w:pPr>
        <w:ind w:left="220" w:right="3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third party without a breach of any obligation of confidentiality such third party may have to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 Investor may disclose confidential information (i) to its attorneys, accountants, consultants, investment adviser or sub-adviser, and other professionals to the extent reasonably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(iii) to any Affiliate, partner, member, stockholder, or wholly owned subsidiary of such Investor in the ordinary course of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Investor informs such Person that such information is confidential and directs such Person to maintain the confidentiality of such information, (B) any such disclosure to a Person that is a limited partner or equivalent equity holder that is not involved in the day to day monitoring of such Investor’s investment in the Company may only include the types of information that the Company is obligated to provide under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and (C) such Person is not a Competitor; or (iv) as may otherwise be required by law, regulation, rule, court order or subpoena,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Investor promptly notifies the Company of such disclosure and takes reasonable steps to minimize the extent of any such required disclosure.</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Waiver of Statutory Information Rights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59" w:firstLine="767"/>
        <w:spacing w:after="0" w:line="254" w:lineRule="auto"/>
        <w:tabs>
          <w:tab w:leader="none" w:pos="1182"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hereby acknowledges and agrees that until the consummation of the IPO, such Investor shall hereby be deemed to have unconditionally and irrevocably, to the fullest extent permitted by law, on behalf of such Investor and all beneficial owners of the shares of Common Stock or Preferred Stock owned by such Investor (a “</w:t>
      </w: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14"/>
          <w:szCs w:val="14"/>
          <w:color w:val="auto"/>
        </w:rPr>
        <w:t xml:space="preserve">”), waived, and does hereby so waive, any rights such Investor or a Beneficial Owner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such Investor’s capacity as a stockholder and does not affect any other information and inspection rights such Investor may expressly have pursuant to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3.5(b)</w:t>
      </w:r>
      <w:r>
        <w:rPr>
          <w:rFonts w:ascii="Times New Roman" w:cs="Times New Roman" w:eastAsia="Times New Roman" w:hAnsi="Times New Roman"/>
          <w:sz w:val="14"/>
          <w:szCs w:val="14"/>
          <w:color w:val="auto"/>
        </w:rPr>
        <w:t xml:space="preserve"> of this Agreement. Each Investor hereby further warrants and represents that such Investor has reviewed this waiver with its legal counsel, and that such Investor knowingly and voluntarily waives its rights as a stockholder otherwise provided by Section 220 of the Delaware General Corporation Law (or under similar rights under other applicable law).</w:t>
      </w:r>
    </w:p>
    <w:p>
      <w:pPr>
        <w:spacing w:after="0" w:line="146" w:lineRule="exact"/>
        <w:rPr>
          <w:rFonts w:ascii="Times New Roman" w:cs="Times New Roman" w:eastAsia="Times New Roman" w:hAnsi="Times New Roman"/>
          <w:sz w:val="14"/>
          <w:szCs w:val="14"/>
          <w:color w:val="auto"/>
        </w:rPr>
      </w:pPr>
    </w:p>
    <w:p>
      <w:pPr>
        <w:ind w:left="220" w:right="259" w:firstLine="767"/>
        <w:spacing w:after="0" w:line="257" w:lineRule="auto"/>
        <w:tabs>
          <w:tab w:leader="none" w:pos="1190"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15 days after request by any Investor that is not a Major Investor (but no more frequently than once per each quarter of each fiscal year of the Company), the Company shall deliver to such requesting Investor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relevant Investors to calculate its respective percentage equity ownership in the Company.</w:t>
      </w:r>
    </w:p>
    <w:p>
      <w:pPr>
        <w:spacing w:after="0" w:line="143"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to Future Stock Issuances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3"/>
        <w:spacing w:after="0" w:line="277"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Right of First Offer</w:t>
      </w:r>
      <w:r>
        <w:rPr>
          <w:rFonts w:ascii="Times New Roman" w:cs="Times New Roman" w:eastAsia="Times New Roman" w:hAnsi="Times New Roman"/>
          <w:sz w:val="13"/>
          <w:szCs w:val="13"/>
          <w:color w:val="auto"/>
        </w:rPr>
        <w:t xml:space="preserve">. Subject to the terms and conditions of this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each such Affiliate</w:t>
      </w:r>
    </w:p>
    <w:p>
      <w:pPr>
        <w:spacing w:after="0" w:line="2" w:lineRule="exact"/>
        <w:rPr>
          <w:sz w:val="20"/>
          <w:szCs w:val="20"/>
          <w:color w:val="auto"/>
        </w:rPr>
      </w:pPr>
    </w:p>
    <w:p>
      <w:pPr>
        <w:ind w:left="220" w:right="339" w:hanging="5"/>
        <w:spacing w:after="0" w:line="254" w:lineRule="auto"/>
        <w:tabs>
          <w:tab w:leader="none" w:pos="418"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 Competitor, unless such party’s purchase of New Securities is otherwise consented to by the Board of Directors, and (y) agrees to enter into this Agreement and the Voting Agreement of even date herewith among the Company, the Investors and the other parties named therein (the “</w:t>
      </w:r>
      <w:r>
        <w:rPr>
          <w:rFonts w:ascii="Times New Roman" w:cs="Times New Roman" w:eastAsia="Times New Roman" w:hAnsi="Times New Roman"/>
          <w:sz w:val="14"/>
          <w:szCs w:val="14"/>
          <w:b w:val="1"/>
          <w:bCs w:val="1"/>
          <w:color w:val="auto"/>
        </w:rPr>
        <w:t>Voting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as an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under each such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any Competitor shall not be entitled to any rights as a Major Investor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4.1</w:t>
      </w:r>
      <w:r>
        <w:rPr>
          <w:rFonts w:ascii="Times New Roman" w:cs="Times New Roman" w:eastAsia="Times New Roman" w:hAnsi="Times New Roman"/>
          <w:sz w:val="14"/>
          <w:szCs w:val="14"/>
          <w:color w:val="auto"/>
        </w:rPr>
        <w:t xml:space="preserve"> hereof).</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361" w:name="page362"/>
    <w:bookmarkEnd w:id="361"/>
    <w:p>
      <w:pPr>
        <w:ind w:left="220" w:right="679" w:firstLine="767"/>
        <w:spacing w:after="0" w:line="268" w:lineRule="auto"/>
        <w:tabs>
          <w:tab w:leader="none" w:pos="1182"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shall give notice (the “</w:t>
      </w:r>
      <w:r>
        <w:rPr>
          <w:rFonts w:ascii="Times New Roman" w:cs="Times New Roman" w:eastAsia="Times New Roman" w:hAnsi="Times New Roman"/>
          <w:sz w:val="14"/>
          <w:szCs w:val="14"/>
          <w:b w:val="1"/>
          <w:bCs w:val="1"/>
          <w:color w:val="auto"/>
        </w:rPr>
        <w:t>Offer Notice</w:t>
      </w:r>
      <w:r>
        <w:rPr>
          <w:rFonts w:ascii="Times New Roman" w:cs="Times New Roman" w:eastAsia="Times New Roman" w:hAnsi="Times New Roman"/>
          <w:sz w:val="14"/>
          <w:szCs w:val="14"/>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35" w:lineRule="exact"/>
        <w:rPr>
          <w:rFonts w:ascii="Times New Roman" w:cs="Times New Roman" w:eastAsia="Times New Roman" w:hAnsi="Times New Roman"/>
          <w:sz w:val="14"/>
          <w:szCs w:val="14"/>
          <w:color w:val="auto"/>
        </w:rPr>
      </w:pPr>
    </w:p>
    <w:p>
      <w:pPr>
        <w:ind w:left="220" w:right="219" w:firstLine="767"/>
        <w:spacing w:after="0" w:line="253" w:lineRule="auto"/>
        <w:tabs>
          <w:tab w:leader="none" w:pos="119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Times New Roman" w:cs="Times New Roman" w:eastAsia="Times New Roman" w:hAnsi="Times New Roman"/>
          <w:sz w:val="14"/>
          <w:szCs w:val="14"/>
          <w:b w:val="1"/>
          <w:bCs w:val="1"/>
          <w:color w:val="auto"/>
        </w:rPr>
        <w:t>Fully Exercising Investor</w:t>
      </w:r>
      <w:r>
        <w:rPr>
          <w:rFonts w:ascii="Times New Roman" w:cs="Times New Roman" w:eastAsia="Times New Roman" w:hAnsi="Times New Roman"/>
          <w:sz w:val="14"/>
          <w:szCs w:val="14"/>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shall occur within the later of 120 days of the date that the Offer Notice is given and the date of initial sale of New Securities pursuant to </w:t>
      </w:r>
      <w:r>
        <w:rPr>
          <w:rFonts w:ascii="Times New Roman" w:cs="Times New Roman" w:eastAsia="Times New Roman" w:hAnsi="Times New Roman"/>
          <w:sz w:val="14"/>
          <w:szCs w:val="14"/>
          <w:u w:val="single" w:color="auto"/>
          <w:color w:val="auto"/>
        </w:rPr>
        <w:t>Section 4.1(c)</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220" w:right="259" w:firstLine="767"/>
        <w:spacing w:after="0" w:line="257" w:lineRule="auto"/>
        <w:tabs>
          <w:tab w:leader="none" w:pos="1182"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all New Securities referred to in the Offer Notice are not elected to be purchased or acquired as provided in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the Company may, during the 120 day period following the expiration of the periods provided in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220" w:right="979" w:firstLine="767"/>
        <w:spacing w:after="0" w:line="283" w:lineRule="auto"/>
        <w:tabs>
          <w:tab w:leader="none" w:pos="119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right of first offer in this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shall not be applicable to (i) Exempted Securities (as defined in the Certificate of Incorporation); and (ii) shares of Common Stock issued in the IPO.</w:t>
      </w:r>
    </w:p>
    <w:p>
      <w:pPr>
        <w:spacing w:after="0" w:line="12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xml:space="preserve">. The covenants set forth in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whichever event occurs first.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362" w:name="page363"/>
    <w:bookmarkEnd w:id="362"/>
    <w:p>
      <w:pPr>
        <w:ind w:left="360" w:hanging="145"/>
        <w:spacing w:after="0"/>
        <w:tabs>
          <w:tab w:leader="none" w:pos="36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Additional Covenants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the Company shall obtain, within ninety (90) days of the date hereof, from financially sound and reputable insurers, Directors and Officers liability insurance in an amount and on terms and conditions approved by the Requisite Director Vote and will use commercially reasonable efforts to cause such insurance policies to be maintained until such time as the Board of Directors, including the Requisite Director Vote, determines that such insurance should be discontinued.</w:t>
      </w:r>
    </w:p>
    <w:p>
      <w:pPr>
        <w:spacing w:after="0" w:line="141" w:lineRule="exact"/>
        <w:rPr>
          <w:sz w:val="20"/>
          <w:szCs w:val="20"/>
          <w:color w:val="auto"/>
        </w:rPr>
      </w:pPr>
    </w:p>
    <w:p>
      <w:pPr>
        <w:ind w:left="220" w:right="3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Employee Agreements</w:t>
      </w:r>
      <w:r>
        <w:rPr>
          <w:rFonts w:ascii="Times New Roman" w:cs="Times New Roman" w:eastAsia="Times New Roman" w:hAnsi="Times New Roman"/>
          <w:sz w:val="14"/>
          <w:szCs w:val="14"/>
          <w:color w:val="auto"/>
        </w:rPr>
        <w:t>. Unless otherwise approved by the Requisite Director Vote, the Company will cause each Person now or hereafter employed by it or by any subsidiary (or engaged by the Company or any subsidiary as a consultant/independent contractor) with access to confidential information and/or trade secrets to enter into a nondisclosure, proprietary rights assignment agreement and, to the extent legally permissible, a non-solicitation agreement. In addition, the Company shall not amend, modify, terminate, waive, or otherwise alter, in whole or in part, any of the above-referenced agreements or any restricted stock agreement between the Company and any employee, without a Requisite Director Vote.</w:t>
      </w:r>
    </w:p>
    <w:p>
      <w:pPr>
        <w:spacing w:after="0" w:line="144"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Employee Stock</w:t>
      </w:r>
      <w:r>
        <w:rPr>
          <w:rFonts w:ascii="Times New Roman" w:cs="Times New Roman" w:eastAsia="Times New Roman" w:hAnsi="Times New Roman"/>
          <w:sz w:val="14"/>
          <w:szCs w:val="14"/>
          <w:color w:val="auto"/>
        </w:rPr>
        <w:t>. Unless otherwise approved by the Requisite Director Vote, all employees of the Company who purchase, receive options to purchase, or receive awards of shares of the Company’s capital stock after the date hereof shall be required to execute restricted stock or option agreements, as applicable, providing for (i) vesting of shares over a four year period, with the first 25% of such shares vesting following twelve</w:t>
      </w:r>
    </w:p>
    <w:p>
      <w:pPr>
        <w:ind w:left="220" w:right="299" w:hanging="5"/>
        <w:spacing w:after="0" w:line="252" w:lineRule="auto"/>
        <w:tabs>
          <w:tab w:leader="none" w:pos="488"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months of continued employment or service, and the remaining shares vesting in equal monthly installments over the following 36 months, and (ii) a market stand-off provision substantially similar to that in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Without a prior Requisite Director Vote, the Company shall not amend, modify, terminate, waive or otherwise alter, in whole or in part, any restricted stock agreement or option agreement. In addition, unless otherwise approved by the Requisite Director Vote, the Company (x) shall not offer, allow or agree to any acceleration of vesting for its employees or consultants, and (y) shall retain (and not waive) a “right of first refusal” on employee transfers until the Company’s IPO, and shall have the right to repurchase unvested shares at cost upon termination of employment of a holder of restricted stock.</w:t>
      </w:r>
    </w:p>
    <w:p>
      <w:pPr>
        <w:spacing w:after="0" w:line="149"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Board Matters</w:t>
      </w:r>
      <w:r>
        <w:rPr>
          <w:rFonts w:ascii="Times New Roman" w:cs="Times New Roman" w:eastAsia="Times New Roman" w:hAnsi="Times New Roman"/>
          <w:sz w:val="14"/>
          <w:szCs w:val="14"/>
          <w:color w:val="auto"/>
        </w:rPr>
        <w:t>. The Company shall reimburse the non-employee directors for all reasonable out-of-pocket travel expenses incurred (consistent with the Company’s travel policy) in connection with attending meetings of the Board of Directors.</w:t>
      </w:r>
    </w:p>
    <w:p>
      <w:pPr>
        <w:spacing w:after="0" w:line="125"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Successor Indemnification</w:t>
      </w:r>
      <w:r>
        <w:rPr>
          <w:rFonts w:ascii="Times New Roman" w:cs="Times New Roman" w:eastAsia="Times New Roman" w:hAnsi="Times New Roman"/>
          <w:sz w:val="14"/>
          <w:szCs w:val="14"/>
          <w:color w:val="auto"/>
        </w:rPr>
        <w:t xml:space="preserve">. If the Company or any of its successors or assignees consolidates with or merges into any other Person and is not the continuing or surviving corporation or entity of such consolidation or merger, then to the extent necessary, but subject to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44"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Expenses of Counsel</w:t>
      </w:r>
      <w:r>
        <w:rPr>
          <w:rFonts w:ascii="Times New Roman" w:cs="Times New Roman" w:eastAsia="Times New Roman" w:hAnsi="Times New Roman"/>
          <w:sz w:val="14"/>
          <w:szCs w:val="14"/>
          <w:color w:val="auto"/>
        </w:rPr>
        <w:t>. In the event of a Deemed Liquidation Event or a transaction that is a Sale of the Company (as defined in the Voting Agreement) (each, a “</w:t>
      </w:r>
      <w:r>
        <w:rPr>
          <w:rFonts w:ascii="Times New Roman" w:cs="Times New Roman" w:eastAsia="Times New Roman" w:hAnsi="Times New Roman"/>
          <w:sz w:val="14"/>
          <w:szCs w:val="14"/>
          <w:b w:val="1"/>
          <w:bCs w:val="1"/>
          <w:color w:val="auto"/>
        </w:rPr>
        <w:t>Reimbursed Transaction</w:t>
      </w:r>
      <w:r>
        <w:rPr>
          <w:rFonts w:ascii="Times New Roman" w:cs="Times New Roman" w:eastAsia="Times New Roman" w:hAnsi="Times New Roman"/>
          <w:sz w:val="14"/>
          <w:szCs w:val="14"/>
          <w:color w:val="auto"/>
        </w:rPr>
        <w:t>”), the reasonable fees and disbursements, not to exceed $75,000 in the aggregate, of one counsel for the Investors (“</w:t>
      </w:r>
      <w:r>
        <w:rPr>
          <w:rFonts w:ascii="Times New Roman" w:cs="Times New Roman" w:eastAsia="Times New Roman" w:hAnsi="Times New Roman"/>
          <w:sz w:val="14"/>
          <w:szCs w:val="14"/>
          <w:b w:val="1"/>
          <w:bCs w:val="1"/>
          <w:color w:val="auto"/>
        </w:rPr>
        <w:t>Investor Counsel</w:t>
      </w:r>
      <w:r>
        <w:rPr>
          <w:rFonts w:ascii="Times New Roman" w:cs="Times New Roman" w:eastAsia="Times New Roman" w:hAnsi="Times New Roman"/>
          <w:sz w:val="14"/>
          <w:szCs w:val="14"/>
          <w:color w:val="auto"/>
        </w:rPr>
        <w:t>”), solely in their capacities as stockholders, shall be borne and paid by the Company.</w:t>
      </w:r>
    </w:p>
    <w:p>
      <w:pPr>
        <w:spacing w:after="0" w:line="136" w:lineRule="exact"/>
        <w:rPr>
          <w:sz w:val="20"/>
          <w:szCs w:val="20"/>
          <w:color w:val="auto"/>
        </w:rPr>
      </w:pPr>
    </w:p>
    <w:p>
      <w:pPr>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Indemnification Matters</w:t>
      </w:r>
      <w:r>
        <w:rPr>
          <w:rFonts w:ascii="Times New Roman" w:cs="Times New Roman" w:eastAsia="Times New Roman" w:hAnsi="Times New Roman"/>
          <w:sz w:val="14"/>
          <w:szCs w:val="14"/>
          <w:color w:val="auto"/>
        </w:rPr>
        <w:t>. The Company hereby acknowledges that one (1) or more of the Preferred Directors may have certain rights to indemnification, advancement of expenses and/or insurance provided by one (1) or more of the Investors and certain of their Affiliates (collectively, the “</w:t>
      </w:r>
      <w:r>
        <w:rPr>
          <w:rFonts w:ascii="Times New Roman" w:cs="Times New Roman" w:eastAsia="Times New Roman" w:hAnsi="Times New Roman"/>
          <w:sz w:val="14"/>
          <w:szCs w:val="14"/>
          <w:b w:val="1"/>
          <w:bCs w:val="1"/>
          <w:color w:val="auto"/>
        </w:rPr>
        <w:t>Investor Indemnitors</w:t>
      </w:r>
      <w:r>
        <w:rPr>
          <w:rFonts w:ascii="Times New Roman" w:cs="Times New Roman" w:eastAsia="Times New Roman" w:hAnsi="Times New Roman"/>
          <w:sz w:val="14"/>
          <w:szCs w:val="14"/>
          <w:color w:val="auto"/>
        </w:rPr>
        <w:t>”). The Company hereby agrees (a) that it is the indemnitor of first resort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its obligations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363" w:name="page364"/>
    <w:bookmarkEnd w:id="363"/>
    <w:p>
      <w:pPr>
        <w:ind w:left="22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to any such Preferred Director are primary and any obligation of the Investor Indemnitors to advance expenses or to provide indemnification for the same expenses or liabilities incurred by such Preferred Director are secondary), (b)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Certificate of Incorporation or Bylaws of the Company (or any agreement between the Company and such Preferred Director), without regard to any rights such Preferred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 have a right of contribution and/or be subrogated to the extent of such advancement or payment to all of the rights of recovery of such Preferred Director against the Company. The Preferred Directors and the Investor Indemnitors are intended third-party beneficiaries of this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and shall have the right, power and authority to enforce the provisions of this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as though they were a party to this Agreement.</w:t>
      </w:r>
    </w:p>
    <w:p>
      <w:pPr>
        <w:spacing w:after="0" w:line="150"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Right to Conduct Activities</w:t>
      </w:r>
      <w:r>
        <w:rPr>
          <w:rFonts w:ascii="Times New Roman" w:cs="Times New Roman" w:eastAsia="Times New Roman" w:hAnsi="Times New Roman"/>
          <w:sz w:val="14"/>
          <w:szCs w:val="14"/>
          <w:color w:val="auto"/>
        </w:rPr>
        <w:t>. The Company hereby agrees and acknowledges that each of ARCH, CPPIB, Foresite, General Atlantic, [***], Invus, PureTech, Sofinnova, Third Rock, [***] and [***] (each, together with Affiliates, a “</w:t>
      </w:r>
      <w:r>
        <w:rPr>
          <w:rFonts w:ascii="Times New Roman" w:cs="Times New Roman" w:eastAsia="Times New Roman" w:hAnsi="Times New Roman"/>
          <w:sz w:val="14"/>
          <w:szCs w:val="14"/>
          <w:b w:val="1"/>
          <w:bCs w:val="1"/>
          <w:color w:val="auto"/>
        </w:rPr>
        <w:t>Professional Investment Organization</w:t>
      </w:r>
      <w:r>
        <w:rPr>
          <w:rFonts w:ascii="Times New Roman" w:cs="Times New Roman" w:eastAsia="Times New Roman" w:hAnsi="Times New Roman"/>
          <w:sz w:val="14"/>
          <w:szCs w:val="14"/>
          <w:color w:val="auto"/>
        </w:rPr>
        <w:t xml:space="preserve">”) is a professional investment organization, and as such reviews the business plans and related proprietary information of many enterprises, some of which may compete directly or indirectly with the Company’s business (as currently conducted or as currently propose to be conducted). Nothing in this Agreement shall preclude or in any way restrict the Professional Investment Organization from evaluating or purchasing securities, including publicly traded securities, of a particular enterprise, or investing or participating in any particular enterprise whether or not such enterprise has products or services that compete with those of the Company; and the Company hereby agrees that, to the extent permitted under applicable law, no Professional Investment Organization shall be liable to the Company for any claim arising out of, or based upon, (i) the investment by such Professional Investment Organization in any entity competitive with the Company, or (ii) actions taken by any partner, officer, employee or other representative of such Professional Investment Organization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foregoing shall not contravene the confidentiality obligations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or otherwise in this Agreement or relieve (x) any of the Investors from liability associated with the unauthorized disclosure of the Company’s confidential information obtained pursuant to this Agreement, or (y) any director or officer of the Company from any liability associated with such person’s fiduciary duties to the Company.</w:t>
      </w:r>
    </w:p>
    <w:p>
      <w:pPr>
        <w:spacing w:after="0" w:line="147" w:lineRule="exact"/>
        <w:rPr>
          <w:sz w:val="20"/>
          <w:szCs w:val="20"/>
          <w:color w:val="auto"/>
        </w:rPr>
      </w:pPr>
    </w:p>
    <w:p>
      <w:pPr>
        <w:ind w:left="220" w:right="4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5.9 </w:t>
      </w:r>
      <w:r>
        <w:rPr>
          <w:rFonts w:ascii="Times New Roman" w:cs="Times New Roman" w:eastAsia="Times New Roman" w:hAnsi="Times New Roman"/>
          <w:sz w:val="14"/>
          <w:szCs w:val="14"/>
          <w:u w:val="single" w:color="auto"/>
          <w:color w:val="auto"/>
        </w:rPr>
        <w:t>Anti-Harassment Policy</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the Company shall, within 60 days following the Closing (as defined in the Purchase Agreement), adopt and thereafter maintain in effect (i) a code of conduct governing appropriate workplace behavior, and (ii) an anti-harassment and discrimination policy prohibiting discrimination and harassment at the Company. Such code of conduct and policy shall be reviewed by the Board of Directors and its adoption shall require the approval of the Board of Directors.</w:t>
      </w:r>
    </w:p>
    <w:p>
      <w:pPr>
        <w:spacing w:after="0" w:line="141"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5.10 </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The Company covenants that it shall not (and shall not permit any of its subsidiaries or controlled Affiliates or any of its or their respective directors, officers, managers, employees, independent contractors, representatives or agents, in their capacities as such,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in each case, in violation of the FCPA, the U.K. Bribery Act, or any other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364" w:name="page365"/>
    <w:bookmarkEnd w:id="364"/>
    <w:p>
      <w:pPr>
        <w:ind w:left="220" w:right="259"/>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applicable anti-bribery or anti-corruption law. The Company further covenants that it shall (and shall cause each of its subsidiaries and controlled Affiliates to) cease all of its or their respective known activities, as well as remediate any known actions taken by the Company, its subsidiaries or controlled Affiliates, or any of their respective directors, officers, managers, employees, independent contractors, representatives or agents, in their capacities as such, in violation of the FCPA, the U.K. Bribery Act, or any other applicable anti-bribery or anti-corruption law. The Company further covenants that it shall (and shall cause each of its subsidiaries to), from and after their implementation, maintain commercially reasonable systems of internal controls (including, but not limited to accounting systems, purchasing systems and billing systems) to provide reasonable assurances regarding compliance with the FCPA, the U.K. Bribery Act, or any other applicable anti-bribery or anti-corruption law. Upon request by an Investor, the Company agrees to provide responsive information and/or certifications concerning its compliance with applicable anti-corruption laws to such Investor.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make commercially reasonable efforts to comply with the FCPA, the U.K. Bribery Act, or any other applicable anti-bribery or anti-corruption law.</w:t>
      </w:r>
    </w:p>
    <w:p>
      <w:pPr>
        <w:spacing w:after="0" w:line="134" w:lineRule="exact"/>
        <w:rPr>
          <w:sz w:val="20"/>
          <w:szCs w:val="20"/>
          <w:color w:val="auto"/>
        </w:rPr>
      </w:pPr>
    </w:p>
    <w:p>
      <w:pPr>
        <w:jc w:val="both"/>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u w:val="single" w:color="auto"/>
          <w:color w:val="auto"/>
        </w:rPr>
        <w:t>Termination of Covenants</w:t>
      </w:r>
      <w:r>
        <w:rPr>
          <w:rFonts w:ascii="Times New Roman" w:cs="Times New Roman" w:eastAsia="Times New Roman" w:hAnsi="Times New Roman"/>
          <w:sz w:val="14"/>
          <w:szCs w:val="14"/>
          <w:color w:val="auto"/>
        </w:rPr>
        <w:t xml:space="preserve">. The covenants set forth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except for </w:t>
      </w:r>
      <w:r>
        <w:rPr>
          <w:rFonts w:ascii="Times New Roman" w:cs="Times New Roman" w:eastAsia="Times New Roman" w:hAnsi="Times New Roman"/>
          <w:sz w:val="14"/>
          <w:szCs w:val="14"/>
          <w:u w:val="single" w:color="auto"/>
          <w:color w:val="auto"/>
        </w:rPr>
        <w:t>Sections 5.5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5.7</w:t>
      </w:r>
      <w:r>
        <w:rPr>
          <w:rFonts w:ascii="Times New Roman" w:cs="Times New Roman" w:eastAsia="Times New Roman" w:hAnsi="Times New Roman"/>
          <w:sz w:val="14"/>
          <w:szCs w:val="14"/>
          <w:color w:val="auto"/>
        </w:rPr>
        <w:t>,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whichever event occurs first.</w:t>
      </w:r>
    </w:p>
    <w:p>
      <w:pPr>
        <w:spacing w:after="0" w:line="136" w:lineRule="exact"/>
        <w:rPr>
          <w:sz w:val="20"/>
          <w:szCs w:val="20"/>
          <w:color w:val="auto"/>
        </w:rPr>
      </w:pPr>
    </w:p>
    <w:p>
      <w:pPr>
        <w:ind w:left="220" w:right="5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5.12 </w:t>
      </w:r>
      <w:r>
        <w:rPr>
          <w:rFonts w:ascii="Times New Roman" w:cs="Times New Roman" w:eastAsia="Times New Roman" w:hAnsi="Times New Roman"/>
          <w:sz w:val="14"/>
          <w:szCs w:val="14"/>
          <w:u w:val="single" w:color="auto"/>
          <w:color w:val="auto"/>
        </w:rPr>
        <w:t>Fiduciary Duties</w:t>
      </w:r>
      <w:r>
        <w:rPr>
          <w:rFonts w:ascii="Times New Roman" w:cs="Times New Roman" w:eastAsia="Times New Roman" w:hAnsi="Times New Roman"/>
          <w:sz w:val="14"/>
          <w:szCs w:val="14"/>
          <w:color w:val="auto"/>
        </w:rPr>
        <w:t xml:space="preserve">. The Company’s obligations set forth in Sections </w:t>
      </w:r>
      <w:r>
        <w:rPr>
          <w:rFonts w:ascii="Times New Roman" w:cs="Times New Roman" w:eastAsia="Times New Roman" w:hAnsi="Times New Roman"/>
          <w:sz w:val="14"/>
          <w:szCs w:val="14"/>
          <w:u w:val="single" w:color="auto"/>
          <w:color w:val="auto"/>
        </w:rPr>
        <w:t>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5.9</w:t>
      </w:r>
      <w:r>
        <w:rPr>
          <w:rFonts w:ascii="Times New Roman" w:cs="Times New Roman" w:eastAsia="Times New Roman" w:hAnsi="Times New Roman"/>
          <w:sz w:val="14"/>
          <w:szCs w:val="14"/>
          <w:color w:val="auto"/>
        </w:rPr>
        <w:t xml:space="preserve"> that are qualified by this </w:t>
      </w:r>
      <w:r>
        <w:rPr>
          <w:rFonts w:ascii="Times New Roman" w:cs="Times New Roman" w:eastAsia="Times New Roman" w:hAnsi="Times New Roman"/>
          <w:sz w:val="14"/>
          <w:szCs w:val="14"/>
          <w:u w:val="single" w:color="auto"/>
          <w:color w:val="auto"/>
        </w:rPr>
        <w:t>Section 5.12</w:t>
      </w:r>
      <w:r>
        <w:rPr>
          <w:rFonts w:ascii="Times New Roman" w:cs="Times New Roman" w:eastAsia="Times New Roman" w:hAnsi="Times New Roman"/>
          <w:sz w:val="14"/>
          <w:szCs w:val="14"/>
          <w:color w:val="auto"/>
        </w:rPr>
        <w:t xml:space="preserve"> shall not be applicable to the extent (and only to the extent) that the Board of Directors determine in good faith that compliance would be inconsistent with the exercise of the fiduciary duties of the Board of Directors.</w:t>
      </w:r>
    </w:p>
    <w:p>
      <w:pPr>
        <w:spacing w:after="0" w:line="136" w:lineRule="exact"/>
        <w:rPr>
          <w:sz w:val="20"/>
          <w:szCs w:val="20"/>
          <w:color w:val="auto"/>
        </w:rPr>
      </w:pPr>
    </w:p>
    <w:p>
      <w:pPr>
        <w:ind w:left="360" w:hanging="145"/>
        <w:spacing w:after="0"/>
        <w:tabs>
          <w:tab w:leader="none" w:pos="36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19" w:firstLine="343"/>
        <w:spacing w:after="0" w:line="253"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1,000,000 shares of Registrable Securities (subject to appropriate adjustment for stock splits, stock dividends, combinations, and other recapitalizations);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365" w:name="page366"/>
    <w:bookmarkEnd w:id="365"/>
    <w:p>
      <w:pPr>
        <w:ind w:left="220" w:right="4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6.2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shall be governed by the internal law of the State of Delaware, without regard to conflict of law principles that would result in the application of any law other than the law of the State of Delaware.</w:t>
      </w:r>
    </w:p>
    <w:p>
      <w:pPr>
        <w:spacing w:after="0" w:line="125"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www.docusign.com) or other transmission method and any counterpart so delivered shall be deemed to have been duly and validly delivered and be valid and effective for all purposes.</w:t>
      </w:r>
    </w:p>
    <w:p>
      <w:pPr>
        <w:spacing w:after="0" w:line="141" w:lineRule="exact"/>
        <w:rPr>
          <w:sz w:val="20"/>
          <w:szCs w:val="20"/>
          <w:color w:val="auto"/>
        </w:rPr>
      </w:pPr>
    </w:p>
    <w:p>
      <w:pPr>
        <w:ind w:left="220" w:right="5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for convenience only and are not to be considered in construing or interpreting this Agreement.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67"/>
        <w:spacing w:after="0" w:line="254" w:lineRule="auto"/>
        <w:tabs>
          <w:tab w:leader="none" w:pos="1182"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xml:space="preserve">.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days after having been sent by registered or certified mail, return receipt requested, postage prepaid; or (iv) one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(with a copy (which copy shall not constitute notice) to be sent to such party as indicated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or (as to the Company) to the address set forth on the signature page hereto, or in any case to such email address or address as subsequently modified by written notice given in accordance with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If notice is given to the Company, a copy (which copy shall not constitute notice) shall also be sent to Wilmer Cutler Pickering Hale &amp; Dorr LLP, 60 State Street, Boston, Massachusetts 02109, Attn.: Stuart M. Falber.</w:t>
      </w:r>
    </w:p>
    <w:p>
      <w:pPr>
        <w:spacing w:after="0" w:line="146" w:lineRule="exact"/>
        <w:rPr>
          <w:rFonts w:ascii="Times New Roman" w:cs="Times New Roman" w:eastAsia="Times New Roman" w:hAnsi="Times New Roman"/>
          <w:sz w:val="14"/>
          <w:szCs w:val="14"/>
          <w:color w:val="auto"/>
        </w:rPr>
      </w:pPr>
    </w:p>
    <w:p>
      <w:pPr>
        <w:ind w:left="220" w:right="239" w:firstLine="767"/>
        <w:spacing w:after="0" w:line="256" w:lineRule="auto"/>
        <w:tabs>
          <w:tab w:leader="none" w:pos="119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to Electronic Notice</w:t>
      </w:r>
      <w:r>
        <w:rPr>
          <w:rFonts w:ascii="Times New Roman" w:cs="Times New Roman" w:eastAsia="Times New Roman" w:hAnsi="Times New Roman"/>
          <w:sz w:val="14"/>
          <w:szCs w:val="14"/>
          <w:color w:val="auto"/>
        </w:rPr>
        <w:t>. Each party to this Agreement consents to the delivery of any stockholder notice pursuant to the Delaware General Corporation Law (the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as amended or superseded from time to time, by electronic mail pursuant to Section 232 of the DGCL (or any successor thereto) at the electronic mail address set forth below such party’s name on the Schedules hereto, as updated from time to time by notice to the Company, or as on the books of the Company. To the extent that any notice given by means of electronic mail is returned or undeliverable for any reason, the foregoing consent shall be deemed to have been revoked until a new or corrected electronic mail address has been provided, and such attempted electronic notice shall be ineffective and deemed to not have been given. Each party to this Agreement agrees to promptly notify the Company of any change in such stockholder’s electronic mail address, and that failure to do so shall not affect the foregoing.</w:t>
      </w:r>
    </w:p>
    <w:p>
      <w:pPr>
        <w:spacing w:after="0" w:line="144"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 xml:space="preserve">. Any term of this Agreement may be amended, modified, terminated and the observance of any term of this Agreement may be waived (either generally or in a particular instance, and either retroactively or prospectively) only with the written consent of the Company and the Requisite Holder Vote;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may in its sole discretion waive compliance with </w:t>
      </w:r>
      <w:r>
        <w:rPr>
          <w:rFonts w:ascii="Times New Roman" w:cs="Times New Roman" w:eastAsia="Times New Roman" w:hAnsi="Times New Roman"/>
          <w:sz w:val="14"/>
          <w:szCs w:val="14"/>
          <w:u w:val="single" w:color="auto"/>
          <w:color w:val="auto"/>
        </w:rPr>
        <w:t>Section 2.12(c)</w:t>
      </w:r>
      <w:r>
        <w:rPr>
          <w:rFonts w:ascii="Times New Roman" w:cs="Times New Roman" w:eastAsia="Times New Roman" w:hAnsi="Times New Roman"/>
          <w:sz w:val="14"/>
          <w:szCs w:val="14"/>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4"/>
          <w:szCs w:val="14"/>
          <w:u w:val="single" w:color="auto"/>
          <w:color w:val="auto"/>
        </w:rPr>
        <w:t>Section 2.12(c)</w:t>
      </w:r>
      <w:r>
        <w:rPr>
          <w:rFonts w:ascii="Times New Roman" w:cs="Times New Roman" w:eastAsia="Times New Roman" w:hAnsi="Times New Roman"/>
          <w:sz w:val="14"/>
          <w:szCs w:val="14"/>
          <w:color w:val="auto"/>
        </w:rPr>
        <w:t xml:space="preserve"> shall be deemed to be a waiver);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366" w:name="page367"/>
    <w:bookmarkEnd w:id="366"/>
    <w:p>
      <w:pPr>
        <w:ind w:left="220" w:right="2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Investor without the written consent of such Investor, unless such amendment, modification, termination, or waiver applies to all Investors in the same fashion (it being agreed that a waiver of the provisions of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if, after giving effect to any waiver of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or any provision pertaining to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xml:space="preserve"> with respect to a particular transaction, a Major Investor in fact purchases New Securities in such transaction (such Major Investor, a “</w:t>
      </w:r>
      <w:r>
        <w:rPr>
          <w:rFonts w:ascii="Times New Roman" w:cs="Times New Roman" w:eastAsia="Times New Roman" w:hAnsi="Times New Roman"/>
          <w:sz w:val="14"/>
          <w:szCs w:val="14"/>
          <w:b w:val="1"/>
          <w:bCs w:val="1"/>
          <w:color w:val="auto"/>
        </w:rPr>
        <w:t>Participating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the aforementioned waiver shall be deemed to apply to any Major Investor only if that Major Investor has been provided the opportunity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purchase a proportional number of the New Securities in such transaction based on the pro rata purchase right of each Major Investor set forth in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assuming a transaction size determined based upon the amount purchased by the Participating Investor that invested the largest percentage in such transaction (such amount with respect to a Major Investor, the “</w:t>
      </w:r>
      <w:r>
        <w:rPr>
          <w:rFonts w:ascii="Times New Roman" w:cs="Times New Roman" w:eastAsia="Times New Roman" w:hAnsi="Times New Roman"/>
          <w:sz w:val="14"/>
          <w:szCs w:val="14"/>
          <w:b w:val="1"/>
          <w:bCs w:val="1"/>
          <w:color w:val="auto"/>
        </w:rPr>
        <w:t>Participation Amount</w:t>
      </w:r>
      <w:r>
        <w:rPr>
          <w:rFonts w:ascii="Times New Roman" w:cs="Times New Roman" w:eastAsia="Times New Roman" w:hAnsi="Times New Roman"/>
          <w:sz w:val="14"/>
          <w:szCs w:val="14"/>
          <w:color w:val="auto"/>
        </w:rPr>
        <w:t xml:space="preserve">”); and provided further that, in such event, the Company, in its sole discretion, may reduce each Major Investor’s Participation Amount by up to 50%, provided that such percentage reduction is applied equally to each Major Investor’s Participation Amount); (b)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PureTech and this </w:t>
      </w:r>
      <w:r>
        <w:rPr>
          <w:rFonts w:ascii="Times New Roman" w:cs="Times New Roman" w:eastAsia="Times New Roman" w:hAnsi="Times New Roman"/>
          <w:sz w:val="14"/>
          <w:szCs w:val="14"/>
          <w:u w:val="single" w:color="auto"/>
          <w:color w:val="auto"/>
        </w:rPr>
        <w:t>Section 6.6(b)</w:t>
      </w:r>
      <w:r>
        <w:rPr>
          <w:rFonts w:ascii="Times New Roman" w:cs="Times New Roman" w:eastAsia="Times New Roman" w:hAnsi="Times New Roman"/>
          <w:sz w:val="14"/>
          <w:szCs w:val="14"/>
          <w:color w:val="auto"/>
        </w:rPr>
        <w:t xml:space="preserve"> may not be amended, modified, terminated or waived, without the written consent of PureTech, for so long as PureTech continues to have rights pursuant to such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(c)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ARCH, and this </w:t>
      </w:r>
      <w:r>
        <w:rPr>
          <w:rFonts w:ascii="Times New Roman" w:cs="Times New Roman" w:eastAsia="Times New Roman" w:hAnsi="Times New Roman"/>
          <w:sz w:val="14"/>
          <w:szCs w:val="14"/>
          <w:u w:val="single" w:color="auto"/>
          <w:color w:val="auto"/>
        </w:rPr>
        <w:t>Section 6.6(c)</w:t>
      </w:r>
      <w:r>
        <w:rPr>
          <w:rFonts w:ascii="Times New Roman" w:cs="Times New Roman" w:eastAsia="Times New Roman" w:hAnsi="Times New Roman"/>
          <w:sz w:val="14"/>
          <w:szCs w:val="14"/>
          <w:color w:val="auto"/>
        </w:rPr>
        <w:t xml:space="preserve"> may not be amended, modified, terminated or waived, without the written consent of ARCH, for so long as ARCH continues to have rights pursuant to such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(d)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Sofinnova, and this </w:t>
      </w:r>
      <w:r>
        <w:rPr>
          <w:rFonts w:ascii="Times New Roman" w:cs="Times New Roman" w:eastAsia="Times New Roman" w:hAnsi="Times New Roman"/>
          <w:sz w:val="14"/>
          <w:szCs w:val="14"/>
          <w:u w:val="single" w:color="auto"/>
          <w:color w:val="auto"/>
        </w:rPr>
        <w:t>Section 6.6(d)</w:t>
      </w:r>
      <w:r>
        <w:rPr>
          <w:rFonts w:ascii="Times New Roman" w:cs="Times New Roman" w:eastAsia="Times New Roman" w:hAnsi="Times New Roman"/>
          <w:sz w:val="14"/>
          <w:szCs w:val="14"/>
          <w:color w:val="auto"/>
        </w:rPr>
        <w:t xml:space="preserve"> may not be amended, modified, terminated or waived, without the written consent of Sofinnova, for so long as Sofinnova continues to have rights pursuant to such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(e)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Third Rock and this </w:t>
      </w:r>
      <w:r>
        <w:rPr>
          <w:rFonts w:ascii="Times New Roman" w:cs="Times New Roman" w:eastAsia="Times New Roman" w:hAnsi="Times New Roman"/>
          <w:sz w:val="14"/>
          <w:szCs w:val="14"/>
          <w:u w:val="single" w:color="auto"/>
          <w:color w:val="auto"/>
        </w:rPr>
        <w:t>Section 6.6(e)</w:t>
      </w:r>
      <w:r>
        <w:rPr>
          <w:rFonts w:ascii="Times New Roman" w:cs="Times New Roman" w:eastAsia="Times New Roman" w:hAnsi="Times New Roman"/>
          <w:sz w:val="14"/>
          <w:szCs w:val="14"/>
          <w:color w:val="auto"/>
        </w:rPr>
        <w:t xml:space="preserve"> may not be amended, modified, terminated or waived, without the written consent of Third Rock, for so long as Third Rock continues to have rights pursuant to such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(f)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General Atlantic and this </w:t>
      </w:r>
      <w:r>
        <w:rPr>
          <w:rFonts w:ascii="Times New Roman" w:cs="Times New Roman" w:eastAsia="Times New Roman" w:hAnsi="Times New Roman"/>
          <w:sz w:val="14"/>
          <w:szCs w:val="14"/>
          <w:u w:val="single" w:color="auto"/>
          <w:color w:val="auto"/>
        </w:rPr>
        <w:t>Section 6.6(f)</w:t>
      </w:r>
      <w:r>
        <w:rPr>
          <w:rFonts w:ascii="Times New Roman" w:cs="Times New Roman" w:eastAsia="Times New Roman" w:hAnsi="Times New Roman"/>
          <w:sz w:val="14"/>
          <w:szCs w:val="14"/>
          <w:color w:val="auto"/>
        </w:rPr>
        <w:t xml:space="preserve"> may not be amended, modified, terminated or waived, without the written consent of General Atlantic, for so long as General Atlantic continues to have rights pursuant to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(g)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 and the [***] Investors and this </w:t>
      </w:r>
      <w:r>
        <w:rPr>
          <w:rFonts w:ascii="Times New Roman" w:cs="Times New Roman" w:eastAsia="Times New Roman" w:hAnsi="Times New Roman"/>
          <w:sz w:val="14"/>
          <w:szCs w:val="14"/>
          <w:u w:val="single" w:color="auto"/>
          <w:color w:val="auto"/>
        </w:rPr>
        <w:t>Section 6.6(g)</w:t>
      </w:r>
      <w:r>
        <w:rPr>
          <w:rFonts w:ascii="Times New Roman" w:cs="Times New Roman" w:eastAsia="Times New Roman" w:hAnsi="Times New Roman"/>
          <w:sz w:val="14"/>
          <w:szCs w:val="14"/>
          <w:color w:val="auto"/>
        </w:rPr>
        <w:t xml:space="preserve"> may not be amended, modified, terminated or waived, without the written consent of the [***], for so long as the [***] continue to have rights pursuant to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(h)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 and this </w:t>
      </w:r>
      <w:r>
        <w:rPr>
          <w:rFonts w:ascii="Times New Roman" w:cs="Times New Roman" w:eastAsia="Times New Roman" w:hAnsi="Times New Roman"/>
          <w:sz w:val="14"/>
          <w:szCs w:val="14"/>
          <w:u w:val="single" w:color="auto"/>
          <w:color w:val="auto"/>
        </w:rPr>
        <w:t>Section 6.6(h)</w:t>
      </w:r>
      <w:r>
        <w:rPr>
          <w:rFonts w:ascii="Times New Roman" w:cs="Times New Roman" w:eastAsia="Times New Roman" w:hAnsi="Times New Roman"/>
          <w:sz w:val="14"/>
          <w:szCs w:val="14"/>
          <w:color w:val="auto"/>
        </w:rPr>
        <w:t xml:space="preserve"> may not be amended, modified, terminated or waived, without the written consent of [***], for so long as [***] continues to have rights pursuant to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(i)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Invus and this </w:t>
      </w:r>
      <w:r>
        <w:rPr>
          <w:rFonts w:ascii="Times New Roman" w:cs="Times New Roman" w:eastAsia="Times New Roman" w:hAnsi="Times New Roman"/>
          <w:sz w:val="14"/>
          <w:szCs w:val="14"/>
          <w:u w:val="single" w:color="auto"/>
          <w:color w:val="auto"/>
        </w:rPr>
        <w:t>Section 6.6(i)</w:t>
      </w:r>
      <w:r>
        <w:rPr>
          <w:rFonts w:ascii="Times New Roman" w:cs="Times New Roman" w:eastAsia="Times New Roman" w:hAnsi="Times New Roman"/>
          <w:sz w:val="14"/>
          <w:szCs w:val="14"/>
          <w:color w:val="auto"/>
        </w:rPr>
        <w:t xml:space="preserve"> may not be amended, modified, terminated or waived, without the written consent of Invus, for so long as Invus continues to have rights pursuant to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(j)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Foresite and this </w:t>
      </w:r>
      <w:r>
        <w:rPr>
          <w:rFonts w:ascii="Times New Roman" w:cs="Times New Roman" w:eastAsia="Times New Roman" w:hAnsi="Times New Roman"/>
          <w:sz w:val="14"/>
          <w:szCs w:val="14"/>
          <w:u w:val="single" w:color="auto"/>
          <w:color w:val="auto"/>
        </w:rPr>
        <w:t>Section 6.6(j)</w:t>
      </w:r>
      <w:r>
        <w:rPr>
          <w:rFonts w:ascii="Times New Roman" w:cs="Times New Roman" w:eastAsia="Times New Roman" w:hAnsi="Times New Roman"/>
          <w:sz w:val="14"/>
          <w:szCs w:val="14"/>
          <w:color w:val="auto"/>
        </w:rPr>
        <w:t xml:space="preserve"> may not be amended, modified, terminated or waived, without the written consent of Foresite, for so long as Foresite continues to have rights pursuant to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(k)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with respect to CPPIB and this</w:t>
      </w:r>
    </w:p>
    <w:p>
      <w:pPr>
        <w:spacing w:after="0" w:line="10" w:lineRule="exact"/>
        <w:rPr>
          <w:sz w:val="20"/>
          <w:szCs w:val="20"/>
          <w:color w:val="auto"/>
        </w:rPr>
      </w:pPr>
    </w:p>
    <w:p>
      <w:pPr>
        <w:ind w:left="220" w:right="239"/>
        <w:spacing w:after="0" w:line="252" w:lineRule="auto"/>
        <w:rPr>
          <w:sz w:val="20"/>
          <w:szCs w:val="20"/>
          <w:color w:val="auto"/>
        </w:rPr>
      </w:pPr>
      <w:r>
        <w:rPr>
          <w:rFonts w:ascii="Times New Roman" w:cs="Times New Roman" w:eastAsia="Times New Roman" w:hAnsi="Times New Roman"/>
          <w:sz w:val="14"/>
          <w:szCs w:val="14"/>
          <w:u w:val="single" w:color="auto"/>
          <w:color w:val="auto"/>
        </w:rPr>
        <w:t>Section 6.6(k)</w:t>
      </w:r>
      <w:r>
        <w:rPr>
          <w:rFonts w:ascii="Times New Roman" w:cs="Times New Roman" w:eastAsia="Times New Roman" w:hAnsi="Times New Roman"/>
          <w:sz w:val="14"/>
          <w:szCs w:val="14"/>
          <w:color w:val="auto"/>
        </w:rPr>
        <w:t xml:space="preserve"> may not be amended, modified, terminated or waived, without the written consent of CPPIB, for so long as CPPIB continues to have rights pursuant to </w:t>
      </w: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and (l) prior to an IPO, any amendment, modification, termination or waiver of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or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that adversely affects any of the rights or obligations of any holder of Series B Preferred Stock under such Sections shall not be effective against such holder without the prior written consent of the holders of at least 65% of the then outstanding shares of Series B Preferred Stock; provided that, no such consent shall be required for any (1) amendments to any voting or approval thresholds in such Sections (other than in respect of this </w:t>
      </w:r>
      <w:r>
        <w:rPr>
          <w:rFonts w:ascii="Times New Roman" w:cs="Times New Roman" w:eastAsia="Times New Roman" w:hAnsi="Times New Roman"/>
          <w:sz w:val="14"/>
          <w:szCs w:val="14"/>
          <w:u w:val="single" w:color="auto"/>
          <w:color w:val="auto"/>
        </w:rPr>
        <w:t>Section 6.6(l)</w:t>
      </w:r>
      <w:r>
        <w:rPr>
          <w:rFonts w:ascii="Times New Roman" w:cs="Times New Roman" w:eastAsia="Times New Roman" w:hAnsi="Times New Roman"/>
          <w:sz w:val="14"/>
          <w:szCs w:val="14"/>
          <w:color w:val="auto"/>
        </w:rPr>
        <w:t xml:space="preserve">) made to reflect new investors or series of the Company’s preferred stock in connection with the issuance and sale by the Company of shares of the Company’s preferred stock for bona fide capital-raising purposes or (2) waivers of the timing requirements for deliverables under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Notwithstanding the foregoing,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may be amended by the Company from time to time 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367" w:name="page368"/>
    <w:bookmarkEnd w:id="367"/>
    <w:p>
      <w:pPr>
        <w:ind w:left="220" w:right="2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add transferees of any Registrable Securities in compliance with the terms of this Agreement without the consent of the other parties; and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44"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6.7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case any provision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36" w:lineRule="exact"/>
        <w:rPr>
          <w:sz w:val="20"/>
          <w:szCs w:val="20"/>
          <w:color w:val="auto"/>
        </w:rPr>
      </w:pPr>
    </w:p>
    <w:p>
      <w:pPr>
        <w:jc w:val="both"/>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6.8 </w:t>
      </w:r>
      <w:r>
        <w:rPr>
          <w:rFonts w:ascii="Times New Roman" w:cs="Times New Roman" w:eastAsia="Times New Roman" w:hAnsi="Times New Roman"/>
          <w:sz w:val="14"/>
          <w:szCs w:val="14"/>
          <w:u w:val="single" w:color="auto"/>
          <w:color w:val="auto"/>
        </w:rPr>
        <w:t>Aggregation of Stock; Apportionment</w:t>
      </w:r>
      <w:r>
        <w:rPr>
          <w:rFonts w:ascii="Times New Roman" w:cs="Times New Roman" w:eastAsia="Times New Roman" w:hAnsi="Times New Roman"/>
          <w:sz w:val="14"/>
          <w:szCs w:val="14"/>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136"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Additional Investors</w:t>
      </w:r>
      <w:r>
        <w:rPr>
          <w:rFonts w:ascii="Times New Roman" w:cs="Times New Roman" w:eastAsia="Times New Roman" w:hAnsi="Times New Roman"/>
          <w:sz w:val="14"/>
          <w:szCs w:val="14"/>
          <w:color w:val="auto"/>
        </w:rPr>
        <w:t>. Notwithstanding anything to the contrary contained herein, if the Company issues additional shares of Preferred Stock after the date hereof, any purchaser of such shares of Preferred Stock may become a party to this Agreement by executing and delivering a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44"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6.10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Upon the effectiveness of this Agreement, the Prior Agreement shall be deemed amended and restated and superseded and replaced in its entirety by this Agreement, and shall be of no further force or effect. This Agreement (including the Exhibits and Schedules hereto) together with the other Transaction Agreements (as defined in the Purchase Agreement) constitute the full and entire understanding and agreement among the parties with respect to the subject matter hereof, and any other written or oral agreement relating to the subject matter hereof existing between or among any of the parties are expressly canceled.</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6.11 </w:t>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368" w:name="page369"/>
    <w:bookmarkEnd w:id="368"/>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Each of the parties to this Agreement consents to personal jurisdiction for any equitable action sought in the U.S. District Court for the District of Delaware or any court of the State of Delaware having subject matter jurisdiction.</w:t>
      </w:r>
    </w:p>
    <w:p>
      <w:pPr>
        <w:spacing w:after="0" w:line="125" w:lineRule="exact"/>
        <w:rPr>
          <w:sz w:val="20"/>
          <w:szCs w:val="20"/>
          <w:color w:val="auto"/>
        </w:rPr>
      </w:pPr>
    </w:p>
    <w:p>
      <w:pPr>
        <w:ind w:left="220" w:right="239"/>
        <w:spacing w:after="0" w:line="276" w:lineRule="auto"/>
        <w:rPr>
          <w:sz w:val="20"/>
          <w:szCs w:val="20"/>
          <w:color w:val="auto"/>
        </w:rPr>
      </w:pPr>
      <w:r>
        <w:rPr>
          <w:rFonts w:ascii="Times New Roman" w:cs="Times New Roman" w:eastAsia="Times New Roman" w:hAnsi="Times New Roman"/>
          <w:sz w:val="13"/>
          <w:szCs w:val="13"/>
          <w:color w:val="auto"/>
        </w:rPr>
        <w:t>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6.12 </w:t>
      </w:r>
      <w:r>
        <w:rPr>
          <w:rFonts w:ascii="Times New Roman" w:cs="Times New Roman" w:eastAsia="Times New Roman" w:hAnsi="Times New Roman"/>
          <w:sz w:val="14"/>
          <w:szCs w:val="14"/>
          <w:u w:val="single" w:color="auto"/>
          <w:color w:val="auto"/>
        </w:rPr>
        <w:t>Costs of Enforcement</w:t>
      </w:r>
      <w:r>
        <w:rPr>
          <w:rFonts w:ascii="Times New Roman" w:cs="Times New Roman" w:eastAsia="Times New Roman" w:hAnsi="Times New Roman"/>
          <w:sz w:val="14"/>
          <w:szCs w:val="14"/>
          <w:color w:val="auto"/>
        </w:rPr>
        <w:t>. Each party will bear its own costs in respect of any disputes arising under this Agreement.</w:t>
      </w:r>
    </w:p>
    <w:p>
      <w:pPr>
        <w:spacing w:after="0" w:line="175"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6.13 </w:t>
      </w:r>
      <w:r>
        <w:rPr>
          <w:rFonts w:ascii="Times New Roman" w:cs="Times New Roman" w:eastAsia="Times New Roman" w:hAnsi="Times New Roman"/>
          <w:sz w:val="14"/>
          <w:szCs w:val="14"/>
          <w:u w:val="single" w:color="auto"/>
          <w:color w:val="auto"/>
        </w:rPr>
        <w:t>Delays or Omissions</w:t>
      </w:r>
      <w:r>
        <w:rPr>
          <w:rFonts w:ascii="Times New Roman" w:cs="Times New Roman" w:eastAsia="Times New Roman" w:hAnsi="Times New Roman"/>
          <w:sz w:val="14"/>
          <w:szCs w:val="14"/>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1" w:right="1440" w:bottom="1440" w:gutter="0" w:footer="0" w:header="0"/>
        </w:sectPr>
      </w:pPr>
    </w:p>
    <w:bookmarkStart w:id="369" w:name="page370"/>
    <w:bookmarkEnd w:id="369"/>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w:t>
      </w:r>
      <w:r>
        <w:rPr>
          <w:rFonts w:ascii="Times New Roman" w:cs="Times New Roman" w:eastAsia="Times New Roman" w:hAnsi="Times New Roman"/>
          <w:sz w:val="14"/>
          <w:szCs w:val="14"/>
          <w:color w:val="auto"/>
        </w:rPr>
        <w:t>, the parties have executed this Amended and Restated Investors’ Rights Agreement as of the date first written above.</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Daphne Zohar</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Chief Executive Officer and President</w:t>
      </w:r>
    </w:p>
    <w:p>
      <w:pPr>
        <w:spacing w:after="0" w:line="1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Address: [***]</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Email: [***]</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Amended and Restated Investors’ Rights Agreement]</w:t>
      </w:r>
    </w:p>
    <w:p>
      <w:pPr>
        <w:sectPr>
          <w:pgSz w:w="11900" w:h="16838" w:orient="portrait"/>
          <w:cols w:equalWidth="0" w:num="1">
            <w:col w:w="9019"/>
          </w:cols>
          <w:pgMar w:left="1440" w:top="238" w:right="1440" w:bottom="1440" w:gutter="0" w:footer="0" w:header="0"/>
        </w:sectPr>
      </w:pPr>
    </w:p>
    <w:bookmarkStart w:id="370" w:name="page371"/>
    <w:bookmarkEnd w:id="370"/>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TO 2024 EQUITY INCENTIVE PLAN</w:t>
      </w:r>
    </w:p>
    <w:p>
      <w:pPr>
        <w:spacing w:after="0" w:line="175" w:lineRule="exact"/>
        <w:rPr>
          <w:sz w:val="20"/>
          <w:szCs w:val="20"/>
          <w:color w:val="auto"/>
        </w:rPr>
      </w:pPr>
    </w:p>
    <w:p>
      <w:pPr>
        <w:ind w:left="220" w:right="339" w:firstLine="338"/>
        <w:spacing w:after="0" w:line="286" w:lineRule="auto"/>
        <w:tabs>
          <w:tab w:leader="none" w:pos="703"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full sentence of Section 4.1 of the 2024 Equity Incentive Plan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of Seaport Therapeutics,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is hereby deleted in its entirety and replaced with the following in lieu thereof:</w:t>
      </w:r>
    </w:p>
    <w:p>
      <w:pPr>
        <w:spacing w:after="0" w:line="39" w:lineRule="exact"/>
        <w:rPr>
          <w:sz w:val="20"/>
          <w:szCs w:val="20"/>
          <w:color w:val="auto"/>
        </w:rPr>
      </w:pPr>
    </w:p>
    <w:p>
      <w:pPr>
        <w:ind w:left="1340" w:right="379"/>
        <w:spacing w:after="0" w:line="283" w:lineRule="auto"/>
        <w:rPr>
          <w:sz w:val="20"/>
          <w:szCs w:val="20"/>
          <w:color w:val="auto"/>
        </w:rPr>
      </w:pPr>
      <w:r>
        <w:rPr>
          <w:rFonts w:ascii="Times New Roman" w:cs="Times New Roman" w:eastAsia="Times New Roman" w:hAnsi="Times New Roman"/>
          <w:sz w:val="14"/>
          <w:szCs w:val="14"/>
          <w:color w:val="auto"/>
        </w:rPr>
        <w:t>“Subject to adjustment under Section 8 hereof, Awards may be made under the Plan covering up to 38,607,011 shares of Common Stock.”</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2. Except as expressly amended herein, the Plan and all of the provisions contained therein shall remain in full force and effect.</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Approved by the Board of Directors of the Company on October 16, 2024</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Approved by the Stockholders of the Company on October 17, 2024</w:t>
      </w:r>
    </w:p>
    <w:p>
      <w:pPr>
        <w:sectPr>
          <w:pgSz w:w="11900" w:h="16838" w:orient="portrait"/>
          <w:cols w:equalWidth="0" w:num="1">
            <w:col w:w="9019"/>
          </w:cols>
          <w:pgMar w:left="1440" w:top="123" w:right="1440" w:bottom="1440" w:gutter="0" w:footer="0" w:header="0"/>
        </w:sectPr>
      </w:pPr>
    </w:p>
    <w:bookmarkStart w:id="371" w:name="page372"/>
    <w:bookmarkEnd w:id="37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SEAPORT THERAPEUTICS,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2024 EQUITY INCENTIVE PLAN</w:t>
      </w:r>
    </w:p>
    <w:p>
      <w:pPr>
        <w:spacing w:after="0" w:line="177" w:lineRule="exact"/>
        <w:rPr>
          <w:sz w:val="20"/>
          <w:szCs w:val="20"/>
          <w:color w:val="auto"/>
        </w:rPr>
      </w:pPr>
    </w:p>
    <w:p>
      <w:pPr>
        <w:ind w:left="700" w:hanging="142"/>
        <w:spacing w:after="0"/>
        <w:tabs>
          <w:tab w:leader="none" w:pos="70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72"/>
        <w:spacing w:after="0" w:line="261" w:lineRule="auto"/>
        <w:rPr>
          <w:sz w:val="20"/>
          <w:szCs w:val="20"/>
          <w:color w:val="auto"/>
        </w:rPr>
      </w:pPr>
      <w:r>
        <w:rPr>
          <w:rFonts w:ascii="Times New Roman" w:cs="Times New Roman" w:eastAsia="Times New Roman" w:hAnsi="Times New Roman"/>
          <w:sz w:val="14"/>
          <w:szCs w:val="14"/>
          <w:color w:val="auto"/>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Section 11 below.</w:t>
      </w:r>
    </w:p>
    <w:p>
      <w:pPr>
        <w:spacing w:after="0" w:line="141" w:lineRule="exact"/>
        <w:rPr>
          <w:sz w:val="20"/>
          <w:szCs w:val="20"/>
          <w:color w:val="auto"/>
        </w:rPr>
      </w:pPr>
    </w:p>
    <w:p>
      <w:pPr>
        <w:ind w:left="700" w:hanging="142"/>
        <w:spacing w:after="0"/>
        <w:tabs>
          <w:tab w:leader="none" w:pos="7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Eligibility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Service Providers are eligible to be granted Awards under the Plan, subject to the limitations described herein.</w:t>
      </w:r>
    </w:p>
    <w:p>
      <w:pPr>
        <w:spacing w:after="0" w:line="175" w:lineRule="exact"/>
        <w:rPr>
          <w:sz w:val="20"/>
          <w:szCs w:val="20"/>
          <w:color w:val="auto"/>
        </w:rPr>
      </w:pPr>
    </w:p>
    <w:p>
      <w:pPr>
        <w:ind w:left="700" w:hanging="142"/>
        <w:spacing w:after="0"/>
        <w:tabs>
          <w:tab w:leader="none" w:pos="70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 and Delegation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right="259" w:firstLine="772"/>
        <w:spacing w:after="0" w:line="255"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Plan will be administered by the Administrator. The Administrator shall have authority to determine which Service 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spacing w:after="0" w:line="145" w:lineRule="exact"/>
        <w:rPr>
          <w:sz w:val="20"/>
          <w:szCs w:val="20"/>
          <w:color w:val="auto"/>
        </w:rPr>
      </w:pPr>
    </w:p>
    <w:p>
      <w:pPr>
        <w:ind w:left="220" w:right="399" w:firstLine="772"/>
        <w:spacing w:after="0" w:line="286"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Appointment of Committees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To the extent permitted by Applicable Laws, the Board may delegate any or all of its powers under the Plan to one or more Committees. The Board may abolish any Committee at any time and re-vest in itself any previously delegated authority.</w:t>
      </w:r>
    </w:p>
    <w:p>
      <w:pPr>
        <w:spacing w:after="0" w:line="123" w:lineRule="exact"/>
        <w:rPr>
          <w:sz w:val="20"/>
          <w:szCs w:val="20"/>
          <w:color w:val="auto"/>
        </w:rPr>
      </w:pPr>
    </w:p>
    <w:p>
      <w:pPr>
        <w:ind w:left="700" w:hanging="142"/>
        <w:spacing w:after="0"/>
        <w:tabs>
          <w:tab w:leader="none" w:pos="70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Available for Awards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right="319" w:firstLine="772"/>
        <w:spacing w:after="0" w:line="257"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Subject to adjustment under Section 8 hereof, Awards may be made under the Plan covering up to 10,000,000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372" w:name="page373"/>
    <w:bookmarkEnd w:id="372"/>
    <w:p>
      <w:pPr>
        <w:ind w:left="220" w:right="2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applicable exercise or purchase price of an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44" w:lineRule="exact"/>
        <w:rPr>
          <w:sz w:val="20"/>
          <w:szCs w:val="20"/>
          <w:color w:val="auto"/>
        </w:rPr>
      </w:pPr>
    </w:p>
    <w:p>
      <w:pPr>
        <w:ind w:left="220" w:right="279" w:firstLine="772"/>
        <w:spacing w:after="0" w:line="258"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Substitute Awards</w:t>
      </w:r>
      <w:r>
        <w:rPr>
          <w:rFonts w:ascii="Times New Roman" w:cs="Times New Roman" w:eastAsia="Times New Roman" w:hAnsi="Times New Roman"/>
          <w:sz w:val="14"/>
          <w:szCs w:val="14"/>
          <w:color w:val="auto"/>
        </w:rPr>
        <w:t>. In connection with a merger or consolidation of an entity with the Company or the acquisition by the Company of 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4.1 hereof, except as may be required by reason of Section 422 of the Code.</w:t>
      </w:r>
    </w:p>
    <w:p>
      <w:pPr>
        <w:spacing w:after="0" w:line="144" w:lineRule="exact"/>
        <w:rPr>
          <w:sz w:val="20"/>
          <w:szCs w:val="20"/>
          <w:color w:val="auto"/>
        </w:rPr>
      </w:pPr>
    </w:p>
    <w:p>
      <w:pPr>
        <w:ind w:left="700" w:hanging="142"/>
        <w:spacing w:after="0"/>
        <w:tabs>
          <w:tab w:leader="none" w:pos="7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right="259" w:firstLine="772"/>
        <w:spacing w:after="0" w:line="262"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Administrator may grant Options to any Service Provider, subject to the limitations on Incentive Stock Options described below. The Administrator shall determine the number of shares of Common Stock to be covered by each Option, the exercise price of each Option and the conditions and limitations applicable to the exercise of each Option, including conditions relating to Applicable Laws, as it considers necessary or advisable.</w:t>
      </w:r>
    </w:p>
    <w:p>
      <w:pPr>
        <w:spacing w:after="0" w:line="138" w:lineRule="exact"/>
        <w:rPr>
          <w:sz w:val="20"/>
          <w:szCs w:val="20"/>
          <w:color w:val="auto"/>
        </w:rPr>
      </w:pPr>
    </w:p>
    <w:p>
      <w:pPr>
        <w:ind w:left="220" w:right="239" w:firstLine="772"/>
        <w:spacing w:after="0" w:line="254"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Incentive Stock Options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73" w:name="page374"/>
    <w:bookmarkEnd w:id="373"/>
    <w:p>
      <w:pPr>
        <w:ind w:left="220" w:right="299" w:firstLine="772"/>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5.3 </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Administrator shall establish the exercise price of each Option and specify the exercise price in the applicable 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143" w:lineRule="exact"/>
        <w:rPr>
          <w:sz w:val="20"/>
          <w:szCs w:val="20"/>
          <w:color w:val="auto"/>
        </w:rPr>
      </w:pPr>
    </w:p>
    <w:p>
      <w:pPr>
        <w:ind w:left="220" w:right="259" w:firstLine="772"/>
        <w:spacing w:after="0" w:line="259"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Duration of Options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Each Option shall be exercisable at such times and subject to such terms and conditions as the Administrator may specify in the applicable Award Agreement,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141" w:lineRule="exact"/>
        <w:rPr>
          <w:sz w:val="20"/>
          <w:szCs w:val="20"/>
          <w:color w:val="auto"/>
        </w:rPr>
      </w:pPr>
    </w:p>
    <w:p>
      <w:pPr>
        <w:ind w:left="220" w:right="239" w:firstLine="772"/>
        <w:spacing w:after="0" w:line="255"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Exercise of Option; Notification of Disposition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Options may be exercised by delivery to the Company of a written notice of exercise, in a form approved by the Administrator (which may be an electronic form), signed by the person authorized to exercise the Option, together with payment in full (i) as specified in Section 5.6 hereof for the number of shares for which the Option is exercised and (ii) as specified in Section 9.5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143" w:lineRule="exact"/>
        <w:rPr>
          <w:sz w:val="20"/>
          <w:szCs w:val="20"/>
          <w:color w:val="auto"/>
        </w:rPr>
      </w:pPr>
    </w:p>
    <w:p>
      <w:pPr>
        <w:ind w:left="220" w:right="339" w:firstLine="772"/>
        <w:spacing w:after="0" w:line="286"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Payment Upon Exercise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Common Stock purchased upon the exercise of an Option granted under the Plan shall be paid for in cash or by check, payable to the order of the Company, or, to the extent permitted by the Administrator, by:</w:t>
      </w:r>
    </w:p>
    <w:p>
      <w:pPr>
        <w:spacing w:after="0" w:line="123" w:lineRule="exact"/>
        <w:rPr>
          <w:sz w:val="20"/>
          <w:szCs w:val="20"/>
          <w:color w:val="auto"/>
        </w:rPr>
      </w:pPr>
    </w:p>
    <w:p>
      <w:pPr>
        <w:ind w:left="220" w:right="359" w:firstLine="1110"/>
        <w:spacing w:after="0" w:line="261" w:lineRule="auto"/>
        <w:tabs>
          <w:tab w:leader="none" w:pos="1526"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delivery of an irrevocable and unconditional undertaking by a broker acceptable to the Company to deliver promptly to the Company sufficient funds to pay the exercise price and any required tax withholding, or (B) delivery by the Participant to the Company of a copy of irrevocable and unconditional instructions to a broker acceptable to the Company to deliver promptly to the Company cash or a check sufficient to pay the exercise price and any required tax withholding;</w:t>
      </w:r>
    </w:p>
    <w:p>
      <w:pPr>
        <w:spacing w:after="0" w:line="140" w:lineRule="exact"/>
        <w:rPr>
          <w:rFonts w:ascii="Times New Roman" w:cs="Times New Roman" w:eastAsia="Times New Roman" w:hAnsi="Times New Roman"/>
          <w:sz w:val="14"/>
          <w:szCs w:val="14"/>
          <w:color w:val="auto"/>
        </w:rPr>
      </w:pPr>
    </w:p>
    <w:p>
      <w:pPr>
        <w:ind w:left="220" w:right="399" w:firstLine="1110"/>
        <w:spacing w:after="0" w:line="261" w:lineRule="auto"/>
        <w:tabs>
          <w:tab w:leader="none" w:pos="1533"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(either by actual delivery or attestation) of shares of Common Stock owned by the Participant valued at their Fair Market Value, provided (A) such method of payment is then permitted under Applicable Laws, (B)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374" w:name="page375"/>
    <w:bookmarkEnd w:id="374"/>
    <w:p>
      <w:pPr>
        <w:ind w:left="1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 surrendering shares of Common Stock then issuable upon exercise of the Option valued at their Fair Market Value on the date of</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exercise;</w:t>
      </w:r>
    </w:p>
    <w:p>
      <w:pPr>
        <w:spacing w:after="0" w:line="161" w:lineRule="exact"/>
        <w:rPr>
          <w:sz w:val="20"/>
          <w:szCs w:val="20"/>
          <w:color w:val="auto"/>
        </w:rPr>
      </w:pPr>
    </w:p>
    <w:p>
      <w:pPr>
        <w:ind w:left="1520" w:hanging="190"/>
        <w:spacing w:after="0"/>
        <w:tabs>
          <w:tab w:leader="none" w:pos="15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of a promissory note of the Participant to the Company on terms determined by the Administrator;</w:t>
      </w:r>
    </w:p>
    <w:p>
      <w:pPr>
        <w:spacing w:after="0" w:line="175" w:lineRule="exact"/>
        <w:rPr>
          <w:rFonts w:ascii="Times New Roman" w:cs="Times New Roman" w:eastAsia="Times New Roman" w:hAnsi="Times New Roman"/>
          <w:sz w:val="14"/>
          <w:szCs w:val="14"/>
          <w:color w:val="auto"/>
        </w:rPr>
      </w:pPr>
    </w:p>
    <w:p>
      <w:pPr>
        <w:ind w:left="1520" w:hanging="190"/>
        <w:spacing w:after="0"/>
        <w:tabs>
          <w:tab w:leader="none" w:pos="152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of property of any other kind which constitutes good and valuable consideration as determined by the Administrator; or</w:t>
      </w:r>
    </w:p>
    <w:p>
      <w:pPr>
        <w:spacing w:after="0" w:line="175" w:lineRule="exact"/>
        <w:rPr>
          <w:rFonts w:ascii="Times New Roman" w:cs="Times New Roman" w:eastAsia="Times New Roman" w:hAnsi="Times New Roman"/>
          <w:sz w:val="14"/>
          <w:szCs w:val="14"/>
          <w:color w:val="auto"/>
        </w:rPr>
      </w:pPr>
    </w:p>
    <w:p>
      <w:pPr>
        <w:ind w:left="1500" w:hanging="170"/>
        <w:spacing w:after="0"/>
        <w:tabs>
          <w:tab w:leader="none" w:pos="15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above permitted forms of payment (including cash or check).</w:t>
      </w:r>
    </w:p>
    <w:p>
      <w:pPr>
        <w:spacing w:after="0" w:line="175" w:lineRule="exact"/>
        <w:rPr>
          <w:sz w:val="20"/>
          <w:szCs w:val="20"/>
          <w:color w:val="auto"/>
        </w:rPr>
      </w:pPr>
    </w:p>
    <w:p>
      <w:pPr>
        <w:jc w:val="both"/>
        <w:ind w:left="220" w:right="259" w:firstLine="1544"/>
        <w:spacing w:after="0" w:line="261"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Early Exercise of Options</w:t>
      </w:r>
      <w:r>
        <w:rPr>
          <w:rFonts w:ascii="Times New Roman" w:cs="Times New Roman" w:eastAsia="Times New Roman" w:hAnsi="Times New Roman"/>
          <w:sz w:val="14"/>
          <w:szCs w:val="14"/>
          <w:color w:val="auto"/>
        </w:rPr>
        <w:t>. The Administrator may provide in the terms of an Award Agreement that the Service Provider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39" w:lineRule="exact"/>
        <w:rPr>
          <w:sz w:val="20"/>
          <w:szCs w:val="20"/>
          <w:color w:val="auto"/>
        </w:rPr>
      </w:pPr>
    </w:p>
    <w:p>
      <w:pPr>
        <w:ind w:left="700" w:hanging="142"/>
        <w:spacing w:after="0"/>
        <w:tabs>
          <w:tab w:leader="none" w:pos="70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Restricted Stock Units</w:t>
      </w:r>
      <w:r>
        <w:rPr>
          <w:rFonts w:ascii="Times New Roman" w:cs="Times New Roman" w:eastAsia="Times New Roman" w:hAnsi="Times New Roman"/>
          <w:sz w:val="14"/>
          <w:szCs w:val="14"/>
          <w:i w:val="1"/>
          <w:iCs w:val="1"/>
          <w:color w:val="auto"/>
        </w:rPr>
        <w:t>.</w:t>
      </w:r>
    </w:p>
    <w:p>
      <w:pPr>
        <w:spacing w:after="0" w:line="177" w:lineRule="exact"/>
        <w:rPr>
          <w:sz w:val="20"/>
          <w:szCs w:val="20"/>
          <w:color w:val="auto"/>
        </w:rPr>
      </w:pPr>
    </w:p>
    <w:p>
      <w:pPr>
        <w:ind w:left="220" w:right="319" w:firstLine="772"/>
        <w:spacing w:after="0" w:line="257"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Administrator may grant Restricted Stock, or the right to purchase Restricted Stock, to any Service Provider, subject to 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spacing w:after="0" w:line="143" w:lineRule="exact"/>
        <w:rPr>
          <w:sz w:val="20"/>
          <w:szCs w:val="20"/>
          <w:color w:val="auto"/>
        </w:rPr>
      </w:pPr>
    </w:p>
    <w:p>
      <w:pPr>
        <w:ind w:left="220" w:right="239" w:firstLine="772"/>
        <w:spacing w:after="0" w:line="267"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Terms and Conditions for All Restricted Stock and Restricted Stock Unit Awards</w:t>
      </w:r>
      <w:r>
        <w:rPr>
          <w:rFonts w:ascii="Times New Roman" w:cs="Times New Roman" w:eastAsia="Times New Roman" w:hAnsi="Times New Roman"/>
          <w:sz w:val="14"/>
          <w:szCs w:val="14"/>
          <w:color w:val="auto"/>
        </w:rPr>
        <w:t>. The Administrator shall determine and set forth in the applicable Award Agreement the terms and conditions applicable to each Restricted Stock and Restricted Stock Unit Award, including the conditions for vesting and repurchase (or forfeiture) and the issue price, in each case, if any.</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Additional Provisions Relating to Restricted Stock</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right="239" w:firstLine="1110"/>
        <w:spacing w:after="0" w:line="257" w:lineRule="auto"/>
        <w:tabs>
          <w:tab w:leader="none" w:pos="1525"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Participants holding shares of Restricted Stock will be entitled to all ordinary cash dividends paid with respect to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to the extent such dividends have a record date that is on or after the date on which the Participant to whom such shares of Restricted Stock are granted becomes the record holder of such shares of Restricted Stock,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Each</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75" w:name="page376"/>
    <w:bookmarkEnd w:id="375"/>
    <w:p>
      <w:pPr>
        <w:ind w:left="220" w:right="39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dividend payment will be made as provided in the applicable Award Agreement, but in no event later than the end of the calendar year in which the dividends are paid to stockholders of that class of stock or, if later, the 15th day of the third month following the later of (A) the date the dividends are paid to stockholders of that class of stock, and (B) the date the dividends are no longer subject to forfeiture.</w:t>
      </w:r>
    </w:p>
    <w:p>
      <w:pPr>
        <w:spacing w:after="0" w:line="134" w:lineRule="exact"/>
        <w:rPr>
          <w:sz w:val="20"/>
          <w:szCs w:val="20"/>
          <w:color w:val="auto"/>
        </w:rPr>
      </w:pPr>
    </w:p>
    <w:p>
      <w:pPr>
        <w:ind w:left="220" w:right="679" w:firstLine="1110"/>
        <w:spacing w:after="0" w:line="286" w:lineRule="auto"/>
        <w:tabs>
          <w:tab w:leader="none" w:pos="1533"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Certificates</w:t>
      </w:r>
      <w:r>
        <w:rPr>
          <w:rFonts w:ascii="Times New Roman" w:cs="Times New Roman" w:eastAsia="Times New Roman" w:hAnsi="Times New Roman"/>
          <w:sz w:val="14"/>
          <w:szCs w:val="14"/>
          <w:color w:val="auto"/>
        </w:rPr>
        <w:t>. The Company may require that any stock</w:t>
      </w:r>
      <w:r>
        <w:rPr>
          <w:rFonts w:ascii="Times New Roman" w:cs="Times New Roman" w:eastAsia="Times New Roman" w:hAnsi="Times New Roman"/>
          <w:sz w:val="14"/>
          <w:szCs w:val="14"/>
          <w:i w:val="1"/>
          <w:iCs w:val="1"/>
          <w:color w:val="auto"/>
        </w:rPr>
        <w:t xml:space="preserve"> certificates </w:t>
      </w:r>
      <w:r>
        <w:rPr>
          <w:rFonts w:ascii="Times New Roman" w:cs="Times New Roman" w:eastAsia="Times New Roman" w:hAnsi="Times New Roman"/>
          <w:sz w:val="14"/>
          <w:szCs w:val="14"/>
          <w:color w:val="auto"/>
        </w:rPr>
        <w:t>issued in respect of shares of Restricted Stock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deposited in escrow by the Participant, together with a stock power endorsed in blank, with the Company (or its designee).</w:t>
      </w:r>
    </w:p>
    <w:p>
      <w:pPr>
        <w:spacing w:after="0" w:line="1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Additional Provisions Relating to Restricted Stock Units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right="339" w:firstLine="1110"/>
        <w:spacing w:after="0" w:line="259" w:lineRule="auto"/>
        <w:tabs>
          <w:tab w:leader="none" w:pos="1525"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Settlement</w:t>
      </w:r>
      <w:r>
        <w:rPr>
          <w:rFonts w:ascii="Times New Roman" w:cs="Times New Roman" w:eastAsia="Times New Roman" w:hAnsi="Times New Roman"/>
          <w:sz w:val="14"/>
          <w:szCs w:val="14"/>
          <w:color w:val="auto"/>
        </w:rPr>
        <w:t>. Upon the vesting of a Restricted Stock Unit, the Participant</w:t>
      </w:r>
      <w:r>
        <w:rPr>
          <w:rFonts w:ascii="Times New Roman" w:cs="Times New Roman" w:eastAsia="Times New Roman" w:hAnsi="Times New Roman"/>
          <w:sz w:val="14"/>
          <w:szCs w:val="14"/>
          <w:i w:val="1"/>
          <w:iCs w:val="1"/>
          <w:color w:val="auto"/>
        </w:rPr>
        <w:t xml:space="preserve"> shall </w:t>
      </w:r>
      <w:r>
        <w:rPr>
          <w:rFonts w:ascii="Times New Roman" w:cs="Times New Roman" w:eastAsia="Times New Roman" w:hAnsi="Times New Roman"/>
          <w:sz w:val="14"/>
          <w:szCs w:val="14"/>
          <w:color w:val="auto"/>
        </w:rPr>
        <w:t>be entitled to receive from the Company one share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Common Stock or an amount of cash or other property equal to the Fair Market Value of one share of Common Stock on the settlement date, as the Administrator shall determine and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w:t>
      </w:r>
    </w:p>
    <w:p>
      <w:pPr>
        <w:spacing w:after="0" w:line="140" w:lineRule="exact"/>
        <w:rPr>
          <w:rFonts w:ascii="Times New Roman" w:cs="Times New Roman" w:eastAsia="Times New Roman" w:hAnsi="Times New Roman"/>
          <w:sz w:val="14"/>
          <w:szCs w:val="14"/>
          <w:color w:val="auto"/>
        </w:rPr>
      </w:pPr>
    </w:p>
    <w:p>
      <w:pPr>
        <w:ind w:left="220" w:right="499" w:firstLine="1110"/>
        <w:spacing w:after="0" w:line="286" w:lineRule="auto"/>
        <w:tabs>
          <w:tab w:leader="none" w:pos="1533"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A Participant shall have no voting rights with respect to any Restricted Stock Units unless and until shares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in settlement thereof.</w:t>
      </w:r>
    </w:p>
    <w:p>
      <w:pPr>
        <w:spacing w:after="0" w:line="120" w:lineRule="exact"/>
        <w:rPr>
          <w:rFonts w:ascii="Times New Roman" w:cs="Times New Roman" w:eastAsia="Times New Roman" w:hAnsi="Times New Roman"/>
          <w:sz w:val="14"/>
          <w:szCs w:val="14"/>
          <w:color w:val="auto"/>
        </w:rPr>
      </w:pPr>
    </w:p>
    <w:p>
      <w:pPr>
        <w:ind w:left="220" w:right="319" w:firstLine="1110"/>
        <w:spacing w:after="0" w:line="259" w:lineRule="auto"/>
        <w:tabs>
          <w:tab w:leader="none" w:pos="1525"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Dividend Equivalents</w:t>
      </w:r>
      <w:r>
        <w:rPr>
          <w:rFonts w:ascii="Times New Roman" w:cs="Times New Roman" w:eastAsia="Times New Roman" w:hAnsi="Times New Roman"/>
          <w:sz w:val="14"/>
          <w:szCs w:val="14"/>
          <w:color w:val="auto"/>
        </w:rPr>
        <w:t>. To the extent provided by the Administrator, a grant of Restricted Stock Units may provide a Participant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spacing w:after="0" w:line="140"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Stock-Based Awards</w:t>
      </w:r>
      <w:r>
        <w:rPr>
          <w:rFonts w:ascii="Times New Roman" w:cs="Times New Roman" w:eastAsia="Times New Roman" w:hAnsi="Times New Roman"/>
          <w:sz w:val="14"/>
          <w:szCs w:val="14"/>
          <w:i w:val="1"/>
          <w:iCs w:val="1"/>
          <w:color w:val="auto"/>
        </w:rPr>
        <w:t>.</w:t>
      </w:r>
    </w:p>
    <w:p>
      <w:pPr>
        <w:spacing w:after="0" w:line="177" w:lineRule="exact"/>
        <w:rPr>
          <w:sz w:val="20"/>
          <w:szCs w:val="20"/>
          <w:color w:val="auto"/>
        </w:rPr>
      </w:pPr>
    </w:p>
    <w:p>
      <w:pPr>
        <w:ind w:left="220" w:right="459" w:firstLine="772"/>
        <w:spacing w:after="0" w:line="256" w:lineRule="auto"/>
        <w:rPr>
          <w:sz w:val="20"/>
          <w:szCs w:val="20"/>
          <w:color w:val="auto"/>
        </w:rPr>
      </w:pPr>
      <w:r>
        <w:rPr>
          <w:rFonts w:ascii="Times New Roman" w:cs="Times New Roman" w:eastAsia="Times New Roman" w:hAnsi="Times New Roman"/>
          <w:sz w:val="14"/>
          <w:szCs w:val="14"/>
          <w:color w:val="auto"/>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any purchase price, transfer restrictions, vesting conditions and other terms and conditions applicable thereto, which shall be set forth in the applicable Award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376" w:name="page377"/>
    <w:bookmarkEnd w:id="376"/>
    <w:p>
      <w:pPr>
        <w:ind w:left="700" w:hanging="142"/>
        <w:spacing w:after="0"/>
        <w:tabs>
          <w:tab w:leader="none" w:pos="7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Adjustments for Changes in Common Stock and Certain Other Events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72"/>
        <w:spacing w:after="0" w:line="256" w:lineRule="auto"/>
        <w:rPr>
          <w:sz w:val="20"/>
          <w:szCs w:val="20"/>
          <w:color w:val="auto"/>
        </w:rPr>
      </w:pPr>
      <w:r>
        <w:rPr>
          <w:rFonts w:ascii="Times New Roman" w:cs="Times New Roman" w:eastAsia="Times New Roman" w:hAnsi="Times New Roman"/>
          <w:sz w:val="14"/>
          <w:szCs w:val="14"/>
          <w:color w:val="auto"/>
        </w:rPr>
        <w:t>8.1 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144" w:lineRule="exact"/>
        <w:rPr>
          <w:sz w:val="20"/>
          <w:szCs w:val="20"/>
          <w:color w:val="auto"/>
        </w:rPr>
      </w:pPr>
    </w:p>
    <w:p>
      <w:pPr>
        <w:jc w:val="both"/>
        <w:ind w:left="220" w:right="359" w:firstLine="1110"/>
        <w:spacing w:after="0" w:line="267" w:lineRule="auto"/>
        <w:tabs>
          <w:tab w:leader="none" w:pos="1526"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 and kind of shares of Common Stock (or other securities or property) with respect to which Awards may be granted or awarded (including, but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limited to, adjustments of the limitations in Section 4 hereof on the maximum number and kind of shares which may be issued);</w:t>
      </w:r>
    </w:p>
    <w:p>
      <w:pPr>
        <w:spacing w:after="0" w:line="135" w:lineRule="exact"/>
        <w:rPr>
          <w:rFonts w:ascii="Times New Roman" w:cs="Times New Roman" w:eastAsia="Times New Roman" w:hAnsi="Times New Roman"/>
          <w:sz w:val="14"/>
          <w:szCs w:val="14"/>
          <w:color w:val="auto"/>
        </w:rPr>
      </w:pPr>
    </w:p>
    <w:p>
      <w:pPr>
        <w:ind w:left="1520" w:hanging="190"/>
        <w:spacing w:after="0"/>
        <w:tabs>
          <w:tab w:leader="none" w:pos="152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kind of shares of Common Stock (or other securities or property) subject to outstanding Awards;</w:t>
      </w:r>
    </w:p>
    <w:p>
      <w:pPr>
        <w:spacing w:after="0" w:line="175" w:lineRule="exact"/>
        <w:rPr>
          <w:rFonts w:ascii="Times New Roman" w:cs="Times New Roman" w:eastAsia="Times New Roman" w:hAnsi="Times New Roman"/>
          <w:sz w:val="14"/>
          <w:szCs w:val="14"/>
          <w:color w:val="auto"/>
        </w:rPr>
      </w:pPr>
    </w:p>
    <w:p>
      <w:pPr>
        <w:ind w:left="1520" w:hanging="190"/>
        <w:spacing w:after="0"/>
        <w:tabs>
          <w:tab w:leader="none" w:pos="152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or exercise price with respect to any Award; and</w:t>
      </w:r>
    </w:p>
    <w:p>
      <w:pPr>
        <w:spacing w:after="0" w:line="175" w:lineRule="exact"/>
        <w:rPr>
          <w:rFonts w:ascii="Times New Roman" w:cs="Times New Roman" w:eastAsia="Times New Roman" w:hAnsi="Times New Roman"/>
          <w:sz w:val="14"/>
          <w:szCs w:val="14"/>
          <w:color w:val="auto"/>
        </w:rPr>
      </w:pPr>
    </w:p>
    <w:p>
      <w:pPr>
        <w:ind w:left="220" w:right="419" w:firstLine="1110"/>
        <w:spacing w:after="0" w:line="283" w:lineRule="auto"/>
        <w:tabs>
          <w:tab w:leader="none" w:pos="1533"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any Awards (including, without limitation, any applicable financial or other performance “targets” specified in an Award Agreement).</w:t>
      </w:r>
    </w:p>
    <w:p>
      <w:pPr>
        <w:spacing w:after="0" w:line="125" w:lineRule="exact"/>
        <w:rPr>
          <w:sz w:val="20"/>
          <w:szCs w:val="20"/>
          <w:color w:val="auto"/>
        </w:rPr>
      </w:pPr>
    </w:p>
    <w:p>
      <w:pPr>
        <w:ind w:left="220" w:right="279" w:firstLine="772"/>
        <w:spacing w:after="0" w:line="256" w:lineRule="auto"/>
        <w:rPr>
          <w:sz w:val="20"/>
          <w:szCs w:val="20"/>
          <w:color w:val="auto"/>
        </w:rPr>
      </w:pPr>
      <w:r>
        <w:rPr>
          <w:rFonts w:ascii="Times New Roman" w:cs="Times New Roman" w:eastAsia="Times New Roman" w:hAnsi="Times New Roman"/>
          <w:sz w:val="14"/>
          <w:szCs w:val="14"/>
          <w:color w:val="auto"/>
        </w:rPr>
        <w:t>8.2 In the event of any transaction or event described in Section 8.1 hereof (including without limitation any Change in Control) or any unusual or nonrecurring transaction or event affecting the Company or the financial statements of the Company, or any change in any Applicable Laws or accounting principles, the Administrator,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r>
        <w:rPr>
          <w:rFonts w:ascii="Times New Roman" w:cs="Times New Roman" w:eastAsia="Times New Roman" w:hAnsi="Times New Roman"/>
          <w:sz w:val="14"/>
          <w:szCs w:val="14"/>
          <w:b w:val="1"/>
          <w:bCs w:val="1"/>
          <w:color w:val="auto"/>
        </w:rPr>
        <w:t>:</w:t>
      </w:r>
    </w:p>
    <w:p>
      <w:pPr>
        <w:spacing w:after="0" w:line="144" w:lineRule="exact"/>
        <w:rPr>
          <w:sz w:val="20"/>
          <w:szCs w:val="20"/>
          <w:color w:val="auto"/>
        </w:rPr>
      </w:pPr>
    </w:p>
    <w:p>
      <w:pPr>
        <w:ind w:left="220" w:right="279" w:firstLine="1110"/>
        <w:spacing w:after="0" w:line="258" w:lineRule="auto"/>
        <w:tabs>
          <w:tab w:leader="none" w:pos="1526"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if the amount that could have been obtained upon the exercise or settlement of the vested portion of such Award or realization of the Participant’s rights, in any case, is equal to or less than zero, then the vested portion of such Award may be terminated without payment;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377" w:name="page378"/>
    <w:bookmarkEnd w:id="377"/>
    <w:p>
      <w:pPr>
        <w:ind w:left="220" w:right="1079" w:firstLine="1110"/>
        <w:spacing w:after="0" w:line="283" w:lineRule="auto"/>
        <w:tabs>
          <w:tab w:leader="none" w:pos="1533"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To provide that such Award shall vest and, to the extent applicable, be exercisable as to all shares covered thereby, notwithstanding anything to the contrary in the Plan or the provisions of such Award;</w:t>
      </w:r>
    </w:p>
    <w:p>
      <w:pPr>
        <w:spacing w:after="0" w:line="124" w:lineRule="exact"/>
        <w:rPr>
          <w:rFonts w:ascii="Times New Roman" w:cs="Times New Roman" w:eastAsia="Times New Roman" w:hAnsi="Times New Roman"/>
          <w:sz w:val="14"/>
          <w:szCs w:val="14"/>
          <w:color w:val="auto"/>
        </w:rPr>
      </w:pPr>
    </w:p>
    <w:p>
      <w:pPr>
        <w:ind w:left="220" w:right="359" w:firstLine="1110"/>
        <w:spacing w:after="0" w:line="267" w:lineRule="auto"/>
        <w:tabs>
          <w:tab w:leader="none" w:pos="1526"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35" w:lineRule="exact"/>
        <w:rPr>
          <w:rFonts w:ascii="Times New Roman" w:cs="Times New Roman" w:eastAsia="Times New Roman" w:hAnsi="Times New Roman"/>
          <w:sz w:val="14"/>
          <w:szCs w:val="14"/>
          <w:color w:val="auto"/>
        </w:rPr>
      </w:pPr>
    </w:p>
    <w:p>
      <w:pPr>
        <w:ind w:left="220" w:right="319" w:firstLine="1110"/>
        <w:spacing w:after="0" w:line="267" w:lineRule="auto"/>
        <w:tabs>
          <w:tab w:leader="none" w:pos="1533"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adjustments in the number and type of shares of Common Stock (or other securities or property) subject to outstanding Awards, and/or in the terms and conditions of (including the grant or exercise price), and the criteria included in, outstanding Awards which may be granted in the future;</w:t>
      </w:r>
    </w:p>
    <w:p>
      <w:pPr>
        <w:spacing w:after="0" w:line="135" w:lineRule="exact"/>
        <w:rPr>
          <w:rFonts w:ascii="Times New Roman" w:cs="Times New Roman" w:eastAsia="Times New Roman" w:hAnsi="Times New Roman"/>
          <w:sz w:val="14"/>
          <w:szCs w:val="14"/>
          <w:color w:val="auto"/>
        </w:rPr>
      </w:pPr>
    </w:p>
    <w:p>
      <w:pPr>
        <w:ind w:left="1520" w:hanging="190"/>
        <w:spacing w:after="0"/>
        <w:tabs>
          <w:tab w:leader="none" w:pos="152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replace such Award with other rights or property selected by the Administrator; and/or</w:t>
      </w:r>
    </w:p>
    <w:p>
      <w:pPr>
        <w:spacing w:after="0" w:line="175" w:lineRule="exact"/>
        <w:rPr>
          <w:rFonts w:ascii="Times New Roman" w:cs="Times New Roman" w:eastAsia="Times New Roman" w:hAnsi="Times New Roman"/>
          <w:sz w:val="14"/>
          <w:szCs w:val="14"/>
          <w:color w:val="auto"/>
        </w:rPr>
      </w:pPr>
    </w:p>
    <w:p>
      <w:pPr>
        <w:ind w:left="1500" w:hanging="170"/>
        <w:spacing w:after="0"/>
        <w:tabs>
          <w:tab w:leader="none" w:pos="150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that the Award will terminate and cannot vest, be exercised or become payable after the applicable event.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8.3 In connection with the occurrence of any Equity Restructuring, and notwithstanding anything to the contrary in this Section 8, the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Administrator will equitably adjust each outstanding Award, which adjustments may include adjustments to the number and type of securities subject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each outstanding Award and/or the exercise price or grant price thereof, if applicable, the grant of new Awards to Participants, and/or the making of a</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cash payment to Participants, as the Administrator deems appropriate to reflect such Equity Restructuring. The adjustments provided under this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 xml:space="preserve">Section 8.3 shall be nondiscretionary and shall be final and binding on the affected Participant and the Company;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whether an adjustment is</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equitable shall be determined by the Administrator.</w:t>
      </w:r>
    </w:p>
    <w:p>
      <w:pPr>
        <w:spacing w:after="0" w:line="161" w:lineRule="exact"/>
        <w:rPr>
          <w:sz w:val="20"/>
          <w:szCs w:val="20"/>
          <w:color w:val="auto"/>
        </w:rPr>
      </w:pPr>
    </w:p>
    <w:p>
      <w:pPr>
        <w:jc w:val="both"/>
        <w:ind w:left="220" w:right="319" w:firstLine="772"/>
        <w:spacing w:after="0" w:line="261" w:lineRule="auto"/>
        <w:rPr>
          <w:sz w:val="20"/>
          <w:szCs w:val="20"/>
          <w:color w:val="auto"/>
        </w:rPr>
      </w:pPr>
      <w:r>
        <w:rPr>
          <w:rFonts w:ascii="Times New Roman" w:cs="Times New Roman" w:eastAsia="Times New Roman" w:hAnsi="Times New Roman"/>
          <w:sz w:val="14"/>
          <w:szCs w:val="14"/>
          <w:color w:val="auto"/>
        </w:rPr>
        <w:t>8.4 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Equity Restructuring, for reasons of administrative convenience the Administrator may refuse to permit the exercise of any Award during a period of up to thirty days prior to the consummation of any such transaction.</w:t>
      </w:r>
    </w:p>
    <w:p>
      <w:pPr>
        <w:spacing w:after="0" w:line="141" w:lineRule="exact"/>
        <w:rPr>
          <w:sz w:val="20"/>
          <w:szCs w:val="20"/>
          <w:color w:val="auto"/>
        </w:rPr>
      </w:pPr>
    </w:p>
    <w:p>
      <w:pPr>
        <w:ind w:left="220" w:right="299" w:firstLine="772"/>
        <w:spacing w:after="0" w:line="257" w:lineRule="auto"/>
        <w:rPr>
          <w:sz w:val="20"/>
          <w:szCs w:val="20"/>
          <w:color w:val="auto"/>
        </w:rPr>
      </w:pPr>
      <w:r>
        <w:rPr>
          <w:rFonts w:ascii="Times New Roman" w:cs="Times New Roman" w:eastAsia="Times New Roman" w:hAnsi="Times New Roman"/>
          <w:sz w:val="14"/>
          <w:szCs w:val="14"/>
          <w:color w:val="auto"/>
        </w:rPr>
        <w:t>8.5 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an Award or the grant or exercise price of any Award. The existence of the Plan,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78" w:name="page379"/>
    <w:bookmarkEnd w:id="378"/>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Award Agreements and the Awards granted hereunder shall not affect or restrict in any way the right or power of the Company to make or authorize</w:t>
      </w:r>
    </w:p>
    <w:p>
      <w:pPr>
        <w:spacing w:after="0" w:line="22" w:lineRule="exact"/>
        <w:rPr>
          <w:sz w:val="20"/>
          <w:szCs w:val="20"/>
          <w:color w:val="auto"/>
        </w:rPr>
      </w:pPr>
    </w:p>
    <w:p>
      <w:pPr>
        <w:ind w:left="220" w:right="459" w:hanging="5"/>
        <w:spacing w:after="0" w:line="254" w:lineRule="auto"/>
        <w:tabs>
          <w:tab w:leader="none" w:pos="387"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Section 8.</w:t>
      </w:r>
    </w:p>
    <w:p>
      <w:pPr>
        <w:spacing w:after="0" w:line="142"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Provisions Applicable to Awards</w:t>
      </w:r>
      <w:r>
        <w:rPr>
          <w:rFonts w:ascii="Times New Roman" w:cs="Times New Roman" w:eastAsia="Times New Roman" w:hAnsi="Times New Roman"/>
          <w:sz w:val="14"/>
          <w:szCs w:val="14"/>
          <w:i w:val="1"/>
          <w:iCs w:val="1"/>
          <w:color w:val="auto"/>
        </w:rPr>
        <w:t>.</w:t>
      </w:r>
    </w:p>
    <w:p>
      <w:pPr>
        <w:spacing w:after="0" w:line="175" w:lineRule="exact"/>
        <w:rPr>
          <w:sz w:val="20"/>
          <w:szCs w:val="20"/>
          <w:color w:val="auto"/>
        </w:rPr>
      </w:pPr>
    </w:p>
    <w:p>
      <w:pPr>
        <w:ind w:left="220" w:right="359" w:firstLine="772"/>
        <w:spacing w:after="0" w:line="288"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Transferability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Except as the Administrator may otherwise determine or provide in an Award Agreement or otherwise, in any case in accordance with Applicable Laws,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23" w:lineRule="exact"/>
        <w:rPr>
          <w:sz w:val="20"/>
          <w:szCs w:val="20"/>
          <w:color w:val="auto"/>
        </w:rPr>
      </w:pPr>
    </w:p>
    <w:p>
      <w:pPr>
        <w:ind w:left="220" w:right="279" w:firstLine="772"/>
        <w:spacing w:after="0" w:line="286"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Documentation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Each Award shall be evidenced in an Award Agreement, which may be in such form (written, electronic or otherwise) as the Administrator shall determine. Each Award may contain terms and conditions in addition to those set forth in the Plan.</w:t>
      </w:r>
    </w:p>
    <w:p>
      <w:pPr>
        <w:spacing w:after="0" w:line="121" w:lineRule="exact"/>
        <w:rPr>
          <w:sz w:val="20"/>
          <w:szCs w:val="20"/>
          <w:color w:val="auto"/>
        </w:rPr>
      </w:pPr>
    </w:p>
    <w:p>
      <w:pPr>
        <w:ind w:left="220" w:right="299" w:firstLine="772"/>
        <w:spacing w:after="0" w:line="268" w:lineRule="auto"/>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Discretion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Except as otherwise provided by the Plan, each Award may be made alone or in addition or in relation to any other Award. The terms of each Award to a Participant need not be identical, and the Administrator need not treat Participants or Awards (or portions thereof) uniformly.</w:t>
      </w:r>
    </w:p>
    <w:p>
      <w:pPr>
        <w:spacing w:after="0" w:line="133" w:lineRule="exact"/>
        <w:rPr>
          <w:sz w:val="20"/>
          <w:szCs w:val="20"/>
          <w:color w:val="auto"/>
        </w:rPr>
      </w:pPr>
    </w:p>
    <w:p>
      <w:pPr>
        <w:ind w:left="220" w:right="239" w:firstLine="772"/>
        <w:spacing w:after="0" w:line="268"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Termination of Status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Administrator shall determine the effect on an Award of the disability, death, retirement, authorized leave of 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spacing w:after="0" w:line="133" w:lineRule="exact"/>
        <w:rPr>
          <w:sz w:val="20"/>
          <w:szCs w:val="20"/>
          <w:color w:val="auto"/>
        </w:rPr>
      </w:pPr>
    </w:p>
    <w:p>
      <w:pPr>
        <w:ind w:left="220" w:right="259" w:firstLine="772"/>
        <w:spacing w:after="0" w:line="257"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Each Participant shall pay to the Company, or make provision satisfactory to the Administrator for payment of, any taxes required by law to be withheld in connection with Awards to such Participant no later than the date of the event creating the tax liability. Except as the Administrator may otherwise determine, all such payments shall be made in cash or by certified check. Notwithstanding the foregoing, to the extent permitted by the Administrator, Participants may satisfy such tax obligations in whole or in part by delivery of shares of Common Stock, including shares retained from the Award creating the tax obligation, valued at their Fair Market Value. The Company may, to the extent permitted by Applicable Laws, deduct any such tax obligations from any payment of any kind otherwise due to a Participant.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79" w:name="page380"/>
    <w:bookmarkEnd w:id="379"/>
    <w:p>
      <w:pPr>
        <w:ind w:left="220" w:right="399" w:firstLine="772"/>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9.6 </w:t>
      </w:r>
      <w:r>
        <w:rPr>
          <w:rFonts w:ascii="Times New Roman" w:cs="Times New Roman" w:eastAsia="Times New Roman" w:hAnsi="Times New Roman"/>
          <w:sz w:val="14"/>
          <w:szCs w:val="14"/>
          <w:u w:val="single" w:color="auto"/>
          <w:color w:val="auto"/>
        </w:rPr>
        <w:t>Amendment of Award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Section 8 and 10.6 hereof.</w:t>
      </w:r>
    </w:p>
    <w:p>
      <w:pPr>
        <w:spacing w:after="0" w:line="141" w:lineRule="exact"/>
        <w:rPr>
          <w:sz w:val="20"/>
          <w:szCs w:val="20"/>
          <w:color w:val="auto"/>
        </w:rPr>
      </w:pPr>
    </w:p>
    <w:p>
      <w:pPr>
        <w:ind w:left="220" w:right="239" w:firstLine="772"/>
        <w:spacing w:after="0" w:line="255" w:lineRule="auto"/>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Conditions on Delivery of Stock</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spacing w:after="0" w:line="145" w:lineRule="exact"/>
        <w:rPr>
          <w:sz w:val="20"/>
          <w:szCs w:val="20"/>
          <w:color w:val="auto"/>
        </w:rPr>
      </w:pPr>
    </w:p>
    <w:p>
      <w:pPr>
        <w:ind w:left="220" w:right="239" w:firstLine="772"/>
        <w:spacing w:after="0" w:line="286"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Acceleration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Administrator may at any time provide that any Award shall become immediately vested and/or exercisable in full or in part, free of some or all restrictions or conditions, or otherwise realizable in full or in part, as the case may be.</w:t>
      </w:r>
    </w:p>
    <w:p>
      <w:pPr>
        <w:spacing w:after="0" w:line="121" w:lineRule="exact"/>
        <w:rPr>
          <w:sz w:val="20"/>
          <w:szCs w:val="20"/>
          <w:color w:val="auto"/>
        </w:rPr>
      </w:pPr>
    </w:p>
    <w:p>
      <w:pPr>
        <w:ind w:left="760" w:hanging="202"/>
        <w:spacing w:after="0"/>
        <w:tabs>
          <w:tab w:leader="none" w:pos="76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i w:val="1"/>
          <w:iCs w:val="1"/>
          <w:color w:val="auto"/>
        </w:rPr>
        <w:t>.</w:t>
      </w:r>
    </w:p>
    <w:p>
      <w:pPr>
        <w:spacing w:after="0" w:line="175" w:lineRule="exact"/>
        <w:rPr>
          <w:sz w:val="20"/>
          <w:szCs w:val="20"/>
          <w:color w:val="auto"/>
        </w:rPr>
      </w:pPr>
    </w:p>
    <w:p>
      <w:pPr>
        <w:ind w:left="220" w:right="259" w:firstLine="772"/>
        <w:spacing w:after="0" w:line="262"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No Right To Employment or Other Status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applicable Award Agreement.</w:t>
      </w:r>
    </w:p>
    <w:p>
      <w:pPr>
        <w:spacing w:after="0" w:line="138" w:lineRule="exact"/>
        <w:rPr>
          <w:sz w:val="20"/>
          <w:szCs w:val="20"/>
          <w:color w:val="auto"/>
        </w:rPr>
      </w:pPr>
    </w:p>
    <w:p>
      <w:pPr>
        <w:ind w:left="220" w:right="399" w:firstLine="772"/>
        <w:spacing w:after="0" w:line="256"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No Rights As Stockholder; Certificates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Subject to the provisions of the applicable Award Agreement,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any stock certificates issued under the Plan deemed necessary or appropriate by the Administrator in order to comply with Applicable Laws.</w:t>
      </w:r>
    </w:p>
    <w:p>
      <w:pPr>
        <w:spacing w:after="0" w:line="144" w:lineRule="exact"/>
        <w:rPr>
          <w:sz w:val="20"/>
          <w:szCs w:val="20"/>
          <w:color w:val="auto"/>
        </w:rPr>
      </w:pPr>
    </w:p>
    <w:p>
      <w:pPr>
        <w:ind w:left="220" w:right="219" w:firstLine="772"/>
        <w:spacing w:after="0" w:line="262" w:lineRule="auto"/>
        <w:rPr>
          <w:sz w:val="20"/>
          <w:szCs w:val="20"/>
          <w:color w:val="auto"/>
        </w:rPr>
      </w:pPr>
      <w:r>
        <w:rPr>
          <w:rFonts w:ascii="Times New Roman" w:cs="Times New Roman" w:eastAsia="Times New Roman" w:hAnsi="Times New Roman"/>
          <w:sz w:val="14"/>
          <w:szCs w:val="14"/>
          <w:color w:val="auto"/>
        </w:rPr>
        <w:t xml:space="preserve">10.3 </w:t>
      </w:r>
      <w:r>
        <w:rPr>
          <w:rFonts w:ascii="Times New Roman" w:cs="Times New Roman" w:eastAsia="Times New Roman" w:hAnsi="Times New Roman"/>
          <w:sz w:val="14"/>
          <w:szCs w:val="14"/>
          <w:u w:val="single" w:color="auto"/>
          <w:color w:val="auto"/>
        </w:rPr>
        <w:t>Effective Date and Term of Plan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Plan shall become effective on the date on which it is adopted by the Board. No Awards shall be granted under the Plan after the completion of ten years from the earlier of (i) the date on which the Plan was adopted by the Board or (ii) the date the Plan was approved by the Company’s stockholders, but Awards previously granted may extend beyond that date in accordance with the terms of the Plan.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380" w:name="page381"/>
    <w:bookmarkEnd w:id="380"/>
    <w:p>
      <w:pPr>
        <w:ind w:left="220" w:right="319" w:firstLine="772"/>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10.4 </w:t>
      </w:r>
      <w:r>
        <w:rPr>
          <w:rFonts w:ascii="Times New Roman" w:cs="Times New Roman" w:eastAsia="Times New Roman" w:hAnsi="Times New Roman"/>
          <w:sz w:val="14"/>
          <w:szCs w:val="14"/>
          <w:u w:val="single" w:color="auto"/>
          <w:color w:val="auto"/>
        </w:rPr>
        <w:t>Amendment of Plan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Administrator may amend, suspend or terminate the Plan or any portion thereof at any time;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no amendment of the Plan shall materially and adversely affect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spacing w:after="0" w:line="143" w:lineRule="exact"/>
        <w:rPr>
          <w:sz w:val="20"/>
          <w:szCs w:val="20"/>
          <w:color w:val="auto"/>
        </w:rPr>
      </w:pPr>
    </w:p>
    <w:p>
      <w:pPr>
        <w:ind w:left="220" w:right="439" w:firstLine="772"/>
        <w:spacing w:after="0" w:line="267" w:lineRule="auto"/>
        <w:rPr>
          <w:sz w:val="20"/>
          <w:szCs w:val="20"/>
          <w:color w:val="auto"/>
        </w:rPr>
      </w:pPr>
      <w:r>
        <w:rPr>
          <w:rFonts w:ascii="Times New Roman" w:cs="Times New Roman" w:eastAsia="Times New Roman" w:hAnsi="Times New Roman"/>
          <w:sz w:val="14"/>
          <w:szCs w:val="14"/>
          <w:color w:val="auto"/>
        </w:rPr>
        <w:t xml:space="preserve">10.5 </w:t>
      </w:r>
      <w:r>
        <w:rPr>
          <w:rFonts w:ascii="Times New Roman" w:cs="Times New Roman" w:eastAsia="Times New Roman" w:hAnsi="Times New Roman"/>
          <w:sz w:val="14"/>
          <w:szCs w:val="14"/>
          <w:u w:val="single" w:color="auto"/>
          <w:color w:val="auto"/>
        </w:rPr>
        <w:t>Provisions for Foreign Participants</w:t>
      </w:r>
      <w:r>
        <w:rPr>
          <w:rFonts w:ascii="Times New Roman" w:cs="Times New Roman" w:eastAsia="Times New Roman" w:hAnsi="Times New Roman"/>
          <w:sz w:val="14"/>
          <w:szCs w:val="14"/>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xml:space="preserve">10.6 </w:t>
      </w: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right="259" w:firstLine="1110"/>
        <w:spacing w:after="0" w:line="253" w:lineRule="auto"/>
        <w:tabs>
          <w:tab w:leader="none" w:pos="1525"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The Company intends that all Awards be structured in compliance with, or to satisfy an exemption from, Section 409A,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that no 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amendments, policies, procedures and actions with retroactive effect) as are necessary or appropriate to preserve the intended tax treatment of Awards under the Plan, including without limitation, any such actions intended to (A) exempt this Plan and/or any Award from the application of Section 409A, and/or (B) comply with the requirements of Section 409A, including without limitation any such regulations, guidance, compliance programs and other interpretative authority that may be issued after the date of grant of any Award. The Company makes no representations or warranties as to the tax treatment of any Award under Section 409A or otherwise. The Company shall have no obligation under this Section 10.6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spacing w:after="0" w:line="150" w:lineRule="exact"/>
        <w:rPr>
          <w:rFonts w:ascii="Times New Roman" w:cs="Times New Roman" w:eastAsia="Times New Roman" w:hAnsi="Times New Roman"/>
          <w:sz w:val="14"/>
          <w:szCs w:val="14"/>
          <w:color w:val="auto"/>
        </w:rPr>
      </w:pPr>
    </w:p>
    <w:p>
      <w:pPr>
        <w:ind w:left="220" w:right="319" w:firstLine="1110"/>
        <w:spacing w:after="0" w:line="257" w:lineRule="auto"/>
        <w:tabs>
          <w:tab w:leader="none" w:pos="1533"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Separation from Service</w:t>
      </w:r>
      <w:r>
        <w:rPr>
          <w:rFonts w:ascii="Times New Roman" w:cs="Times New Roman" w:eastAsia="Times New Roman" w:hAnsi="Times New Roman"/>
          <w:sz w:val="14"/>
          <w:szCs w:val="14"/>
          <w:color w:val="auto"/>
        </w:rPr>
        <w:t>. With respect to any Award that constitutes “nonqualified deferred compensation” under Section 409A,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payment 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381" w:name="page382"/>
    <w:bookmarkEnd w:id="381"/>
    <w:p>
      <w:pPr>
        <w:ind w:left="220" w:right="279" w:firstLine="1110"/>
        <w:spacing w:after="0" w:line="255" w:lineRule="auto"/>
        <w:tabs>
          <w:tab w:leader="none" w:pos="1525"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Payments to Specified Employees</w:t>
      </w:r>
      <w:r>
        <w:rPr>
          <w:rFonts w:ascii="Times New Roman" w:cs="Times New Roman" w:eastAsia="Times New Roman" w:hAnsi="Times New Roman"/>
          <w:sz w:val="14"/>
          <w:szCs w:val="14"/>
          <w:color w:val="auto"/>
        </w:rPr>
        <w:t>. Notwithstanding any contrary provision in the Plan or any Award Agreement, any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spacing w:after="0" w:line="147" w:lineRule="exact"/>
        <w:rPr>
          <w:sz w:val="20"/>
          <w:szCs w:val="20"/>
          <w:color w:val="auto"/>
        </w:rPr>
      </w:pPr>
    </w:p>
    <w:p>
      <w:pPr>
        <w:ind w:left="220" w:right="259" w:firstLine="772"/>
        <w:spacing w:after="0" w:line="255" w:lineRule="auto"/>
        <w:rPr>
          <w:sz w:val="20"/>
          <w:szCs w:val="20"/>
          <w:color w:val="auto"/>
        </w:rPr>
      </w:pPr>
      <w:r>
        <w:rPr>
          <w:rFonts w:ascii="Times New Roman" w:cs="Times New Roman" w:eastAsia="Times New Roman" w:hAnsi="Times New Roman"/>
          <w:sz w:val="14"/>
          <w:szCs w:val="14"/>
          <w:color w:val="auto"/>
        </w:rPr>
        <w:t xml:space="preserve">10.7 </w:t>
      </w:r>
      <w:r>
        <w:rPr>
          <w:rFonts w:ascii="Times New Roman" w:cs="Times New Roman" w:eastAsia="Times New Roman" w:hAnsi="Times New Roman"/>
          <w:sz w:val="14"/>
          <w:szCs w:val="14"/>
          <w:u w:val="single" w:color="auto"/>
          <w:color w:val="auto"/>
        </w:rPr>
        <w:t>Limitations on Liability</w:t>
      </w:r>
      <w:r>
        <w:rPr>
          <w:rFonts w:ascii="Times New Roman" w:cs="Times New Roman" w:eastAsia="Times New Roman" w:hAnsi="Times New Roman"/>
          <w:sz w:val="14"/>
          <w:szCs w:val="14"/>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 will indemnify and hold harmless each director, officer, other employee and agent of the Company to whom any duty or power relating to the administration or interpretation of the Plan has been or will be granted or delegated, against any cost or expense (including attorneys’ fees) or liability (including any sum paid in settlement of a claim with the Administrator’s approval) arising out of any act or omission to act concerning this Plan unless arising out of such person’s own fraud or bad faith.</w:t>
      </w:r>
    </w:p>
    <w:p>
      <w:pPr>
        <w:spacing w:after="0" w:line="145" w:lineRule="exact"/>
        <w:rPr>
          <w:sz w:val="20"/>
          <w:szCs w:val="20"/>
          <w:color w:val="auto"/>
        </w:rPr>
      </w:pPr>
    </w:p>
    <w:p>
      <w:pPr>
        <w:ind w:left="220" w:right="239" w:firstLine="772"/>
        <w:spacing w:after="0" w:line="253" w:lineRule="auto"/>
        <w:rPr>
          <w:sz w:val="20"/>
          <w:szCs w:val="20"/>
          <w:color w:val="auto"/>
        </w:rPr>
      </w:pPr>
      <w:r>
        <w:rPr>
          <w:rFonts w:ascii="Times New Roman" w:cs="Times New Roman" w:eastAsia="Times New Roman" w:hAnsi="Times New Roman"/>
          <w:sz w:val="14"/>
          <w:szCs w:val="14"/>
          <w:color w:val="auto"/>
        </w:rPr>
        <w:t xml:space="preserve">10.8 </w:t>
      </w:r>
      <w:r>
        <w:rPr>
          <w:rFonts w:ascii="Times New Roman" w:cs="Times New Roman" w:eastAsia="Times New Roman" w:hAnsi="Times New Roman"/>
          <w:sz w:val="14"/>
          <w:szCs w:val="14"/>
          <w:u w:val="single" w:color="auto"/>
          <w:color w:val="auto"/>
        </w:rPr>
        <w:t>Lock-Up Period</w:t>
      </w:r>
      <w:r>
        <w:rPr>
          <w:rFonts w:ascii="Times New Roman" w:cs="Times New Roman" w:eastAsia="Times New Roman" w:hAnsi="Times New Roman"/>
          <w:sz w:val="14"/>
          <w:szCs w:val="14"/>
          <w:color w:val="auto"/>
        </w:rPr>
        <w:t>. Participants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FINRA Rule 2241, or any successor provisions or amendments thereto). Participants shall execute and deliver such other agreements as may be reasonably requested by the Company or the underwriter which are consistent with the foregoing or which are necessary to give further effect thereto. The obligations described in this Section 10.8 shall not apply to a registration relating solely to employee benefit plans on Form S-1 or Form S-8 or similar forms that may be promulgated in the future, or a registration relating solely to a Securities and Exchange Commission Rule 145 transaction on Form S-4 or similar forms that may be promulgated in the future. The Company may impose stop-transfer instructions with respect to the shares of Common Stock (or other securities) subject to the foregoing restriction until the end of said 180 day (or other) period.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382" w:name="page383"/>
    <w:bookmarkEnd w:id="382"/>
    <w:p>
      <w:pPr>
        <w:ind w:left="220" w:right="259" w:firstLine="772"/>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10.9 </w:t>
      </w:r>
      <w:r>
        <w:rPr>
          <w:rFonts w:ascii="Times New Roman" w:cs="Times New Roman" w:eastAsia="Times New Roman" w:hAnsi="Times New Roman"/>
          <w:sz w:val="14"/>
          <w:szCs w:val="14"/>
          <w:u w:val="single" w:color="auto"/>
          <w:color w:val="auto"/>
        </w:rPr>
        <w:t>Limitations on Transfer</w:t>
      </w:r>
      <w:r>
        <w:rPr>
          <w:rFonts w:ascii="Times New Roman" w:cs="Times New Roman" w:eastAsia="Times New Roman" w:hAnsi="Times New Roman"/>
          <w:sz w:val="14"/>
          <w:szCs w:val="14"/>
          <w:color w:val="auto"/>
        </w:rPr>
        <w:t>. A Participant shall not sell, assign, transfer, pledge, hypothecate or otherwise dispose of, by operation of law or otherwise (collectively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any interest in any shares of Common Stock held by Participant except in compliance with the provisions herein, in the Company’s Bylaws and applicable securities laws. Furthermore, the shares of Common Stock shall be subject to a right of first refusal in favor of the Company or its assignees as set forth in the Company’s Bylaws. Notwithstanding the foregoing, Participant may, subject to compliance with the transfer restrictions set forth in the Company’s Bylaws, transfer shares of Common Stock to or for the benefit of any spouse, children, parents, uncles, aunts, siblings, grandchildren and any other relatives approved by the Board of Directors (collectively, “</w:t>
      </w:r>
      <w:r>
        <w:rPr>
          <w:rFonts w:ascii="Times New Roman" w:cs="Times New Roman" w:eastAsia="Times New Roman" w:hAnsi="Times New Roman"/>
          <w:sz w:val="14"/>
          <w:szCs w:val="14"/>
          <w:u w:val="single" w:color="auto"/>
          <w:color w:val="auto"/>
        </w:rPr>
        <w:t>Approved Relatives</w:t>
      </w:r>
      <w:r>
        <w:rPr>
          <w:rFonts w:ascii="Times New Roman" w:cs="Times New Roman" w:eastAsia="Times New Roman" w:hAnsi="Times New Roman"/>
          <w:sz w:val="14"/>
          <w:szCs w:val="14"/>
          <w:color w:val="auto"/>
        </w:rPr>
        <w:t xml:space="preserve">”) or to a trust established solely for the benefit of the Participant and/or Approved Relatives,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shares of Common Stock shall remain subject to the provisions of this Plan and any other applicable agreements, and such permitted transferee shall, as a condition to such transfer, deliver to the Company a written instrument confirming that such transferee shall be bound by all of the terms and conditions of this Plan and any other applicable agreements. The Company shall not be required (a) to transfer on its books any of the shares of Common Stock that have been sold or otherwise transferred in violation of any of the provisions of this Plan, any other applicable agreement or the provisions of the Company’s Bylaws or (b) to treat as owner of such shares of Common Stock or to accord the right to vote or pay dividends to any purchaser or other transferee to whom any such shares of Common Stock shall have been so sold or transferred.</w:t>
      </w:r>
    </w:p>
    <w:p>
      <w:pPr>
        <w:spacing w:after="0" w:line="149" w:lineRule="exact"/>
        <w:rPr>
          <w:sz w:val="20"/>
          <w:szCs w:val="20"/>
          <w:color w:val="auto"/>
        </w:rPr>
      </w:pPr>
    </w:p>
    <w:p>
      <w:pPr>
        <w:ind w:left="220" w:right="259" w:firstLine="772"/>
        <w:spacing w:after="0" w:line="253" w:lineRule="auto"/>
        <w:rPr>
          <w:sz w:val="20"/>
          <w:szCs w:val="20"/>
          <w:color w:val="auto"/>
        </w:rPr>
      </w:pPr>
      <w:r>
        <w:rPr>
          <w:rFonts w:ascii="Times New Roman" w:cs="Times New Roman" w:eastAsia="Times New Roman" w:hAnsi="Times New Roman"/>
          <w:sz w:val="14"/>
          <w:szCs w:val="14"/>
          <w:color w:val="auto"/>
        </w:rPr>
        <w:t xml:space="preserve">10.10 </w:t>
      </w: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 w:cs="Times New Roman" w:eastAsia="Times New Roman" w:hAnsi="Times New Roman"/>
          <w:sz w:val="14"/>
          <w:szCs w:val="14"/>
          <w:u w:val="single" w:color="auto"/>
          <w:color w:val="auto"/>
        </w:rPr>
        <w:t>Data</w:t>
      </w:r>
      <w:r>
        <w:rPr>
          <w:rFonts w:ascii="Times New Roman" w:cs="Times New Roman" w:eastAsia="Times New Roman" w:hAnsi="Times New Roman"/>
          <w:sz w:val="14"/>
          <w:szCs w:val="14"/>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383" w:name="page384"/>
    <w:bookmarkEnd w:id="383"/>
    <w:p>
      <w:pPr>
        <w:ind w:left="22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45" w:lineRule="exact"/>
        <w:rPr>
          <w:sz w:val="20"/>
          <w:szCs w:val="20"/>
          <w:color w:val="auto"/>
        </w:rPr>
      </w:pPr>
    </w:p>
    <w:p>
      <w:pPr>
        <w:ind w:left="220" w:right="339" w:firstLine="772"/>
        <w:spacing w:after="0" w:line="267" w:lineRule="auto"/>
        <w:rPr>
          <w:sz w:val="20"/>
          <w:szCs w:val="20"/>
          <w:color w:val="auto"/>
        </w:rPr>
      </w:pPr>
      <w:r>
        <w:rPr>
          <w:rFonts w:ascii="Times New Roman" w:cs="Times New Roman" w:eastAsia="Times New Roman" w:hAnsi="Times New Roman"/>
          <w:sz w:val="14"/>
          <w:szCs w:val="14"/>
          <w:color w:val="auto"/>
        </w:rPr>
        <w:t xml:space="preserve">10.11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36" w:lineRule="exact"/>
        <w:rPr>
          <w:sz w:val="20"/>
          <w:szCs w:val="20"/>
          <w:color w:val="auto"/>
        </w:rPr>
      </w:pPr>
    </w:p>
    <w:p>
      <w:pPr>
        <w:ind w:left="220" w:right="279" w:firstLine="772"/>
        <w:spacing w:after="0" w:line="296" w:lineRule="auto"/>
        <w:rPr>
          <w:sz w:val="20"/>
          <w:szCs w:val="20"/>
          <w:color w:val="auto"/>
        </w:rPr>
      </w:pPr>
      <w:r>
        <w:rPr>
          <w:rFonts w:ascii="Times New Roman" w:cs="Times New Roman" w:eastAsia="Times New Roman" w:hAnsi="Times New Roman"/>
          <w:sz w:val="13"/>
          <w:szCs w:val="13"/>
          <w:color w:val="auto"/>
        </w:rPr>
        <w:t xml:space="preserve">10.12 </w:t>
      </w:r>
      <w:r>
        <w:rPr>
          <w:rFonts w:ascii="Times New Roman" w:cs="Times New Roman" w:eastAsia="Times New Roman" w:hAnsi="Times New Roman"/>
          <w:sz w:val="13"/>
          <w:szCs w:val="13"/>
          <w:u w:val="single" w:color="auto"/>
          <w:color w:val="auto"/>
        </w:rPr>
        <w:t>Governing Documents</w:t>
      </w:r>
      <w:r>
        <w:rPr>
          <w:rFonts w:ascii="Times New Roman" w:cs="Times New Roman" w:eastAsia="Times New Roman" w:hAnsi="Times New Roman"/>
          <w:sz w:val="13"/>
          <w:szCs w:val="13"/>
          <w:color w:val="auto"/>
        </w:rPr>
        <w:t>. In the event of any contradiction between the Plan and any Award Agreement or any other written 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120" w:lineRule="exact"/>
        <w:rPr>
          <w:sz w:val="20"/>
          <w:szCs w:val="20"/>
          <w:color w:val="auto"/>
        </w:rPr>
      </w:pPr>
    </w:p>
    <w:p>
      <w:pPr>
        <w:ind w:left="220" w:right="299" w:firstLine="772"/>
        <w:spacing w:after="0" w:line="254" w:lineRule="auto"/>
        <w:rPr>
          <w:sz w:val="20"/>
          <w:szCs w:val="20"/>
          <w:color w:val="auto"/>
        </w:rPr>
      </w:pPr>
      <w:r>
        <w:rPr>
          <w:rFonts w:ascii="Times New Roman" w:cs="Times New Roman" w:eastAsia="Times New Roman" w:hAnsi="Times New Roman"/>
          <w:sz w:val="14"/>
          <w:szCs w:val="14"/>
          <w:color w:val="auto"/>
        </w:rPr>
        <w:t xml:space="preserve">10.13 </w:t>
      </w:r>
      <w:r>
        <w:rPr>
          <w:rFonts w:ascii="Times New Roman" w:cs="Times New Roman" w:eastAsia="Times New Roman" w:hAnsi="Times New Roman"/>
          <w:sz w:val="14"/>
          <w:szCs w:val="14"/>
          <w:u w:val="single" w:color="auto"/>
          <w:color w:val="auto"/>
        </w:rPr>
        <w:t>Submission to Jurisdiction; Waiver of Jury Trial</w:t>
      </w:r>
      <w:r>
        <w:rPr>
          <w:rFonts w:ascii="Times New Roman" w:cs="Times New Roman" w:eastAsia="Times New Roman" w:hAnsi="Times New Roman"/>
          <w:sz w:val="14"/>
          <w:szCs w:val="14"/>
          <w:color w:val="auto"/>
        </w:rPr>
        <w:t>.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46" w:lineRule="exact"/>
        <w:rPr>
          <w:sz w:val="20"/>
          <w:szCs w:val="20"/>
          <w:color w:val="auto"/>
        </w:rPr>
      </w:pPr>
    </w:p>
    <w:p>
      <w:pPr>
        <w:ind w:left="220" w:right="279" w:firstLine="772"/>
        <w:spacing w:after="0" w:line="267" w:lineRule="auto"/>
        <w:rPr>
          <w:sz w:val="20"/>
          <w:szCs w:val="20"/>
          <w:color w:val="auto"/>
        </w:rPr>
      </w:pPr>
      <w:r>
        <w:rPr>
          <w:rFonts w:ascii="Times New Roman" w:cs="Times New Roman" w:eastAsia="Times New Roman" w:hAnsi="Times New Roman"/>
          <w:sz w:val="14"/>
          <w:szCs w:val="14"/>
          <w:color w:val="auto"/>
        </w:rPr>
        <w:t xml:space="preserve">10.14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provisions of the Plan and all Awards made hereunder shall be governed by and interpreted in accordance with the laws of the State of Delaware, disregarding choice-of-law principles of the law of any state that would require the application of the laws of a jurisdiction other than such state.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384" w:name="page385"/>
    <w:bookmarkEnd w:id="384"/>
    <w:p>
      <w:pPr>
        <w:ind w:left="220" w:right="239" w:firstLine="772"/>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10.15 </w:t>
      </w:r>
      <w:r>
        <w:rPr>
          <w:rFonts w:ascii="Times New Roman" w:cs="Times New Roman" w:eastAsia="Times New Roman" w:hAnsi="Times New Roman"/>
          <w:sz w:val="14"/>
          <w:szCs w:val="14"/>
          <w:u w:val="single" w:color="auto"/>
          <w:color w:val="auto"/>
        </w:rPr>
        <w:t>Restrictions on Shares; Claw-back Provisions.</w:t>
      </w:r>
      <w:r>
        <w:rPr>
          <w:rFonts w:ascii="Times New Roman" w:cs="Times New Roman" w:eastAsia="Times New Roman" w:hAnsi="Times New Roman"/>
          <w:sz w:val="14"/>
          <w:szCs w:val="14"/>
          <w:color w:val="auto"/>
        </w:rPr>
        <w:t xml:space="preserve"> Shares of Common Stock acquired in respect of Awards shall be subject to such terms and conditions as the Administrator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50" w:lineRule="exact"/>
        <w:rPr>
          <w:sz w:val="20"/>
          <w:szCs w:val="20"/>
          <w:color w:val="auto"/>
        </w:rPr>
      </w:pPr>
    </w:p>
    <w:p>
      <w:pPr>
        <w:ind w:left="220" w:right="459" w:firstLine="772"/>
        <w:spacing w:after="0" w:line="283" w:lineRule="auto"/>
        <w:rPr>
          <w:sz w:val="20"/>
          <w:szCs w:val="20"/>
          <w:color w:val="auto"/>
        </w:rPr>
      </w:pPr>
      <w:r>
        <w:rPr>
          <w:rFonts w:ascii="Times New Roman" w:cs="Times New Roman" w:eastAsia="Times New Roman" w:hAnsi="Times New Roman"/>
          <w:sz w:val="14"/>
          <w:szCs w:val="14"/>
          <w:color w:val="auto"/>
        </w:rPr>
        <w:t xml:space="preserve">10.16 </w:t>
      </w:r>
      <w:r>
        <w:rPr>
          <w:rFonts w:ascii="Times New Roman" w:cs="Times New Roman" w:eastAsia="Times New Roman" w:hAnsi="Times New Roman"/>
          <w:sz w:val="14"/>
          <w:szCs w:val="14"/>
          <w:u w:val="single" w:color="auto"/>
          <w:color w:val="auto"/>
        </w:rPr>
        <w:t>Titles and Headings</w:t>
      </w:r>
      <w:r>
        <w:rPr>
          <w:rFonts w:ascii="Times New Roman" w:cs="Times New Roman" w:eastAsia="Times New Roman" w:hAnsi="Times New Roman"/>
          <w:sz w:val="14"/>
          <w:szCs w:val="14"/>
          <w:color w:val="auto"/>
        </w:rPr>
        <w:t>. The titles and headings of the Sections in the Plan are for convenience of reference only and, in the event of any conflict, the text of the Plan, rather than such titles or headings, shall control.</w:t>
      </w:r>
    </w:p>
    <w:p>
      <w:pPr>
        <w:spacing w:after="0" w:line="125" w:lineRule="exact"/>
        <w:rPr>
          <w:sz w:val="20"/>
          <w:szCs w:val="20"/>
          <w:color w:val="auto"/>
        </w:rPr>
      </w:pPr>
    </w:p>
    <w:p>
      <w:pPr>
        <w:ind w:left="220" w:right="399" w:firstLine="772"/>
        <w:spacing w:after="0" w:line="258" w:lineRule="auto"/>
        <w:rPr>
          <w:sz w:val="20"/>
          <w:szCs w:val="20"/>
          <w:color w:val="auto"/>
        </w:rPr>
      </w:pPr>
      <w:r>
        <w:rPr>
          <w:rFonts w:ascii="Times New Roman" w:cs="Times New Roman" w:eastAsia="Times New Roman" w:hAnsi="Times New Roman"/>
          <w:sz w:val="14"/>
          <w:szCs w:val="14"/>
          <w:color w:val="auto"/>
        </w:rPr>
        <w:t xml:space="preserve">10.17 </w:t>
      </w:r>
      <w:r>
        <w:rPr>
          <w:rFonts w:ascii="Times New Roman" w:cs="Times New Roman" w:eastAsia="Times New Roman" w:hAnsi="Times New Roman"/>
          <w:sz w:val="14"/>
          <w:szCs w:val="14"/>
          <w:u w:val="single" w:color="auto"/>
          <w:color w:val="auto"/>
        </w:rPr>
        <w:t>Conformity to Securities Laws.</w:t>
      </w:r>
      <w:r>
        <w:rPr>
          <w:rFonts w:ascii="Times New Roman" w:cs="Times New Roman" w:eastAsia="Times New Roman" w:hAnsi="Times New Roman"/>
          <w:sz w:val="14"/>
          <w:szCs w:val="14"/>
          <w:color w:val="auto"/>
        </w:rPr>
        <w:t xml:space="preserve">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used in the Plan, the following words and phrases shall have the following meanings:</w:t>
      </w:r>
    </w:p>
    <w:p>
      <w:pPr>
        <w:spacing w:after="0" w:line="177" w:lineRule="exact"/>
        <w:rPr>
          <w:sz w:val="20"/>
          <w:szCs w:val="20"/>
          <w:color w:val="auto"/>
        </w:rPr>
      </w:pPr>
    </w:p>
    <w:p>
      <w:pPr>
        <w:ind w:left="220" w:right="739" w:firstLine="772"/>
        <w:spacing w:after="0" w:line="283" w:lineRule="auto"/>
        <w:rPr>
          <w:sz w:val="20"/>
          <w:szCs w:val="20"/>
          <w:color w:val="auto"/>
        </w:rPr>
      </w:pPr>
      <w:r>
        <w:rPr>
          <w:rFonts w:ascii="Times New Roman" w:cs="Times New Roman" w:eastAsia="Times New Roman" w:hAnsi="Times New Roman"/>
          <w:sz w:val="14"/>
          <w:szCs w:val="14"/>
          <w:color w:val="auto"/>
        </w:rPr>
        <w:t>11.1 “</w:t>
      </w:r>
      <w:r>
        <w:rPr>
          <w:rFonts w:ascii="Times New Roman" w:cs="Times New Roman" w:eastAsia="Times New Roman" w:hAnsi="Times New Roman"/>
          <w:sz w:val="14"/>
          <w:szCs w:val="14"/>
          <w:u w:val="single" w:color="auto"/>
          <w:color w:val="auto"/>
        </w:rPr>
        <w:t>Administrator</w:t>
      </w:r>
      <w:r>
        <w:rPr>
          <w:rFonts w:ascii="Times New Roman" w:cs="Times New Roman" w:eastAsia="Times New Roman" w:hAnsi="Times New Roman"/>
          <w:sz w:val="14"/>
          <w:szCs w:val="14"/>
          <w:color w:val="auto"/>
        </w:rPr>
        <w:t>” means the Board or a Committee to the extent that the Board’s powers or authority under the Plan have been delegated to such Committee.</w:t>
      </w:r>
    </w:p>
    <w:p>
      <w:pPr>
        <w:spacing w:after="0" w:line="125" w:lineRule="exact"/>
        <w:rPr>
          <w:sz w:val="20"/>
          <w:szCs w:val="20"/>
          <w:color w:val="auto"/>
        </w:rPr>
      </w:pPr>
    </w:p>
    <w:p>
      <w:pPr>
        <w:ind w:left="220" w:right="439" w:firstLine="772"/>
        <w:spacing w:after="0" w:line="261" w:lineRule="auto"/>
        <w:rPr>
          <w:sz w:val="20"/>
          <w:szCs w:val="20"/>
          <w:color w:val="auto"/>
        </w:rPr>
      </w:pPr>
      <w:r>
        <w:rPr>
          <w:rFonts w:ascii="Times New Roman" w:cs="Times New Roman" w:eastAsia="Times New Roman" w:hAnsi="Times New Roman"/>
          <w:sz w:val="14"/>
          <w:szCs w:val="14"/>
          <w:color w:val="auto"/>
        </w:rPr>
        <w:t>11.2 “</w:t>
      </w:r>
      <w:r>
        <w:rPr>
          <w:rFonts w:ascii="Times New Roman" w:cs="Times New Roman" w:eastAsia="Times New Roman" w:hAnsi="Times New Roman"/>
          <w:sz w:val="14"/>
          <w:szCs w:val="14"/>
          <w:u w:val="single" w:color="auto"/>
          <w:color w:val="auto"/>
        </w:rPr>
        <w:t>Applicable Laws</w:t>
      </w:r>
      <w:r>
        <w:rPr>
          <w:rFonts w:ascii="Times New Roman" w:cs="Times New Roman" w:eastAsia="Times New Roman" w:hAnsi="Times New Roman"/>
          <w:sz w:val="14"/>
          <w:szCs w:val="14"/>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spacing w:after="0" w:line="141" w:lineRule="exact"/>
        <w:rPr>
          <w:sz w:val="20"/>
          <w:szCs w:val="20"/>
          <w:color w:val="auto"/>
        </w:rPr>
      </w:pPr>
    </w:p>
    <w:p>
      <w:pPr>
        <w:ind w:left="220" w:right="539" w:firstLine="772"/>
        <w:spacing w:after="0" w:line="283" w:lineRule="auto"/>
        <w:rPr>
          <w:sz w:val="20"/>
          <w:szCs w:val="20"/>
          <w:color w:val="auto"/>
        </w:rPr>
      </w:pPr>
      <w:r>
        <w:rPr>
          <w:rFonts w:ascii="Times New Roman" w:cs="Times New Roman" w:eastAsia="Times New Roman" w:hAnsi="Times New Roman"/>
          <w:sz w:val="14"/>
          <w:szCs w:val="14"/>
          <w:color w:val="auto"/>
        </w:rPr>
        <w:t>11.3 “</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means, individually or collectively, a grant under the Plan of Options, Restricted Stock, Restricted Stock Units or Other Stock-Based Awards.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385" w:name="page386"/>
    <w:bookmarkEnd w:id="385"/>
    <w:p>
      <w:pPr>
        <w:ind w:left="220" w:right="259" w:firstLine="772"/>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11.4 “</w:t>
      </w:r>
      <w:r>
        <w:rPr>
          <w:rFonts w:ascii="Times New Roman" w:cs="Times New Roman" w:eastAsia="Times New Roman" w:hAnsi="Times New Roman"/>
          <w:sz w:val="14"/>
          <w:szCs w:val="14"/>
          <w:u w:val="single" w:color="auto"/>
          <w:color w:val="auto"/>
        </w:rPr>
        <w:t>Award Agreement</w:t>
      </w:r>
      <w:r>
        <w:rPr>
          <w:rFonts w:ascii="Times New Roman" w:cs="Times New Roman" w:eastAsia="Times New Roman" w:hAnsi="Times New Roman"/>
          <w:sz w:val="14"/>
          <w:szCs w:val="14"/>
          <w:color w:val="auto"/>
        </w:rPr>
        <w:t>” means a written agreement evidencing an Award, which agreements may be in electronic medium and shall contain such terms and conditions with respect to an Award as the Administrator shall determine, consistent with and subject to the terms and conditions of the Plan.</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11.5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Board of Directors of the Company.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11.6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 (i) a merger or consolidation of the Company with or into any other corporation or other entity or person,</w:t>
      </w:r>
    </w:p>
    <w:p>
      <w:pPr>
        <w:spacing w:after="0" w:line="22" w:lineRule="exact"/>
        <w:rPr>
          <w:sz w:val="20"/>
          <w:szCs w:val="20"/>
          <w:color w:val="auto"/>
        </w:rPr>
      </w:pPr>
    </w:p>
    <w:p>
      <w:pPr>
        <w:ind w:left="420" w:hanging="205"/>
        <w:spacing w:after="0"/>
        <w:tabs>
          <w:tab w:leader="none" w:pos="42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 lease, exchange or other transfer in one transaction or a series of related transactions of all or substantially all of the Company’s assets, or</w:t>
      </w:r>
    </w:p>
    <w:p>
      <w:pPr>
        <w:spacing w:after="0" w:line="7" w:lineRule="exact"/>
        <w:rPr>
          <w:rFonts w:ascii="Times New Roman" w:cs="Times New Roman" w:eastAsia="Times New Roman" w:hAnsi="Times New Roman"/>
          <w:sz w:val="14"/>
          <w:szCs w:val="14"/>
          <w:color w:val="auto"/>
        </w:rPr>
      </w:pPr>
    </w:p>
    <w:p>
      <w:pPr>
        <w:ind w:left="460" w:hanging="245"/>
        <w:spacing w:after="0"/>
        <w:tabs>
          <w:tab w:leader="none" w:pos="46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transaction, including the sale by the Company of new shares of its capital stock or a transfer of existing shares of capital stock of the</w:t>
      </w:r>
    </w:p>
    <w:p>
      <w:pPr>
        <w:spacing w:after="0" w:line="7" w:lineRule="exact"/>
        <w:rPr>
          <w:rFonts w:ascii="Times New Roman" w:cs="Times New Roman" w:eastAsia="Times New Roman" w:hAnsi="Times New Roman"/>
          <w:sz w:val="14"/>
          <w:szCs w:val="14"/>
          <w:color w:val="auto"/>
        </w:rPr>
      </w:pPr>
    </w:p>
    <w:p>
      <w:pPr>
        <w:ind w:left="220" w:right="27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11.7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 and the regulations issued thereunder.</w:t>
      </w:r>
    </w:p>
    <w:p>
      <w:pPr>
        <w:spacing w:after="0" w:line="175" w:lineRule="exact"/>
        <w:rPr>
          <w:sz w:val="20"/>
          <w:szCs w:val="20"/>
          <w:color w:val="auto"/>
        </w:rPr>
      </w:pPr>
    </w:p>
    <w:p>
      <w:pPr>
        <w:ind w:left="220" w:right="599" w:firstLine="772"/>
        <w:spacing w:after="0" w:line="283" w:lineRule="auto"/>
        <w:rPr>
          <w:sz w:val="20"/>
          <w:szCs w:val="20"/>
          <w:color w:val="auto"/>
        </w:rPr>
      </w:pPr>
      <w:r>
        <w:rPr>
          <w:rFonts w:ascii="Times New Roman" w:cs="Times New Roman" w:eastAsia="Times New Roman" w:hAnsi="Times New Roman"/>
          <w:sz w:val="14"/>
          <w:szCs w:val="14"/>
          <w:color w:val="auto"/>
        </w:rPr>
        <w:t>11.8 “</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means one or more committees or subcommittees of the Board, which may be comprised of one or more directors and/or executive officers of the Company, in either case, to the extent permitted in accordance with Applicable Laws.</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11.9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means the common stock of the Company.</w:t>
      </w:r>
    </w:p>
    <w:p>
      <w:pPr>
        <w:spacing w:after="0" w:line="175" w:lineRule="exact"/>
        <w:rPr>
          <w:sz w:val="20"/>
          <w:szCs w:val="20"/>
          <w:color w:val="auto"/>
        </w:rPr>
      </w:pPr>
    </w:p>
    <w:p>
      <w:pPr>
        <w:ind w:left="220" w:right="239" w:firstLine="772"/>
        <w:spacing w:after="0" w:line="261" w:lineRule="auto"/>
        <w:rPr>
          <w:sz w:val="20"/>
          <w:szCs w:val="20"/>
          <w:color w:val="auto"/>
        </w:rPr>
      </w:pPr>
      <w:r>
        <w:rPr>
          <w:rFonts w:ascii="Times New Roman" w:cs="Times New Roman" w:eastAsia="Times New Roman" w:hAnsi="Times New Roman"/>
          <w:sz w:val="14"/>
          <w:szCs w:val="14"/>
          <w:color w:val="auto"/>
        </w:rPr>
        <w:t>11.10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Seaport Therapeutics, Inc., a Delaware corporation, or any successor thereto. Except where the context otherwise requires, the 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386" w:name="page387"/>
    <w:bookmarkEnd w:id="386"/>
    <w:p>
      <w:pPr>
        <w:ind w:left="220" w:right="279" w:firstLine="772"/>
        <w:spacing w:after="0" w:line="28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11.11 “</w:t>
      </w:r>
      <w:r>
        <w:rPr>
          <w:rFonts w:ascii="Times New Roman" w:cs="Times New Roman" w:eastAsia="Times New Roman" w:hAnsi="Times New Roman"/>
          <w:sz w:val="13"/>
          <w:szCs w:val="13"/>
          <w:u w:val="single" w:color="auto"/>
          <w:color w:val="auto"/>
        </w:rPr>
        <w:t>Consultant</w:t>
      </w:r>
      <w:r>
        <w:rPr>
          <w:rFonts w:ascii="Times New Roman" w:cs="Times New Roman" w:eastAsia="Times New Roman" w:hAnsi="Times New Roman"/>
          <w:sz w:val="13"/>
          <w:szCs w:val="13"/>
          <w:color w:val="auto"/>
        </w:rPr>
        <w:t xml:space="preserve">” means any person, including any advisor, engaged by the Company or a parent or subsidiary of the Company to render services to such entity if: (i) the consultant or adviser renders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services to the Company; (ii)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 or such other advisor or consultant as is approved by the Administrator.</w:t>
      </w:r>
    </w:p>
    <w:p>
      <w:pPr>
        <w:spacing w:after="0" w:line="126" w:lineRule="exact"/>
        <w:rPr>
          <w:sz w:val="20"/>
          <w:szCs w:val="20"/>
          <w:color w:val="auto"/>
        </w:rPr>
      </w:pPr>
    </w:p>
    <w:p>
      <w:pPr>
        <w:ind w:left="220" w:right="299" w:firstLine="772"/>
        <w:spacing w:after="0" w:line="267" w:lineRule="auto"/>
        <w:rPr>
          <w:sz w:val="20"/>
          <w:szCs w:val="20"/>
          <w:color w:val="auto"/>
        </w:rPr>
      </w:pPr>
      <w:r>
        <w:rPr>
          <w:rFonts w:ascii="Times New Roman" w:cs="Times New Roman" w:eastAsia="Times New Roman" w:hAnsi="Times New Roman"/>
          <w:sz w:val="14"/>
          <w:szCs w:val="14"/>
          <w:color w:val="auto"/>
        </w:rPr>
        <w:t>11.12 “</w:t>
      </w:r>
      <w:r>
        <w:rPr>
          <w:rFonts w:ascii="Times New Roman" w:cs="Times New Roman" w:eastAsia="Times New Roman" w:hAnsi="Times New Roman"/>
          <w:sz w:val="14"/>
          <w:szCs w:val="14"/>
          <w:u w:val="single" w:color="auto"/>
          <w:color w:val="auto"/>
        </w:rPr>
        <w:t>Designated Beneficiary</w:t>
      </w:r>
      <w:r>
        <w:rPr>
          <w:rFonts w:ascii="Times New Roman" w:cs="Times New Roman" w:eastAsia="Times New Roman" w:hAnsi="Times New Roman"/>
          <w:sz w:val="14"/>
          <w:szCs w:val="14"/>
          <w:color w:val="auto"/>
        </w:rPr>
        <w:t>” means the beneficiary or beneficiaries designated, in a manner determined by the Administrator, by a Participant to receive amounts due or exercise rights of the Participant in the event of the Participant’s death or incapacity In the absence of an effective designation by a Participant, “Designated Beneficiary” shall mean the Participant’s estate.</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xml:space="preserve">11.13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Director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means a member of the Board.</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11.14 “</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means a permanent and total disability within the meaning of Section 22(e)(3) of the Code, as it may be amended from</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time to time.</w:t>
      </w:r>
    </w:p>
    <w:p>
      <w:pPr>
        <w:spacing w:after="0" w:line="161" w:lineRule="exact"/>
        <w:rPr>
          <w:sz w:val="20"/>
          <w:szCs w:val="20"/>
          <w:color w:val="auto"/>
        </w:rPr>
      </w:pPr>
    </w:p>
    <w:p>
      <w:pPr>
        <w:ind w:left="220" w:right="399" w:firstLine="772"/>
        <w:spacing w:after="0" w:line="283" w:lineRule="auto"/>
        <w:rPr>
          <w:sz w:val="20"/>
          <w:szCs w:val="20"/>
          <w:color w:val="auto"/>
        </w:rPr>
      </w:pPr>
      <w:r>
        <w:rPr>
          <w:rFonts w:ascii="Times New Roman" w:cs="Times New Roman" w:eastAsia="Times New Roman" w:hAnsi="Times New Roman"/>
          <w:sz w:val="14"/>
          <w:szCs w:val="14"/>
          <w:color w:val="auto"/>
        </w:rPr>
        <w:t>11.15 “</w:t>
      </w:r>
      <w:r>
        <w:rPr>
          <w:rFonts w:ascii="Times New Roman" w:cs="Times New Roman" w:eastAsia="Times New Roman" w:hAnsi="Times New Roman"/>
          <w:sz w:val="14"/>
          <w:szCs w:val="14"/>
          <w:u w:val="single" w:color="auto"/>
          <w:color w:val="auto"/>
        </w:rPr>
        <w:t>Dividend Equivalents</w:t>
      </w:r>
      <w:r>
        <w:rPr>
          <w:rFonts w:ascii="Times New Roman" w:cs="Times New Roman" w:eastAsia="Times New Roman" w:hAnsi="Times New Roman"/>
          <w:sz w:val="14"/>
          <w:szCs w:val="14"/>
          <w:color w:val="auto"/>
        </w:rPr>
        <w:t>” means a right granted to a Participant pursuant to Section 6.4(c) hereof to receive the equivalent value (in cash or shares of Common Stock) of dividends paid on shares of Common Stock.</w:t>
      </w:r>
    </w:p>
    <w:p>
      <w:pPr>
        <w:spacing w:after="0" w:line="125" w:lineRule="exact"/>
        <w:rPr>
          <w:sz w:val="20"/>
          <w:szCs w:val="20"/>
          <w:color w:val="auto"/>
        </w:rPr>
      </w:pPr>
    </w:p>
    <w:p>
      <w:pPr>
        <w:ind w:left="220" w:right="279" w:firstLine="772"/>
        <w:spacing w:after="0" w:line="283" w:lineRule="auto"/>
        <w:rPr>
          <w:sz w:val="20"/>
          <w:szCs w:val="20"/>
          <w:color w:val="auto"/>
        </w:rPr>
      </w:pPr>
      <w:r>
        <w:rPr>
          <w:rFonts w:ascii="Times New Roman" w:cs="Times New Roman" w:eastAsia="Times New Roman" w:hAnsi="Times New Roman"/>
          <w:sz w:val="14"/>
          <w:szCs w:val="14"/>
          <w:color w:val="auto"/>
        </w:rPr>
        <w:t>11.16 “</w:t>
      </w: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means any person, including officers and Directors, employed by the Company (within the meaning of Section 3401(c) of the Code) or any parent or subsidiary of the Company.</w:t>
      </w:r>
    </w:p>
    <w:p>
      <w:pPr>
        <w:spacing w:after="0" w:line="125" w:lineRule="exact"/>
        <w:rPr>
          <w:sz w:val="20"/>
          <w:szCs w:val="20"/>
          <w:color w:val="auto"/>
        </w:rPr>
      </w:pPr>
    </w:p>
    <w:p>
      <w:pPr>
        <w:ind w:left="220" w:right="419" w:firstLine="772"/>
        <w:spacing w:after="0" w:line="261" w:lineRule="auto"/>
        <w:rPr>
          <w:sz w:val="20"/>
          <w:szCs w:val="20"/>
          <w:color w:val="auto"/>
        </w:rPr>
      </w:pPr>
      <w:r>
        <w:rPr>
          <w:rFonts w:ascii="Times New Roman" w:cs="Times New Roman" w:eastAsia="Times New Roman" w:hAnsi="Times New Roman"/>
          <w:sz w:val="14"/>
          <w:szCs w:val="14"/>
          <w:color w:val="auto"/>
        </w:rPr>
        <w:t>11.17 “</w:t>
      </w:r>
      <w:r>
        <w:rPr>
          <w:rFonts w:ascii="Times New Roman" w:cs="Times New Roman" w:eastAsia="Times New Roman" w:hAnsi="Times New Roman"/>
          <w:sz w:val="14"/>
          <w:szCs w:val="14"/>
          <w:u w:val="single" w:color="auto"/>
          <w:color w:val="auto"/>
        </w:rPr>
        <w:t>Equity Restructuring</w:t>
      </w:r>
      <w:r>
        <w:rPr>
          <w:rFonts w:ascii="Times New Roman" w:cs="Times New Roman" w:eastAsia="Times New Roman" w:hAnsi="Times New Roman"/>
          <w:sz w:val="14"/>
          <w:szCs w:val="14"/>
          <w:color w:val="auto"/>
        </w:rPr>
        <w:t>” means, as determined by the Administrator, a nonreciprocal transaction between the Company and its stockholders, such as a stock dividend, stock split, spin-off or recapitalization through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11.18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75" w:lineRule="exact"/>
        <w:rPr>
          <w:sz w:val="20"/>
          <w:szCs w:val="20"/>
          <w:color w:val="auto"/>
        </w:rPr>
      </w:pPr>
    </w:p>
    <w:p>
      <w:pPr>
        <w:ind w:left="220" w:right="259" w:firstLine="772"/>
        <w:spacing w:after="0" w:line="255" w:lineRule="auto"/>
        <w:rPr>
          <w:sz w:val="20"/>
          <w:szCs w:val="20"/>
          <w:color w:val="auto"/>
        </w:rPr>
      </w:pPr>
      <w:r>
        <w:rPr>
          <w:rFonts w:ascii="Times New Roman" w:cs="Times New Roman" w:eastAsia="Times New Roman" w:hAnsi="Times New Roman"/>
          <w:sz w:val="14"/>
          <w:szCs w:val="14"/>
          <w:color w:val="auto"/>
        </w:rPr>
        <w:t>11.19 “</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xml:space="preserve">” means, as of any date, the value of Common Stock determined as follows: (i) if the Common Stock is listed on any established stock exchange, its Fair Market Value shall be the closing sales price for such Common Stock as quoted on such exchange for such date, or if no sale occurred on such date, the first market trading day immediately prior to such date during which a sale occurred, as reported in </w:t>
      </w:r>
      <w:r>
        <w:rPr>
          <w:rFonts w:ascii="Times New Roman" w:cs="Times New Roman" w:eastAsia="Times New Roman" w:hAnsi="Times New Roman"/>
          <w:sz w:val="14"/>
          <w:szCs w:val="14"/>
          <w:i w:val="1"/>
          <w:iCs w:val="1"/>
          <w:color w:val="auto"/>
        </w:rPr>
        <w:t>The Wall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Street Journal </w:t>
      </w:r>
      <w:r>
        <w:rPr>
          <w:rFonts w:ascii="Times New Roman" w:cs="Times New Roman" w:eastAsia="Times New Roman" w:hAnsi="Times New Roman"/>
          <w:sz w:val="14"/>
          <w:szCs w:val="14"/>
          <w:color w:val="auto"/>
        </w:rPr>
        <w:t>or such other source as the Administrator deems reliable; (ii) if the Common Stock is not traded on a stock exchange but is quoted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national market or other quotation system, the last sales price on such date, or if no sales occurred on such date, then on the date immediately prior to such date on which sales prices are reported, as reported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or such other source as the Administrator deems reliable; or (iii) in the absence of an established market for the Common Stock, the Fair Market Value thereof shall be determined by the Administrator in its sole discretion.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387" w:name="page388"/>
    <w:bookmarkEnd w:id="387"/>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11.20 “</w:t>
      </w:r>
      <w:r>
        <w:rPr>
          <w:rFonts w:ascii="Times New Roman" w:cs="Times New Roman" w:eastAsia="Times New Roman" w:hAnsi="Times New Roman"/>
          <w:sz w:val="14"/>
          <w:szCs w:val="14"/>
          <w:u w:val="single" w:color="auto"/>
          <w:color w:val="auto"/>
        </w:rPr>
        <w:t>Incentive Stock Option</w:t>
      </w:r>
      <w:r>
        <w:rPr>
          <w:rFonts w:ascii="Times New Roman" w:cs="Times New Roman" w:eastAsia="Times New Roman" w:hAnsi="Times New Roman"/>
          <w:sz w:val="14"/>
          <w:szCs w:val="14"/>
          <w:color w:val="auto"/>
        </w:rPr>
        <w:t>” means an “incentive stock option” as defined in Section 422 of the Code.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11.21 “</w:t>
      </w:r>
      <w:r>
        <w:rPr>
          <w:rFonts w:ascii="Times New Roman" w:cs="Times New Roman" w:eastAsia="Times New Roman" w:hAnsi="Times New Roman"/>
          <w:sz w:val="14"/>
          <w:szCs w:val="14"/>
          <w:u w:val="single" w:color="auto"/>
          <w:color w:val="auto"/>
        </w:rPr>
        <w:t>Non-Qualified Stock Option</w:t>
      </w:r>
      <w:r>
        <w:rPr>
          <w:rFonts w:ascii="Times New Roman" w:cs="Times New Roman" w:eastAsia="Times New Roman" w:hAnsi="Times New Roman"/>
          <w:sz w:val="14"/>
          <w:szCs w:val="14"/>
          <w:color w:val="auto"/>
        </w:rPr>
        <w:t>” means an Option that is not intended to be or otherwise does not qualify as an Incentive Stock</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Option.</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11.22 “</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means an option to purchase Common Stock.</w:t>
      </w:r>
    </w:p>
    <w:p>
      <w:pPr>
        <w:spacing w:after="0" w:line="175" w:lineRule="exact"/>
        <w:rPr>
          <w:sz w:val="20"/>
          <w:szCs w:val="20"/>
          <w:color w:val="auto"/>
        </w:rPr>
      </w:pPr>
    </w:p>
    <w:p>
      <w:pPr>
        <w:ind w:left="220" w:right="299" w:firstLine="772"/>
        <w:spacing w:after="0" w:line="283" w:lineRule="auto"/>
        <w:rPr>
          <w:sz w:val="20"/>
          <w:szCs w:val="20"/>
          <w:color w:val="auto"/>
        </w:rPr>
      </w:pPr>
      <w:r>
        <w:rPr>
          <w:rFonts w:ascii="Times New Roman" w:cs="Times New Roman" w:eastAsia="Times New Roman" w:hAnsi="Times New Roman"/>
          <w:sz w:val="14"/>
          <w:szCs w:val="14"/>
          <w:color w:val="auto"/>
        </w:rPr>
        <w:t>11.23 “</w:t>
      </w:r>
      <w:r>
        <w:rPr>
          <w:rFonts w:ascii="Times New Roman" w:cs="Times New Roman" w:eastAsia="Times New Roman" w:hAnsi="Times New Roman"/>
          <w:sz w:val="14"/>
          <w:szCs w:val="14"/>
          <w:u w:val="single" w:color="auto"/>
          <w:color w:val="auto"/>
        </w:rPr>
        <w:t>Other Stock-Based Awards</w:t>
      </w:r>
      <w:r>
        <w:rPr>
          <w:rFonts w:ascii="Times New Roman" w:cs="Times New Roman" w:eastAsia="Times New Roman" w:hAnsi="Times New Roman"/>
          <w:sz w:val="14"/>
          <w:szCs w:val="14"/>
          <w:color w:val="auto"/>
        </w:rPr>
        <w:t>” means other Awards of shares of Common Stock, and other Awards that are valued in whole or in part by reference to, or are otherwise based on, shares of Common Stock or other property.</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11.24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a Service Provider who has been granted an Award under the Plan.</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11.25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means this 2024 Equity Incentive Plan.</w:t>
      </w:r>
    </w:p>
    <w:p>
      <w:pPr>
        <w:spacing w:after="0" w:line="175" w:lineRule="exact"/>
        <w:rPr>
          <w:sz w:val="20"/>
          <w:szCs w:val="20"/>
          <w:color w:val="auto"/>
        </w:rPr>
      </w:pPr>
    </w:p>
    <w:p>
      <w:pPr>
        <w:ind w:left="220" w:right="299" w:firstLine="772"/>
        <w:spacing w:after="0" w:line="267" w:lineRule="auto"/>
        <w:rPr>
          <w:sz w:val="20"/>
          <w:szCs w:val="20"/>
          <w:color w:val="auto"/>
        </w:rPr>
      </w:pPr>
      <w:r>
        <w:rPr>
          <w:rFonts w:ascii="Times New Roman" w:cs="Times New Roman" w:eastAsia="Times New Roman" w:hAnsi="Times New Roman"/>
          <w:sz w:val="14"/>
          <w:szCs w:val="14"/>
          <w:color w:val="auto"/>
        </w:rPr>
        <w:t>11.26 “</w:t>
      </w:r>
      <w:r>
        <w:rPr>
          <w:rFonts w:ascii="Times New Roman" w:cs="Times New Roman" w:eastAsia="Times New Roman" w:hAnsi="Times New Roman"/>
          <w:sz w:val="14"/>
          <w:szCs w:val="14"/>
          <w:u w:val="single" w:color="auto"/>
          <w:color w:val="auto"/>
        </w:rPr>
        <w:t>Publicly Listed Company</w:t>
      </w:r>
      <w:r>
        <w:rPr>
          <w:rFonts w:ascii="Times New Roman" w:cs="Times New Roman" w:eastAsia="Times New Roman" w:hAnsi="Times New Roman"/>
          <w:sz w:val="14"/>
          <w:szCs w:val="14"/>
          <w:color w:val="auto"/>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quotation system.</w:t>
      </w:r>
    </w:p>
    <w:p>
      <w:pPr>
        <w:spacing w:after="0" w:line="136" w:lineRule="exact"/>
        <w:rPr>
          <w:sz w:val="20"/>
          <w:szCs w:val="20"/>
          <w:color w:val="auto"/>
        </w:rPr>
      </w:pPr>
    </w:p>
    <w:p>
      <w:pPr>
        <w:ind w:left="220" w:right="519" w:firstLine="772"/>
        <w:spacing w:after="0" w:line="283" w:lineRule="auto"/>
        <w:rPr>
          <w:sz w:val="20"/>
          <w:szCs w:val="20"/>
          <w:color w:val="auto"/>
        </w:rPr>
      </w:pPr>
      <w:r>
        <w:rPr>
          <w:rFonts w:ascii="Times New Roman" w:cs="Times New Roman" w:eastAsia="Times New Roman" w:hAnsi="Times New Roman"/>
          <w:sz w:val="14"/>
          <w:szCs w:val="14"/>
          <w:color w:val="auto"/>
        </w:rPr>
        <w:t>11.27 “</w:t>
      </w: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 means Common Stock awarded to a Participant pursuant to Section 6 hereof that is subject to certain vesting conditions and other restrictions.</w:t>
      </w:r>
    </w:p>
    <w:p>
      <w:pPr>
        <w:spacing w:after="0" w:line="125" w:lineRule="exact"/>
        <w:rPr>
          <w:sz w:val="20"/>
          <w:szCs w:val="20"/>
          <w:color w:val="auto"/>
        </w:rPr>
      </w:pPr>
    </w:p>
    <w:p>
      <w:pPr>
        <w:ind w:left="220" w:right="319" w:firstLine="772"/>
        <w:spacing w:after="0" w:line="267" w:lineRule="auto"/>
        <w:rPr>
          <w:sz w:val="20"/>
          <w:szCs w:val="20"/>
          <w:color w:val="auto"/>
        </w:rPr>
      </w:pPr>
      <w:r>
        <w:rPr>
          <w:rFonts w:ascii="Times New Roman" w:cs="Times New Roman" w:eastAsia="Times New Roman" w:hAnsi="Times New Roman"/>
          <w:sz w:val="14"/>
          <w:szCs w:val="14"/>
          <w:color w:val="auto"/>
        </w:rPr>
        <w:t>11.28 “</w:t>
      </w:r>
      <w:r>
        <w:rPr>
          <w:rFonts w:ascii="Times New Roman" w:cs="Times New Roman" w:eastAsia="Times New Roman" w:hAnsi="Times New Roman"/>
          <w:sz w:val="14"/>
          <w:szCs w:val="14"/>
          <w:u w:val="single" w:color="auto"/>
          <w:color w:val="auto"/>
        </w:rPr>
        <w:t>Restricted Stock Unit</w:t>
      </w:r>
      <w:r>
        <w:rPr>
          <w:rFonts w:ascii="Times New Roman" w:cs="Times New Roman" w:eastAsia="Times New Roman" w:hAnsi="Times New Roman"/>
          <w:sz w:val="14"/>
          <w:szCs w:val="14"/>
          <w:color w:val="auto"/>
        </w:rPr>
        <w:t>” means an unfunded, unsecured right to receive, on the applicable settlement date, one share of Common Stock or an amount in cash or other consideration determined by the Administrator equal to the value thereof as of such payment date, which right may be subject to certain vesting conditions and other restrictions.</w:t>
      </w:r>
    </w:p>
    <w:p>
      <w:pPr>
        <w:spacing w:after="0" w:line="136" w:lineRule="exact"/>
        <w:rPr>
          <w:sz w:val="20"/>
          <w:szCs w:val="20"/>
          <w:color w:val="auto"/>
        </w:rPr>
      </w:pPr>
    </w:p>
    <w:p>
      <w:pPr>
        <w:ind w:left="220" w:right="639" w:firstLine="772"/>
        <w:spacing w:after="0" w:line="283" w:lineRule="auto"/>
        <w:rPr>
          <w:sz w:val="20"/>
          <w:szCs w:val="20"/>
          <w:color w:val="auto"/>
        </w:rPr>
      </w:pPr>
      <w:r>
        <w:rPr>
          <w:rFonts w:ascii="Times New Roman" w:cs="Times New Roman" w:eastAsia="Times New Roman" w:hAnsi="Times New Roman"/>
          <w:sz w:val="14"/>
          <w:szCs w:val="14"/>
          <w:color w:val="auto"/>
        </w:rPr>
        <w:t>11.29 “</w:t>
      </w: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means Section 409A of the Code and all regulations, guidance, compliance programs and other interpretative authority thereunder.</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11.30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from time to time.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11.31 “</w:t>
      </w:r>
      <w:r>
        <w:rPr>
          <w:rFonts w:ascii="Times New Roman" w:cs="Times New Roman" w:eastAsia="Times New Roman" w:hAnsi="Times New Roman"/>
          <w:sz w:val="14"/>
          <w:szCs w:val="14"/>
          <w:u w:val="single" w:color="auto"/>
          <w:color w:val="auto"/>
        </w:rPr>
        <w:t>Service Provider</w:t>
      </w:r>
      <w:r>
        <w:rPr>
          <w:rFonts w:ascii="Times New Roman" w:cs="Times New Roman" w:eastAsia="Times New Roman" w:hAnsi="Times New Roman"/>
          <w:sz w:val="14"/>
          <w:szCs w:val="14"/>
          <w:color w:val="auto"/>
        </w:rPr>
        <w:t>” means an Employee, Consultant or Director.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11.32 “</w:t>
      </w:r>
      <w:r>
        <w:rPr>
          <w:rFonts w:ascii="Times New Roman" w:cs="Times New Roman" w:eastAsia="Times New Roman" w:hAnsi="Times New Roman"/>
          <w:sz w:val="14"/>
          <w:szCs w:val="14"/>
          <w:u w:val="single" w:color="auto"/>
          <w:color w:val="auto"/>
        </w:rPr>
        <w:t>Termination of Service</w:t>
      </w:r>
      <w:r>
        <w:rPr>
          <w:rFonts w:ascii="Times New Roman" w:cs="Times New Roman" w:eastAsia="Times New Roman" w:hAnsi="Times New Roman"/>
          <w:sz w:val="14"/>
          <w:szCs w:val="14"/>
          <w:color w:val="auto"/>
        </w:rPr>
        <w:t>” means the date the Participant ceases to be a Service Provider.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 * * *</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SEAPORT THERAPEUTICS,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2024 EQUITY INCENTIVE PLAN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CALIFORNIA SUPPLEMENT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supplement is intended to satisfy the requirements of Section 25102(o) of the California Corporations Code and the regulations issued</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thereunder (“</w:t>
      </w:r>
      <w:r>
        <w:rPr>
          <w:rFonts w:ascii="Times New Roman" w:cs="Times New Roman" w:eastAsia="Times New Roman" w:hAnsi="Times New Roman"/>
          <w:sz w:val="14"/>
          <w:szCs w:val="14"/>
          <w:u w:val="single" w:color="auto"/>
          <w:color w:val="auto"/>
        </w:rPr>
        <w:t>Section 25102(o)</w:t>
      </w:r>
      <w:r>
        <w:rPr>
          <w:rFonts w:ascii="Times New Roman" w:cs="Times New Roman" w:eastAsia="Times New Roman" w:hAnsi="Times New Roman"/>
          <w:sz w:val="14"/>
          <w:szCs w:val="14"/>
          <w:color w:val="auto"/>
        </w:rPr>
        <w:t>”). Notwithstanding anything to the contrary contained in the Plan and except as otherwise determined by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Administrator, the provisions set forth in this supplement shall apply to all Awards granted under the Plan to a Participant who is a resident of the State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of California on the date of grant (a “</w:t>
      </w:r>
      <w:r>
        <w:rPr>
          <w:rFonts w:ascii="Times New Roman" w:cs="Times New Roman" w:eastAsia="Times New Roman" w:hAnsi="Times New Roman"/>
          <w:sz w:val="14"/>
          <w:szCs w:val="14"/>
          <w:u w:val="single" w:color="auto"/>
          <w:color w:val="auto"/>
        </w:rPr>
        <w:t>California Participant</w:t>
      </w:r>
      <w:r>
        <w:rPr>
          <w:rFonts w:ascii="Times New Roman" w:cs="Times New Roman" w:eastAsia="Times New Roman" w:hAnsi="Times New Roman"/>
          <w:sz w:val="14"/>
          <w:szCs w:val="14"/>
          <w:color w:val="auto"/>
        </w:rPr>
        <w:t>”) and which are intended to be exempt from registration in California pursuant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Section 25102(o), and otherwise to the extent required to comply with applicable law (but only to such extent). Definitions in the Plan are applicable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supplement.</w:t>
      </w:r>
    </w:p>
    <w:p>
      <w:pPr>
        <w:spacing w:after="0" w:line="161" w:lineRule="exact"/>
        <w:rPr>
          <w:sz w:val="20"/>
          <w:szCs w:val="20"/>
          <w:color w:val="auto"/>
        </w:rPr>
      </w:pPr>
    </w:p>
    <w:p>
      <w:pPr>
        <w:ind w:left="220" w:right="559" w:firstLine="338"/>
        <w:spacing w:after="0" w:line="283" w:lineRule="auto"/>
        <w:tabs>
          <w:tab w:leader="none" w:pos="703"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Securities Issuable Under Plan</w:t>
      </w:r>
      <w:r>
        <w:rPr>
          <w:rFonts w:ascii="Times New Roman" w:cs="Times New Roman" w:eastAsia="Times New Roman" w:hAnsi="Times New Roman"/>
          <w:sz w:val="14"/>
          <w:szCs w:val="14"/>
          <w:color w:val="auto"/>
        </w:rPr>
        <w:t>. The amount of securities issued pursuant to the Plan shall not exceed the amounts permitted under Section 260.140.45 of the California code of regulations to the extent applicable.</w:t>
      </w:r>
    </w:p>
    <w:p>
      <w:pPr>
        <w:spacing w:after="0" w:line="122" w:lineRule="exact"/>
        <w:rPr>
          <w:rFonts w:ascii="Times New Roman" w:cs="Times New Roman" w:eastAsia="Times New Roman" w:hAnsi="Times New Roman"/>
          <w:sz w:val="14"/>
          <w:szCs w:val="14"/>
          <w:color w:val="auto"/>
        </w:rPr>
      </w:pPr>
    </w:p>
    <w:p>
      <w:pPr>
        <w:ind w:left="220" w:right="319" w:firstLine="338"/>
        <w:spacing w:after="0" w:line="286" w:lineRule="auto"/>
        <w:tabs>
          <w:tab w:leader="none" w:pos="703"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Limitations For Grants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terms of all Awards shall comply, to the extent applicable, with Sections 260.140.41 and 260.140.42 of the California Code of Regulations.</w:t>
      </w:r>
    </w:p>
    <w:p>
      <w:pPr>
        <w:spacing w:after="0" w:line="120" w:lineRule="exact"/>
        <w:rPr>
          <w:rFonts w:ascii="Times New Roman" w:cs="Times New Roman" w:eastAsia="Times New Roman" w:hAnsi="Times New Roman"/>
          <w:sz w:val="14"/>
          <w:szCs w:val="14"/>
          <w:color w:val="auto"/>
        </w:rPr>
      </w:pPr>
    </w:p>
    <w:p>
      <w:pPr>
        <w:ind w:left="220" w:right="319" w:firstLine="338"/>
        <w:spacing w:after="0" w:line="284" w:lineRule="auto"/>
        <w:tabs>
          <w:tab w:leader="none" w:pos="703"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Requirement To Provide Information To California Participants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Company shall provide to each California Participant,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any plan or agreement that complies with all conditions of Rule 701 of the Securities Act (“</w:t>
      </w:r>
      <w:r>
        <w:rPr>
          <w:rFonts w:ascii="Times New Roman" w:cs="Times New Roman" w:eastAsia="Times New Roman" w:hAnsi="Times New Roman"/>
          <w:sz w:val="13"/>
          <w:szCs w:val="13"/>
          <w:u w:val="single" w:color="auto"/>
          <w:color w:val="auto"/>
        </w:rPr>
        <w:t>Rule 701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for purposes of determining such compliance, any registered domestic partner shall be considered a “family member” as that term is defined in Rule 701.</w:t>
      </w:r>
    </w:p>
    <w:p>
      <w:pPr>
        <w:spacing w:after="0" w:line="126" w:lineRule="exact"/>
        <w:rPr>
          <w:rFonts w:ascii="Times New Roman" w:cs="Times New Roman" w:eastAsia="Times New Roman" w:hAnsi="Times New Roman"/>
          <w:sz w:val="13"/>
          <w:szCs w:val="13"/>
          <w:color w:val="auto"/>
        </w:rPr>
      </w:pPr>
    </w:p>
    <w:p>
      <w:pPr>
        <w:ind w:left="4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 * * *</w:t>
      </w:r>
    </w:p>
    <w:p>
      <w:pPr>
        <w:spacing w:after="0" w:line="122" w:lineRule="exact"/>
        <w:rPr>
          <w:rFonts w:ascii="Times New Roman" w:cs="Times New Roman" w:eastAsia="Times New Roman" w:hAnsi="Times New Roman"/>
          <w:sz w:val="13"/>
          <w:szCs w:val="13"/>
          <w:color w:val="auto"/>
        </w:rPr>
      </w:pPr>
    </w:p>
    <w:p>
      <w:pPr>
        <w:ind w:left="43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CS-1</w:t>
      </w:r>
    </w:p>
    <w:p>
      <w:pPr>
        <w:sectPr>
          <w:pgSz w:w="11900" w:h="16838" w:orient="portrait"/>
          <w:cols w:equalWidth="0" w:num="1">
            <w:col w:w="9019"/>
          </w:cols>
          <w:pgMar w:left="1440" w:top="239" w:right="1440" w:bottom="1440" w:gutter="0" w:footer="0" w:header="0"/>
        </w:sectPr>
      </w:pPr>
    </w:p>
    <w:bookmarkStart w:id="389" w:name="page390"/>
    <w:bookmarkEnd w:id="389"/>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MODEL INDEMNIFICATION AGREEMENT</w:t>
      </w:r>
    </w:p>
    <w:p>
      <w:pPr>
        <w:spacing w:after="0" w:line="161" w:lineRule="exact"/>
        <w:rPr>
          <w:sz w:val="20"/>
          <w:szCs w:val="20"/>
          <w:color w:val="auto"/>
        </w:rPr>
      </w:pPr>
    </w:p>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t>This Indemnification Agreement (“Agreement”) is made as of [Date] by and between Seaport Therapeutics, Inc., a Delaware corporation (the “Company”), and [Officer Name] (“Indemnitee”).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RECITALS</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WHEREAS, the Company desires to attract and retain the services of highly qualified individuals, such as Indemnitee, to serve the Company;</w:t>
      </w:r>
    </w:p>
    <w:p>
      <w:pPr>
        <w:spacing w:after="0" w:line="175" w:lineRule="exact"/>
        <w:rPr>
          <w:sz w:val="20"/>
          <w:szCs w:val="20"/>
          <w:color w:val="auto"/>
        </w:rPr>
      </w:pPr>
    </w:p>
    <w:p>
      <w:pPr>
        <w:ind w:left="220" w:right="479" w:firstLine="343"/>
        <w:spacing w:after="0" w:line="283" w:lineRule="auto"/>
        <w:rPr>
          <w:sz w:val="20"/>
          <w:szCs w:val="20"/>
          <w:color w:val="auto"/>
        </w:rPr>
      </w:pPr>
      <w:r>
        <w:rPr>
          <w:rFonts w:ascii="Times New Roman" w:cs="Times New Roman" w:eastAsia="Times New Roman" w:hAnsi="Times New Roman"/>
          <w:sz w:val="14"/>
          <w:szCs w:val="14"/>
          <w:color w:val="auto"/>
        </w:rPr>
        <w:t>WHEREAS, in order to induce Indemnitee to [provide] [continue to provide] services to the Company, the Company wishes to provide for the indemnification of, and advancement of expenses to, Indemnitee to the maximum extent permitted by law;</w:t>
      </w:r>
    </w:p>
    <w:p>
      <w:pPr>
        <w:spacing w:after="0" w:line="125"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WHEREAS, the Third Amended and Restated Certificate of Incorporation (as amended and in effect from time to time, the “Charter”) and the Amended and Restated Bylaws (as amended and in effect from time to time, the “Bylaws”) of the Company require indemnification of the officers and directors of the Company, and Indemnitee may also be entitled to indemnification pursuant to the General Corporation Law of the State of Delaware (the “DGCL”);</w:t>
      </w:r>
    </w:p>
    <w:p>
      <w:pPr>
        <w:spacing w:after="0" w:line="141"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36"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WHEREAS, the Board of Directors of the Company (the “Board”) has determined that the increased difficulty in attracting and retaining highly qualified persons such as Indemnitee is detrimental to the best interests of the Company’s stockholders;</w:t>
      </w:r>
    </w:p>
    <w:p>
      <w:pPr>
        <w:spacing w:after="0" w:line="12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[continue to serve] the Company free from undue concern that they will not be so indemnified; and</w:t>
      </w:r>
    </w:p>
    <w:p>
      <w:pPr>
        <w:spacing w:after="0" w:line="136"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ectPr>
          <w:pgSz w:w="11900" w:h="16838" w:orient="portrait"/>
          <w:cols w:equalWidth="0" w:num="1">
            <w:col w:w="9019"/>
          </w:cols>
          <w:pgMar w:left="1440" w:top="122" w:right="1440" w:bottom="1440" w:gutter="0" w:footer="0" w:header="0"/>
        </w:sectPr>
      </w:pPr>
    </w:p>
    <w:bookmarkStart w:id="390" w:name="page391"/>
    <w:bookmarkEnd w:id="390"/>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NOW, THEREFORE, in consideration of the premises and the covenants contained herein, the Company and Indemnitee do hereby covenant and agree as follows:</w:t>
      </w:r>
    </w:p>
    <w:p>
      <w:pPr>
        <w:spacing w:after="0" w:line="41"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Services to the Company</w:t>
      </w:r>
      <w:r>
        <w:rPr>
          <w:rFonts w:ascii="Times New Roman" w:cs="Times New Roman" w:eastAsia="Times New Roman" w:hAnsi="Times New Roman"/>
          <w:sz w:val="14"/>
          <w:szCs w:val="14"/>
          <w:color w:val="auto"/>
        </w:rPr>
        <w:t>. Indemnitee agrees to [serve] [continue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 used in this Agreement:</w:t>
      </w:r>
    </w:p>
    <w:p>
      <w:pPr>
        <w:spacing w:after="0" w:line="91" w:lineRule="exact"/>
        <w:rPr>
          <w:sz w:val="20"/>
          <w:szCs w:val="20"/>
          <w:color w:val="auto"/>
        </w:rPr>
      </w:pPr>
    </w:p>
    <w:p>
      <w:pPr>
        <w:jc w:val="both"/>
        <w:ind w:left="220" w:right="379" w:firstLine="767"/>
        <w:spacing w:after="0" w:line="261" w:lineRule="auto"/>
        <w:tabs>
          <w:tab w:leader="none" w:pos="1182"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shall be deemed the “Beneficial Owner” of, and shall be deemed to “Beneficially Own” and have “Beneficial Ownership” of,</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w:t>
      </w:r>
    </w:p>
    <w:p>
      <w:pPr>
        <w:spacing w:after="0" w:line="77" w:lineRule="exact"/>
        <w:rPr>
          <w:sz w:val="20"/>
          <w:szCs w:val="20"/>
          <w:color w:val="auto"/>
        </w:rPr>
      </w:pPr>
    </w:p>
    <w:p>
      <w:pPr>
        <w:ind w:left="220" w:right="279" w:firstLine="767"/>
        <w:spacing w:after="0" w:line="283" w:lineRule="auto"/>
        <w:tabs>
          <w:tab w:leader="none" w:pos="1159"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24" w:lineRule="exact"/>
        <w:rPr>
          <w:rFonts w:ascii="Times New Roman" w:cs="Times New Roman" w:eastAsia="Times New Roman" w:hAnsi="Times New Roman"/>
          <w:sz w:val="14"/>
          <w:szCs w:val="14"/>
          <w:color w:val="auto"/>
        </w:rPr>
      </w:pPr>
    </w:p>
    <w:p>
      <w:pPr>
        <w:ind w:left="220" w:right="259" w:firstLine="767"/>
        <w:spacing w:after="0" w:line="256" w:lineRule="auto"/>
        <w:tabs>
          <w:tab w:leader="none" w:pos="1198"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143" w:lineRule="exact"/>
        <w:rPr>
          <w:rFonts w:ascii="Times New Roman" w:cs="Times New Roman" w:eastAsia="Times New Roman" w:hAnsi="Times New Roman"/>
          <w:sz w:val="14"/>
          <w:szCs w:val="14"/>
          <w:color w:val="auto"/>
        </w:rPr>
      </w:pPr>
    </w:p>
    <w:p>
      <w:pPr>
        <w:ind w:left="220" w:right="579" w:firstLine="767"/>
        <w:spacing w:after="0" w:line="261" w:lineRule="auto"/>
        <w:tabs>
          <w:tab w:leader="none" w:pos="1237"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391" w:name="page392"/>
    <w:bookmarkEnd w:id="391"/>
    <w:p>
      <w:pPr>
        <w:ind w:left="220" w:right="239" w:firstLine="767"/>
        <w:spacing w:after="0" w:line="255" w:lineRule="auto"/>
        <w:tabs>
          <w:tab w:leader="none" w:pos="1229"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45" w:lineRule="exact"/>
        <w:rPr>
          <w:sz w:val="20"/>
          <w:szCs w:val="20"/>
          <w:color w:val="auto"/>
        </w:rPr>
      </w:pPr>
    </w:p>
    <w:p>
      <w:pPr>
        <w:ind w:left="220" w:right="679" w:firstLine="343"/>
        <w:spacing w:after="0" w:line="283" w:lineRule="auto"/>
        <w:rPr>
          <w:sz w:val="20"/>
          <w:szCs w:val="20"/>
          <w:color w:val="auto"/>
        </w:rPr>
      </w:pPr>
      <w:r>
        <w:rPr>
          <w:rFonts w:ascii="Times New Roman" w:cs="Times New Roman" w:eastAsia="Times New Roman" w:hAnsi="Times New Roman"/>
          <w:sz w:val="14"/>
          <w:szCs w:val="14"/>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A “Change in Control” shall be deemed to occur upon the earliest to occur after the date of this Agreement of any of the following</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events:</w:t>
      </w:r>
    </w:p>
    <w:p>
      <w:pPr>
        <w:spacing w:after="0" w:line="77" w:lineRule="exact"/>
        <w:rPr>
          <w:sz w:val="20"/>
          <w:szCs w:val="20"/>
          <w:color w:val="auto"/>
        </w:rPr>
      </w:pPr>
    </w:p>
    <w:p>
      <w:pPr>
        <w:ind w:left="220" w:right="339" w:firstLine="767"/>
        <w:spacing w:after="0" w:line="257" w:lineRule="auto"/>
        <w:tabs>
          <w:tab w:leader="none" w:pos="1159"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 of Stock by Third Party</w:t>
      </w:r>
      <w:r>
        <w:rPr>
          <w:rFonts w:ascii="Times New Roman" w:cs="Times New Roman" w:eastAsia="Times New Roman" w:hAnsi="Times New Roman"/>
          <w:sz w:val="14"/>
          <w:szCs w:val="14"/>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43" w:lineRule="exact"/>
        <w:rPr>
          <w:rFonts w:ascii="Times New Roman" w:cs="Times New Roman" w:eastAsia="Times New Roman" w:hAnsi="Times New Roman"/>
          <w:sz w:val="14"/>
          <w:szCs w:val="14"/>
          <w:color w:val="auto"/>
        </w:rPr>
      </w:pPr>
    </w:p>
    <w:p>
      <w:pPr>
        <w:ind w:left="220" w:right="359" w:firstLine="767"/>
        <w:spacing w:after="0" w:line="257" w:lineRule="auto"/>
        <w:tabs>
          <w:tab w:leader="none" w:pos="1198"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Board of Directors</w:t>
      </w:r>
      <w:r>
        <w:rPr>
          <w:rFonts w:ascii="Times New Roman" w:cs="Times New Roman" w:eastAsia="Times New Roman" w:hAnsi="Times New Roman"/>
          <w:sz w:val="14"/>
          <w:szCs w:val="14"/>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58" w:lineRule="auto"/>
        <w:tabs>
          <w:tab w:leader="none" w:pos="1237"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Transactions</w:t>
      </w:r>
      <w:r>
        <w:rPr>
          <w:rFonts w:ascii="Times New Roman" w:cs="Times New Roman" w:eastAsia="Times New Roman" w:hAnsi="Times New Roman"/>
          <w:sz w:val="14"/>
          <w:szCs w:val="14"/>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392" w:name="page393"/>
    <w:bookmarkEnd w:id="392"/>
    <w:p>
      <w:pPr>
        <w:ind w:left="220" w:right="259" w:firstLine="767"/>
        <w:spacing w:after="0" w:line="283" w:lineRule="auto"/>
        <w:tabs>
          <w:tab w:leader="none" w:pos="1229"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Liquidation</w:t>
      </w:r>
      <w:r>
        <w:rPr>
          <w:rFonts w:ascii="Times New Roman" w:cs="Times New Roman" w:eastAsia="Times New Roman" w:hAnsi="Times New Roman"/>
          <w:sz w:val="14"/>
          <w:szCs w:val="14"/>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24" w:lineRule="exact"/>
        <w:rPr>
          <w:rFonts w:ascii="Times New Roman" w:cs="Times New Roman" w:eastAsia="Times New Roman" w:hAnsi="Times New Roman"/>
          <w:sz w:val="14"/>
          <w:szCs w:val="14"/>
          <w:color w:val="auto"/>
        </w:rPr>
      </w:pPr>
    </w:p>
    <w:p>
      <w:pPr>
        <w:ind w:left="220" w:right="319" w:firstLine="767"/>
        <w:spacing w:after="0" w:line="267" w:lineRule="auto"/>
        <w:tabs>
          <w:tab w:leader="none" w:pos="119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Events</w:t>
      </w:r>
      <w:r>
        <w:rPr>
          <w:rFonts w:ascii="Times New Roman" w:cs="Times New Roman" w:eastAsia="Times New Roman" w:hAnsi="Times New Roman"/>
          <w:sz w:val="14"/>
          <w:szCs w:val="14"/>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36" w:lineRule="exact"/>
        <w:rPr>
          <w:sz w:val="20"/>
          <w:szCs w:val="20"/>
          <w:color w:val="auto"/>
        </w:rPr>
      </w:pPr>
    </w:p>
    <w:p>
      <w:pPr>
        <w:ind w:left="220" w:right="259" w:firstLine="767"/>
        <w:spacing w:after="0" w:line="323" w:lineRule="auto"/>
        <w:tabs>
          <w:tab w:leader="none" w:pos="1190"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Corporate Status</w:t>
      </w:r>
      <w:r>
        <w:rPr>
          <w:rFonts w:ascii="Times New Roman" w:cs="Times New Roman" w:eastAsia="Times New Roman" w:hAnsi="Times New Roman"/>
          <w:sz w:val="13"/>
          <w:szCs w:val="13"/>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02" w:lineRule="exact"/>
        <w:rPr>
          <w:rFonts w:ascii="Times New Roman" w:cs="Times New Roman" w:eastAsia="Times New Roman" w:hAnsi="Times New Roman"/>
          <w:sz w:val="13"/>
          <w:szCs w:val="13"/>
          <w:color w:val="auto"/>
        </w:rPr>
      </w:pPr>
    </w:p>
    <w:p>
      <w:pPr>
        <w:ind w:left="220" w:right="279" w:firstLine="767"/>
        <w:spacing w:after="0" w:line="261" w:lineRule="auto"/>
        <w:tabs>
          <w:tab w:leader="none" w:pos="1182"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Enforcement Expenses</w:t>
      </w:r>
      <w:r>
        <w:rPr>
          <w:rFonts w:ascii="Times New Roman" w:cs="Times New Roman" w:eastAsia="Times New Roman" w:hAnsi="Times New Roman"/>
          <w:sz w:val="14"/>
          <w:szCs w:val="14"/>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40" w:lineRule="exact"/>
        <w:rPr>
          <w:rFonts w:ascii="Times New Roman" w:cs="Times New Roman" w:eastAsia="Times New Roman" w:hAnsi="Times New Roman"/>
          <w:sz w:val="14"/>
          <w:szCs w:val="14"/>
          <w:color w:val="auto"/>
        </w:rPr>
      </w:pPr>
    </w:p>
    <w:p>
      <w:pPr>
        <w:jc w:val="both"/>
        <w:ind w:left="220" w:right="539" w:firstLine="767"/>
        <w:spacing w:after="0" w:line="267" w:lineRule="auto"/>
        <w:tabs>
          <w:tab w:leader="none" w:pos="1167"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Enterprise</w:t>
      </w:r>
      <w:r>
        <w:rPr>
          <w:rFonts w:ascii="Times New Roman" w:cs="Times New Roman" w:eastAsia="Times New Roman" w:hAnsi="Times New Roman"/>
          <w:sz w:val="14"/>
          <w:szCs w:val="14"/>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35" w:lineRule="exact"/>
        <w:rPr>
          <w:rFonts w:ascii="Times New Roman" w:cs="Times New Roman" w:eastAsia="Times New Roman" w:hAnsi="Times New Roman"/>
          <w:sz w:val="14"/>
          <w:szCs w:val="14"/>
          <w:color w:val="auto"/>
        </w:rPr>
      </w:pPr>
    </w:p>
    <w:p>
      <w:pPr>
        <w:ind w:left="220" w:right="259" w:firstLine="767"/>
        <w:spacing w:after="0" w:line="258" w:lineRule="auto"/>
        <w:tabs>
          <w:tab w:leader="none" w:pos="119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55" w:lineRule="auto"/>
        <w:tabs>
          <w:tab w:leader="none" w:pos="1190"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Counsel</w:t>
      </w:r>
      <w:r>
        <w:rPr>
          <w:rFonts w:ascii="Times New Roman" w:cs="Times New Roman" w:eastAsia="Times New Roman" w:hAnsi="Times New Roman"/>
          <w:sz w:val="14"/>
          <w:szCs w:val="14"/>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93" w:name="page394"/>
    <w:bookmarkEnd w:id="393"/>
    <w:p>
      <w:pPr>
        <w:jc w:val="both"/>
        <w:ind w:left="220" w:right="319" w:firstLine="767"/>
        <w:spacing w:after="0" w:line="267" w:lineRule="auto"/>
        <w:tabs>
          <w:tab w:leader="none" w:pos="1159"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spacing w:after="0" w:line="135" w:lineRule="exact"/>
        <w:rPr>
          <w:rFonts w:ascii="Times New Roman" w:cs="Times New Roman" w:eastAsia="Times New Roman" w:hAnsi="Times New Roman"/>
          <w:sz w:val="14"/>
          <w:szCs w:val="14"/>
          <w:color w:val="auto"/>
        </w:rPr>
      </w:pPr>
    </w:p>
    <w:p>
      <w:pPr>
        <w:ind w:left="220" w:right="259" w:firstLine="767"/>
        <w:spacing w:after="0" w:line="254" w:lineRule="auto"/>
        <w:tabs>
          <w:tab w:leader="none" w:pos="1159"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spacing w:after="0" w:line="146"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Indemnity in Third-Party Proceedings</w:t>
      </w:r>
      <w:r>
        <w:rPr>
          <w:rFonts w:ascii="Times New Roman" w:cs="Times New Roman" w:eastAsia="Times New Roman" w:hAnsi="Times New Roman"/>
          <w:sz w:val="14"/>
          <w:szCs w:val="14"/>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4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Indemnity in Proceedings by or in the Right of the Company</w:t>
      </w:r>
      <w:r>
        <w:rPr>
          <w:rFonts w:ascii="Times New Roman" w:cs="Times New Roman" w:eastAsia="Times New Roman" w:hAnsi="Times New Roman"/>
          <w:sz w:val="14"/>
          <w:szCs w:val="14"/>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394" w:name="page395"/>
    <w:bookmarkEnd w:id="394"/>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5. </w:t>
      </w:r>
      <w:r>
        <w:rPr>
          <w:rFonts w:ascii="Times New Roman" w:cs="Times New Roman" w:eastAsia="Times New Roman" w:hAnsi="Times New Roman"/>
          <w:sz w:val="14"/>
          <w:szCs w:val="14"/>
          <w:u w:val="single" w:color="auto"/>
          <w:color w:val="auto"/>
        </w:rPr>
        <w:t>Indemnification for Expenses of a Party Who is Wholly or Partly Successful</w:t>
      </w:r>
      <w:r>
        <w:rPr>
          <w:rFonts w:ascii="Times New Roman" w:cs="Times New Roman" w:eastAsia="Times New Roman" w:hAnsi="Times New Roman"/>
          <w:sz w:val="14"/>
          <w:szCs w:val="14"/>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45" w:lineRule="exact"/>
        <w:rPr>
          <w:sz w:val="20"/>
          <w:szCs w:val="20"/>
          <w:color w:val="auto"/>
        </w:rPr>
      </w:pPr>
    </w:p>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Reimbursement for Expenses of a Witness or in Response to a Subpoena</w:t>
      </w:r>
      <w:r>
        <w:rPr>
          <w:rFonts w:ascii="Times New Roman" w:cs="Times New Roman" w:eastAsia="Times New Roman" w:hAnsi="Times New Roman"/>
          <w:sz w:val="14"/>
          <w:szCs w:val="14"/>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Exclusions</w:t>
      </w:r>
      <w:r>
        <w:rPr>
          <w:rFonts w:ascii="Times New Roman" w:cs="Times New Roman" w:eastAsia="Times New Roman" w:hAnsi="Times New Roman"/>
          <w:sz w:val="14"/>
          <w:szCs w:val="14"/>
          <w:color w:val="auto"/>
        </w:rPr>
        <w:t>. Notwithstanding any provision in this Agreement to the contrary, the Company shall not be obligated under this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Agreement:</w:t>
      </w:r>
    </w:p>
    <w:p>
      <w:pPr>
        <w:spacing w:after="0" w:line="77" w:lineRule="exact"/>
        <w:rPr>
          <w:sz w:val="20"/>
          <w:szCs w:val="20"/>
          <w:color w:val="auto"/>
        </w:rPr>
      </w:pPr>
    </w:p>
    <w:p>
      <w:pPr>
        <w:jc w:val="both"/>
        <w:ind w:left="220" w:right="239" w:firstLine="767"/>
        <w:spacing w:after="0" w:line="267" w:lineRule="auto"/>
        <w:tabs>
          <w:tab w:leader="none" w:pos="1182"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w:t>
      </w:r>
    </w:p>
    <w:p>
      <w:pPr>
        <w:spacing w:after="0" w:line="135" w:lineRule="exact"/>
        <w:rPr>
          <w:rFonts w:ascii="Times New Roman" w:cs="Times New Roman" w:eastAsia="Times New Roman" w:hAnsi="Times New Roman"/>
          <w:sz w:val="14"/>
          <w:szCs w:val="14"/>
          <w:color w:val="auto"/>
        </w:rPr>
      </w:pPr>
    </w:p>
    <w:p>
      <w:pPr>
        <w:ind w:left="220" w:right="479" w:firstLine="767"/>
        <w:spacing w:after="0" w:line="283" w:lineRule="auto"/>
        <w:tabs>
          <w:tab w:leader="none" w:pos="119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indemnify for an accounting of profits made from the purchase and sale (or sale and purchase) by Indemnitee of securities of the Company within the meaning of Section 16(b) of the Exchange Act or similar provisions of state statutory law or common law,;</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395" w:name="page396"/>
    <w:bookmarkEnd w:id="395"/>
    <w:p>
      <w:pPr>
        <w:ind w:left="220" w:right="299" w:firstLine="767"/>
        <w:spacing w:after="0" w:line="258" w:lineRule="auto"/>
        <w:tabs>
          <w:tab w:leader="none" w:pos="1182"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to indemnify for any reimbursement of, or repayment to, the Company by Indemnitee of (i) any bonus or other incentive-based or equity-based compensation or of any profits realized by Indemnitee from the sale of securities of the Company pursuant to the terms of (A) Section 304 of SOX, (B) Exchange Act Rule 10D-1 or (C) any formal policy of the Company adopted by the Board (or a committee thereof) or (ii) any other remuneration paid to Indemnitee if it shall be determined by a final judgment or other final adjudication that payment of such remuneration was or would have been in violation of law;</w:t>
      </w:r>
    </w:p>
    <w:p>
      <w:pPr>
        <w:spacing w:after="0" w:line="143" w:lineRule="exact"/>
        <w:rPr>
          <w:rFonts w:ascii="Times New Roman" w:cs="Times New Roman" w:eastAsia="Times New Roman" w:hAnsi="Times New Roman"/>
          <w:sz w:val="14"/>
          <w:szCs w:val="14"/>
          <w:color w:val="auto"/>
        </w:rPr>
      </w:pPr>
    </w:p>
    <w:p>
      <w:pPr>
        <w:ind w:left="220" w:right="499" w:firstLine="767"/>
        <w:spacing w:after="0" w:line="281" w:lineRule="auto"/>
        <w:tabs>
          <w:tab w:leader="none" w:pos="1190" w:val="left"/>
        </w:tabs>
        <w:numPr>
          <w:ilvl w:val="1"/>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spacing w:after="0" w:line="1" w:lineRule="exact"/>
        <w:rPr>
          <w:rFonts w:ascii="Times New Roman" w:cs="Times New Roman" w:eastAsia="Times New Roman" w:hAnsi="Times New Roman"/>
          <w:sz w:val="13"/>
          <w:szCs w:val="13"/>
          <w:color w:val="auto"/>
        </w:rPr>
      </w:pPr>
    </w:p>
    <w:p>
      <w:pPr>
        <w:ind w:left="220" w:right="339" w:hanging="5"/>
        <w:spacing w:after="0" w:line="253" w:lineRule="auto"/>
        <w:tabs>
          <w:tab w:leader="none" w:pos="426"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46" w:lineRule="exact"/>
        <w:rPr>
          <w:rFonts w:ascii="Times New Roman" w:cs="Times New Roman" w:eastAsia="Times New Roman" w:hAnsi="Times New Roman"/>
          <w:sz w:val="14"/>
          <w:szCs w:val="14"/>
          <w:color w:val="auto"/>
        </w:rPr>
      </w:pPr>
    </w:p>
    <w:p>
      <w:pPr>
        <w:ind w:left="220" w:right="259" w:firstLine="767"/>
        <w:spacing w:after="0" w:line="283" w:lineRule="auto"/>
        <w:tabs>
          <w:tab w:leader="none" w:pos="1182" w:val="left"/>
        </w:tabs>
        <w:numPr>
          <w:ilvl w:val="1"/>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any indemnification or advancement of expenses that is prohibited by applicable law (as such law exists at the time payment would otherwise be required pursuant to this Agreement).</w:t>
      </w:r>
    </w:p>
    <w:p>
      <w:pPr>
        <w:spacing w:after="0" w:line="125"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Advancement of Expenses</w:t>
      </w:r>
      <w:r>
        <w:rPr>
          <w:rFonts w:ascii="Times New Roman" w:cs="Times New Roman" w:eastAsia="Times New Roman" w:hAnsi="Times New Roman"/>
          <w:sz w:val="14"/>
          <w:szCs w:val="14"/>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Procedure for Notification and Defense of Claim</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both"/>
        <w:ind w:left="220" w:right="479" w:firstLine="767"/>
        <w:spacing w:after="0" w:line="267" w:lineRule="auto"/>
        <w:tabs>
          <w:tab w:leader="none" w:pos="1182"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396" w:name="page397"/>
    <w:bookmarkEnd w:id="396"/>
    <w:p>
      <w:pPr>
        <w:ind w:left="220" w:right="279" w:firstLine="767"/>
        <w:spacing w:after="0" w:line="253" w:lineRule="auto"/>
        <w:tabs>
          <w:tab w:leader="none" w:pos="1190"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w:t>
      </w:r>
    </w:p>
    <w:p>
      <w:pPr>
        <w:spacing w:after="0" w:line="4" w:lineRule="exact"/>
        <w:rPr>
          <w:rFonts w:ascii="Times New Roman" w:cs="Times New Roman" w:eastAsia="Times New Roman" w:hAnsi="Times New Roman"/>
          <w:sz w:val="14"/>
          <w:szCs w:val="14"/>
          <w:color w:val="auto"/>
        </w:rPr>
      </w:pPr>
    </w:p>
    <w:p>
      <w:pPr>
        <w:ind w:left="220" w:right="299" w:hanging="5"/>
        <w:spacing w:after="0" w:line="256" w:lineRule="auto"/>
        <w:tabs>
          <w:tab w:leader="none" w:pos="442"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42" w:lineRule="exact"/>
        <w:rPr>
          <w:rFonts w:ascii="Times New Roman" w:cs="Times New Roman" w:eastAsia="Times New Roman" w:hAnsi="Times New Roman"/>
          <w:sz w:val="14"/>
          <w:szCs w:val="14"/>
          <w:color w:val="auto"/>
        </w:rPr>
      </w:pPr>
    </w:p>
    <w:p>
      <w:pPr>
        <w:ind w:left="220" w:right="279" w:firstLine="767"/>
        <w:spacing w:after="0" w:line="283" w:lineRule="auto"/>
        <w:tabs>
          <w:tab w:leader="none" w:pos="1182"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Company does not assume the defense in a Proceeding pursuant to paragraph (b) above, then the Company will be entitled to participate in the Proceeding at its own expense.</w:t>
      </w:r>
    </w:p>
    <w:p>
      <w:pPr>
        <w:spacing w:after="0" w:line="124" w:lineRule="exact"/>
        <w:rPr>
          <w:rFonts w:ascii="Times New Roman" w:cs="Times New Roman" w:eastAsia="Times New Roman" w:hAnsi="Times New Roman"/>
          <w:sz w:val="14"/>
          <w:szCs w:val="14"/>
          <w:color w:val="auto"/>
        </w:rPr>
      </w:pPr>
    </w:p>
    <w:p>
      <w:pPr>
        <w:ind w:left="220" w:right="299" w:firstLine="767"/>
        <w:spacing w:after="0" w:line="254" w:lineRule="auto"/>
        <w:tabs>
          <w:tab w:leader="none" w:pos="1190"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u w:val="single" w:color="auto"/>
          <w:color w:val="auto"/>
        </w:rPr>
        <w:t>Procedure Upon Application for Indemnification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99" w:firstLine="767"/>
        <w:spacing w:after="0" w:line="261" w:lineRule="auto"/>
        <w:tabs>
          <w:tab w:leader="none" w:pos="1182"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97" w:name="page398"/>
    <w:bookmarkEnd w:id="397"/>
    <w:p>
      <w:pPr>
        <w:ind w:left="220" w:right="2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w:t>
      </w:r>
    </w:p>
    <w:p>
      <w:pPr>
        <w:spacing w:after="0" w:line="2" w:lineRule="exact"/>
        <w:rPr>
          <w:sz w:val="20"/>
          <w:szCs w:val="20"/>
          <w:color w:val="auto"/>
        </w:rPr>
      </w:pPr>
    </w:p>
    <w:p>
      <w:pPr>
        <w:ind w:left="220" w:right="299" w:hanging="5"/>
        <w:spacing w:after="0" w:line="251" w:lineRule="auto"/>
        <w:tabs>
          <w:tab w:leader="none" w:pos="488"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51" w:lineRule="exact"/>
        <w:rPr>
          <w:rFonts w:ascii="Times New Roman" w:cs="Times New Roman" w:eastAsia="Times New Roman" w:hAnsi="Times New Roman"/>
          <w:sz w:val="14"/>
          <w:szCs w:val="14"/>
          <w:color w:val="auto"/>
        </w:rPr>
      </w:pPr>
    </w:p>
    <w:p>
      <w:pPr>
        <w:ind w:left="220" w:right="239" w:firstLine="767"/>
        <w:spacing w:after="0" w:line="252" w:lineRule="auto"/>
        <w:tabs>
          <w:tab w:leader="none" w:pos="1190"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determination of entitlement to indemnification is to be made by Independent Counsel pursuant to Section 10(a), the Independent Counsel shall be selected by the Board;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98" w:name="page399"/>
    <w:bookmarkEnd w:id="398"/>
    <w:p>
      <w:pPr>
        <w:jc w:val="both"/>
        <w:ind w:left="220" w:right="219" w:firstLine="767"/>
        <w:spacing w:after="0" w:line="261" w:lineRule="auto"/>
        <w:tabs>
          <w:tab w:leader="none" w:pos="1182"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Presumptions and Effect of Certain Proceedings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19" w:firstLine="767"/>
        <w:spacing w:after="0" w:line="261" w:lineRule="auto"/>
        <w:tabs>
          <w:tab w:leader="none" w:pos="1182"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40"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4"/>
          <w:szCs w:val="14"/>
          <w:u w:val="single" w:color="auto"/>
          <w:color w:val="auto"/>
        </w:rPr>
        <w:t>nolo contendere</w:t>
      </w:r>
      <w:r>
        <w:rPr>
          <w:rFonts w:ascii="Times New Roman" w:cs="Times New Roman" w:eastAsia="Times New Roman" w:hAnsi="Times New Roman"/>
          <w:sz w:val="14"/>
          <w:szCs w:val="14"/>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43" w:lineRule="exact"/>
        <w:rPr>
          <w:rFonts w:ascii="Times New Roman" w:cs="Times New Roman" w:eastAsia="Times New Roman" w:hAnsi="Times New Roman"/>
          <w:sz w:val="14"/>
          <w:szCs w:val="14"/>
          <w:color w:val="auto"/>
        </w:rPr>
      </w:pPr>
    </w:p>
    <w:p>
      <w:pPr>
        <w:ind w:left="220" w:right="359" w:firstLine="767"/>
        <w:spacing w:after="0" w:line="253" w:lineRule="auto"/>
        <w:tabs>
          <w:tab w:leader="none" w:pos="1182"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99" w:name="page400"/>
    <w:bookmarkEnd w:id="399"/>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12. </w:t>
      </w:r>
      <w:r>
        <w:rPr>
          <w:rFonts w:ascii="Times New Roman" w:cs="Times New Roman" w:eastAsia="Times New Roman" w:hAnsi="Times New Roman"/>
          <w:sz w:val="14"/>
          <w:szCs w:val="14"/>
          <w:u w:val="single" w:color="auto"/>
          <w:color w:val="auto"/>
        </w:rPr>
        <w:t>Remedies of Indemnitee</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59" w:firstLine="767"/>
        <w:spacing w:after="0" w:line="253" w:lineRule="auto"/>
        <w:tabs>
          <w:tab w:leader="none" w:pos="118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47" w:lineRule="exact"/>
        <w:rPr>
          <w:rFonts w:ascii="Times New Roman" w:cs="Times New Roman" w:eastAsia="Times New Roman" w:hAnsi="Times New Roman"/>
          <w:sz w:val="14"/>
          <w:szCs w:val="14"/>
          <w:color w:val="auto"/>
        </w:rPr>
      </w:pPr>
    </w:p>
    <w:p>
      <w:pPr>
        <w:ind w:left="220" w:right="279" w:firstLine="767"/>
        <w:spacing w:after="0" w:line="258" w:lineRule="auto"/>
        <w:tabs>
          <w:tab w:leader="none" w:pos="119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61" w:lineRule="auto"/>
        <w:tabs>
          <w:tab w:leader="none" w:pos="118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40" w:lineRule="exact"/>
        <w:rPr>
          <w:rFonts w:ascii="Times New Roman" w:cs="Times New Roman" w:eastAsia="Times New Roman" w:hAnsi="Times New Roman"/>
          <w:sz w:val="14"/>
          <w:szCs w:val="14"/>
          <w:color w:val="auto"/>
        </w:rPr>
      </w:pPr>
    </w:p>
    <w:p>
      <w:pPr>
        <w:ind w:left="220" w:right="399" w:firstLine="767"/>
        <w:spacing w:after="0" w:line="267" w:lineRule="auto"/>
        <w:tabs>
          <w:tab w:leader="none" w:pos="119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400" w:name="page401"/>
    <w:bookmarkEnd w:id="400"/>
    <w:p>
      <w:pPr>
        <w:ind w:left="220" w:right="239" w:firstLine="767"/>
        <w:spacing w:after="0" w:line="255" w:lineRule="auto"/>
        <w:tabs>
          <w:tab w:leader="none" w:pos="1182"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45" w:lineRule="exact"/>
        <w:rPr>
          <w:rFonts w:ascii="Times New Roman" w:cs="Times New Roman" w:eastAsia="Times New Roman" w:hAnsi="Times New Roman"/>
          <w:sz w:val="14"/>
          <w:szCs w:val="14"/>
          <w:color w:val="auto"/>
        </w:rPr>
      </w:pPr>
    </w:p>
    <w:p>
      <w:pPr>
        <w:ind w:left="220" w:right="879" w:firstLine="767"/>
        <w:spacing w:after="0" w:line="283" w:lineRule="auto"/>
        <w:tabs>
          <w:tab w:leader="none" w:pos="1167"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Non-exclusivity; Survival of Rights; Insurance; Subrogation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39" w:firstLine="767"/>
        <w:spacing w:after="0" w:line="254" w:lineRule="auto"/>
        <w:tabs>
          <w:tab w:leader="none" w:pos="1182"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6" w:lineRule="exact"/>
        <w:rPr>
          <w:rFonts w:ascii="Times New Roman" w:cs="Times New Roman" w:eastAsia="Times New Roman" w:hAnsi="Times New Roman"/>
          <w:sz w:val="14"/>
          <w:szCs w:val="14"/>
          <w:color w:val="auto"/>
        </w:rPr>
      </w:pPr>
    </w:p>
    <w:p>
      <w:pPr>
        <w:ind w:left="220" w:right="239" w:firstLine="767"/>
        <w:spacing w:after="0" w:line="254" w:lineRule="auto"/>
        <w:tabs>
          <w:tab w:leader="none" w:pos="119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401" w:name="page402"/>
    <w:bookmarkEnd w:id="401"/>
    <w:p>
      <w:pPr>
        <w:ind w:left="220" w:right="359" w:firstLine="767"/>
        <w:spacing w:after="0" w:line="267" w:lineRule="auto"/>
        <w:tabs>
          <w:tab w:leader="none" w:pos="1182"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35" w:lineRule="exact"/>
        <w:rPr>
          <w:rFonts w:ascii="Times New Roman" w:cs="Times New Roman" w:eastAsia="Times New Roman" w:hAnsi="Times New Roman"/>
          <w:sz w:val="14"/>
          <w:szCs w:val="14"/>
          <w:color w:val="auto"/>
        </w:rPr>
      </w:pPr>
    </w:p>
    <w:p>
      <w:pPr>
        <w:jc w:val="both"/>
        <w:ind w:left="220" w:right="299" w:firstLine="767"/>
        <w:spacing w:after="0" w:line="267" w:lineRule="auto"/>
        <w:tabs>
          <w:tab w:leader="none" w:pos="119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36" w:lineRule="exact"/>
        <w:rPr>
          <w:sz w:val="20"/>
          <w:szCs w:val="20"/>
          <w:color w:val="auto"/>
        </w:rPr>
      </w:pPr>
    </w:p>
    <w:p>
      <w:pPr>
        <w:ind w:left="220" w:right="27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Duration of Agreement</w:t>
      </w:r>
      <w:r>
        <w:rPr>
          <w:rFonts w:ascii="Times New Roman" w:cs="Times New Roman" w:eastAsia="Times New Roman" w:hAnsi="Times New Roman"/>
          <w:sz w:val="14"/>
          <w:szCs w:val="14"/>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49" w:lineRule="exact"/>
        <w:rPr>
          <w:sz w:val="20"/>
          <w:szCs w:val="20"/>
          <w:color w:val="auto"/>
        </w:rPr>
      </w:pPr>
    </w:p>
    <w:p>
      <w:pPr>
        <w:ind w:left="220" w:right="259" w:firstLine="343"/>
        <w:spacing w:after="0" w:line="274"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left="220" w:right="399" w:hanging="5"/>
        <w:spacing w:after="0" w:line="256" w:lineRule="auto"/>
        <w:tabs>
          <w:tab w:leader="none" w:pos="41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402" w:name="page403"/>
    <w:bookmarkEnd w:id="402"/>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16. </w:t>
      </w:r>
      <w:r>
        <w:rPr>
          <w:rFonts w:ascii="Times New Roman" w:cs="Times New Roman" w:eastAsia="Times New Roman" w:hAnsi="Times New Roman"/>
          <w:sz w:val="14"/>
          <w:szCs w:val="14"/>
          <w:u w:val="single" w:color="auto"/>
          <w:color w:val="auto"/>
        </w:rPr>
        <w:t>Enforcement</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99" w:firstLine="767"/>
        <w:spacing w:after="0" w:line="267" w:lineRule="auto"/>
        <w:tabs>
          <w:tab w:leader="none" w:pos="1182"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expressly confirms and agrees that it has entered into this Agreement and assumed the obligations imposed on it hereby in order to induce Indemnitee [to serve] [continue to serve] as [a director and] an officer of the Company, and the Company acknowledges that Indemnitee is relying upon this Agreement in serving as [a director and] an officer of the Company.</w:t>
      </w:r>
    </w:p>
    <w:p>
      <w:pPr>
        <w:spacing w:after="0" w:line="135" w:lineRule="exact"/>
        <w:rPr>
          <w:rFonts w:ascii="Times New Roman" w:cs="Times New Roman" w:eastAsia="Times New Roman" w:hAnsi="Times New Roman"/>
          <w:sz w:val="14"/>
          <w:szCs w:val="14"/>
          <w:color w:val="auto"/>
        </w:rPr>
      </w:pPr>
    </w:p>
    <w:p>
      <w:pPr>
        <w:jc w:val="both"/>
        <w:ind w:left="220" w:right="279" w:firstLine="767"/>
        <w:spacing w:after="0" w:line="261" w:lineRule="auto"/>
        <w:tabs>
          <w:tab w:leader="none" w:pos="119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w:t>
      </w:r>
    </w:p>
    <w:p>
      <w:pPr>
        <w:spacing w:after="0" w:line="141"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Modification and Waiver</w:t>
      </w:r>
      <w:r>
        <w:rPr>
          <w:rFonts w:ascii="Times New Roman" w:cs="Times New Roman" w:eastAsia="Times New Roman" w:hAnsi="Times New Roman"/>
          <w:sz w:val="14"/>
          <w:szCs w:val="14"/>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44" w:lineRule="exact"/>
        <w:rPr>
          <w:sz w:val="20"/>
          <w:szCs w:val="20"/>
          <w:color w:val="auto"/>
        </w:rPr>
      </w:pPr>
    </w:p>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Notice by Indemnitee</w:t>
      </w:r>
      <w:r>
        <w:rPr>
          <w:rFonts w:ascii="Times New Roman" w:cs="Times New Roman" w:eastAsia="Times New Roman" w:hAnsi="Times New Roman"/>
          <w:sz w:val="14"/>
          <w:szCs w:val="14"/>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44" w:lineRule="exact"/>
        <w:rPr>
          <w:sz w:val="20"/>
          <w:szCs w:val="20"/>
          <w:color w:val="auto"/>
        </w:rPr>
      </w:pPr>
    </w:p>
    <w:p>
      <w:pPr>
        <w:ind w:left="220" w:right="4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spacing w:after="0" w:line="1" w:lineRule="exact"/>
        <w:rPr>
          <w:sz w:val="20"/>
          <w:szCs w:val="20"/>
          <w:color w:val="auto"/>
        </w:rPr>
      </w:pPr>
    </w:p>
    <w:p>
      <w:pPr>
        <w:ind w:left="220" w:right="279" w:hanging="5"/>
        <w:spacing w:after="0" w:line="256" w:lineRule="auto"/>
        <w:tabs>
          <w:tab w:leader="none" w:pos="426"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58"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Indemnitee, at such address as Indemnitee shall provide to the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403" w:name="page404"/>
    <w:bookmarkEnd w:id="403"/>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 If to the Company to:</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Seaport Therapeutics, Inc.</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101 Seaport Blvd., Floor 12, Boston,</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MA 02210 USA</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 Attention: Chief Executive Officer</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or to any other address as may have been furnished to Indemnitee by the Company.</w:t>
      </w:r>
    </w:p>
    <w:p>
      <w:pPr>
        <w:spacing w:after="0" w:line="175"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20.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43"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Internal Revenue Code Section 409A</w:t>
      </w:r>
      <w:r>
        <w:rPr>
          <w:rFonts w:ascii="Times New Roman" w:cs="Times New Roman" w:eastAsia="Times New Roman" w:hAnsi="Times New Roman"/>
          <w:sz w:val="14"/>
          <w:szCs w:val="14"/>
          <w:color w:val="auto"/>
        </w:rPr>
        <w:t>.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43" w:lineRule="exact"/>
        <w:rPr>
          <w:sz w:val="20"/>
          <w:szCs w:val="20"/>
          <w:color w:val="auto"/>
        </w:rPr>
      </w:pPr>
    </w:p>
    <w:p>
      <w:pPr>
        <w:ind w:left="220" w:right="3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Applicable Law and Consent to Jurisdiction</w:t>
      </w:r>
      <w:r>
        <w:rPr>
          <w:rFonts w:ascii="Times New Roman" w:cs="Times New Roman" w:eastAsia="Times New Roman" w:hAnsi="Times New Roman"/>
          <w:sz w:val="14"/>
          <w:szCs w:val="14"/>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404" w:name="page405"/>
    <w:bookmarkEnd w:id="404"/>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23.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paragraphs of this Agreement are inserted for convenience only and shall not be deemed to constitute part of this Agreement or to affect the construction thereof.</w:t>
      </w:r>
    </w:p>
    <w:p>
      <w:pPr>
        <w:spacing w:after="0" w:line="125"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Identical Counterparts</w:t>
      </w:r>
      <w:r>
        <w:rPr>
          <w:rFonts w:ascii="Times New Roman" w:cs="Times New Roman" w:eastAsia="Times New Roman" w:hAnsi="Times New Roman"/>
          <w:sz w:val="14"/>
          <w:szCs w:val="14"/>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36"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Monetary Damages Insufficient/Specific Enforcement</w:t>
      </w:r>
      <w:r>
        <w:rPr>
          <w:rFonts w:ascii="Times New Roman" w:cs="Times New Roman" w:eastAsia="Times New Roman" w:hAnsi="Times New Roman"/>
          <w:sz w:val="14"/>
          <w:szCs w:val="14"/>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405" w:name="page406"/>
    <w:bookmarkEnd w:id="405"/>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Agreement to be signed as of the day and year first above written.</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SEAPORT THERAPEUTICS, INC.</w:t>
      </w:r>
    </w:p>
    <w:p>
      <w:pPr>
        <w:spacing w:after="0" w:line="18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-101600</wp:posOffset>
            </wp:positionV>
            <wp:extent cx="202247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3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-99060</wp:posOffset>
            </wp:positionV>
            <wp:extent cx="202247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406" w:name="page407"/>
    <w:bookmarkEnd w:id="40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INDEMNIFICATION AGREEMENT</w:t>
      </w:r>
    </w:p>
    <w:p>
      <w:pPr>
        <w:spacing w:after="0" w:line="161" w:lineRule="exact"/>
        <w:rPr>
          <w:sz w:val="20"/>
          <w:szCs w:val="20"/>
          <w:color w:val="auto"/>
        </w:rPr>
      </w:pPr>
    </w:p>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t>This Indemnification Agreement (“Agreement”) is made as of [Date] by and between Seaport Therapeutics, Inc., a Delaware corporation (the “Company”), and [Director Name] (“Indemnitee”).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RECITALS</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WHEREAS, the Company desires to attract and retain the services of highly qualified individuals, such as Indemnitee, to serve the Company;</w:t>
      </w:r>
    </w:p>
    <w:p>
      <w:pPr>
        <w:spacing w:after="0" w:line="175" w:lineRule="exact"/>
        <w:rPr>
          <w:sz w:val="20"/>
          <w:szCs w:val="20"/>
          <w:color w:val="auto"/>
        </w:rPr>
      </w:pPr>
    </w:p>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t>WHEREAS, in order to induce Indemnitee to [provide][continue to provide] services to the Company, the Company wishes to provide for the indemnification of, and advancement of expenses to, Indemnitee to the maximum extent permitted by law;</w:t>
      </w:r>
    </w:p>
    <w:p>
      <w:pPr>
        <w:spacing w:after="0" w:line="125" w:lineRule="exact"/>
        <w:rPr>
          <w:sz w:val="20"/>
          <w:szCs w:val="20"/>
          <w:color w:val="auto"/>
        </w:rPr>
      </w:pPr>
    </w:p>
    <w:p>
      <w:pPr>
        <w:jc w:val="both"/>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WHEREAS, the Amended and Restated Certificate of Incorporation (as amended and in effect from time to time, the “Charter”) and the Amended and Restated Bylaws (as amended and in effect from time to time, the “Bylaws”) of the Company require indemnification of the officers and directors of the Company, and Indemnitee may also be entitled to indemnification pursuant to the General Corporation Law of the State of Delaware (the “DGCL”);</w:t>
      </w:r>
    </w:p>
    <w:p>
      <w:pPr>
        <w:spacing w:after="0" w:line="136"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36"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WHEREAS, the Board of Directors of the Company (the “Board”) has determined that the increased difficulty in attracting and retaining highly qualified persons such as Indemnitee is detrimental to the best interests of the Company’s stockholders;</w:t>
      </w:r>
    </w:p>
    <w:p>
      <w:pPr>
        <w:spacing w:after="0" w:line="12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[continue to serve] the Company free from undue concern that they will not be so indemnified;</w:t>
      </w:r>
    </w:p>
    <w:p>
      <w:pPr>
        <w:spacing w:after="0" w:line="136" w:lineRule="exact"/>
        <w:rPr>
          <w:sz w:val="20"/>
          <w:szCs w:val="20"/>
          <w:color w:val="auto"/>
        </w:rPr>
      </w:pPr>
    </w:p>
    <w:p>
      <w:pPr>
        <w:ind w:left="220" w:right="319" w:firstLine="343"/>
        <w:spacing w:after="0" w:line="323" w:lineRule="auto"/>
        <w:rPr>
          <w:sz w:val="20"/>
          <w:szCs w:val="20"/>
          <w:color w:val="auto"/>
        </w:rPr>
      </w:pPr>
      <w:r>
        <w:rPr>
          <w:rFonts w:ascii="Times New Roman" w:cs="Times New Roman" w:eastAsia="Times New Roman" w:hAnsi="Times New Roman"/>
          <w:sz w:val="13"/>
          <w:szCs w:val="13"/>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02" w:lineRule="exact"/>
        <w:rPr>
          <w:sz w:val="20"/>
          <w:szCs w:val="20"/>
          <w:color w:val="auto"/>
        </w:rPr>
      </w:pPr>
    </w:p>
    <w:p>
      <w:pPr>
        <w:ind w:left="220" w:right="719" w:firstLine="343"/>
        <w:spacing w:after="0" w:line="261" w:lineRule="auto"/>
        <w:rPr>
          <w:sz w:val="20"/>
          <w:szCs w:val="20"/>
          <w:color w:val="auto"/>
        </w:rPr>
      </w:pPr>
      <w:r>
        <w:rPr>
          <w:rFonts w:ascii="Times New Roman" w:cs="Times New Roman" w:eastAsia="Times New Roman" w:hAnsi="Times New Roman"/>
          <w:sz w:val="14"/>
          <w:szCs w:val="14"/>
          <w:color w:val="auto"/>
        </w:rPr>
        <w:t>[WHEREAS, Indemnitee has certain rights to indemnification and/or insurance provided by [Name of Fund/Sponsor] (“[Name of Fund/Sponsor]”) which Indemnitee and [Name of Fund/Sponsor] intend to be secondary to the primary obligation of the Company to indemnify Indemnitee as provided in this Agreement, with the Company’s acknowledgment and agreement to the foregoing being a material condition to Indemnitee’s willingness to [serve] [continue to serve] on the Board.]</w:t>
      </w:r>
    </w:p>
    <w:p>
      <w:pPr>
        <w:sectPr>
          <w:pgSz w:w="11900" w:h="16838" w:orient="portrait"/>
          <w:cols w:equalWidth="0" w:num="1">
            <w:col w:w="9019"/>
          </w:cols>
          <w:pgMar w:left="1440" w:top="123" w:right="1440" w:bottom="1440" w:gutter="0" w:footer="0" w:header="0"/>
        </w:sectPr>
      </w:pPr>
    </w:p>
    <w:bookmarkStart w:id="407" w:name="page408"/>
    <w:bookmarkEnd w:id="407"/>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NOW, THEREFORE, in consideration of the premises and the covenants contained herein, the Company and Indemnitee do hereby covenant and agree as follows:</w:t>
      </w:r>
    </w:p>
    <w:p>
      <w:pPr>
        <w:spacing w:after="0" w:line="41"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Services to the Company</w:t>
      </w:r>
      <w:r>
        <w:rPr>
          <w:rFonts w:ascii="Times New Roman" w:cs="Times New Roman" w:eastAsia="Times New Roman" w:hAnsi="Times New Roman"/>
          <w:sz w:val="14"/>
          <w:szCs w:val="14"/>
          <w:color w:val="auto"/>
        </w:rPr>
        <w:t>. Indemnitee agrees to [serve]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2. Definitions.</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 used in this Agreement:</w:t>
      </w:r>
    </w:p>
    <w:p>
      <w:pPr>
        <w:spacing w:after="0" w:line="91" w:lineRule="exact"/>
        <w:rPr>
          <w:sz w:val="20"/>
          <w:szCs w:val="20"/>
          <w:color w:val="auto"/>
        </w:rPr>
      </w:pPr>
    </w:p>
    <w:p>
      <w:pPr>
        <w:ind w:left="220" w:right="379" w:firstLine="767"/>
        <w:spacing w:after="0" w:line="261" w:lineRule="auto"/>
        <w:tabs>
          <w:tab w:leader="none" w:pos="1182"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shall be deemed the “Beneficial Owner” of, and shall be deemed to “Beneficially Own” and have “Beneficial Ownership” of,</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w:t>
      </w:r>
    </w:p>
    <w:p>
      <w:pPr>
        <w:spacing w:after="0" w:line="77" w:lineRule="exact"/>
        <w:rPr>
          <w:sz w:val="20"/>
          <w:szCs w:val="20"/>
          <w:color w:val="auto"/>
        </w:rPr>
      </w:pPr>
    </w:p>
    <w:p>
      <w:pPr>
        <w:ind w:left="220" w:right="279" w:firstLine="767"/>
        <w:spacing w:after="0" w:line="283" w:lineRule="auto"/>
        <w:tabs>
          <w:tab w:leader="none" w:pos="1159"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24" w:lineRule="exact"/>
        <w:rPr>
          <w:rFonts w:ascii="Times New Roman" w:cs="Times New Roman" w:eastAsia="Times New Roman" w:hAnsi="Times New Roman"/>
          <w:sz w:val="14"/>
          <w:szCs w:val="14"/>
          <w:color w:val="auto"/>
        </w:rPr>
      </w:pPr>
    </w:p>
    <w:p>
      <w:pPr>
        <w:ind w:left="220" w:right="259" w:firstLine="767"/>
        <w:spacing w:after="0" w:line="256" w:lineRule="auto"/>
        <w:tabs>
          <w:tab w:leader="none" w:pos="1198"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cs="Times New Roman" w:eastAsia="Times New Roman" w:hAnsi="Times New Roman"/>
          <w:sz w:val="14"/>
          <w:szCs w:val="14"/>
          <w:i w:val="1"/>
          <w:iCs w:val="1"/>
          <w:color w:val="auto"/>
        </w:rPr>
        <w:t>bona fid</w:t>
      </w:r>
      <w:r>
        <w:rPr>
          <w:rFonts w:ascii="Times New Roman" w:cs="Times New Roman" w:eastAsia="Times New Roman" w:hAnsi="Times New Roman"/>
          <w:sz w:val="14"/>
          <w:szCs w:val="14"/>
          <w:color w:val="auto"/>
        </w:rPr>
        <w:t>e public offering of securities);</w:t>
      </w:r>
    </w:p>
    <w:p>
      <w:pPr>
        <w:spacing w:after="0" w:line="143" w:lineRule="exact"/>
        <w:rPr>
          <w:rFonts w:ascii="Times New Roman" w:cs="Times New Roman" w:eastAsia="Times New Roman" w:hAnsi="Times New Roman"/>
          <w:sz w:val="14"/>
          <w:szCs w:val="14"/>
          <w:color w:val="auto"/>
        </w:rPr>
      </w:pPr>
    </w:p>
    <w:p>
      <w:pPr>
        <w:ind w:left="220" w:right="579" w:firstLine="767"/>
        <w:spacing w:after="0" w:line="261" w:lineRule="auto"/>
        <w:tabs>
          <w:tab w:leader="none" w:pos="1237"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public offering of securities) for the purpose of acquiring, holding, voting or disposing of any securities of the Company; or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408" w:name="page409"/>
    <w:bookmarkEnd w:id="408"/>
    <w:p>
      <w:pPr>
        <w:ind w:left="220" w:right="239" w:firstLine="767"/>
        <w:spacing w:after="0" w:line="255" w:lineRule="auto"/>
        <w:tabs>
          <w:tab w:leader="none" w:pos="1229"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45" w:lineRule="exact"/>
        <w:rPr>
          <w:sz w:val="20"/>
          <w:szCs w:val="20"/>
          <w:color w:val="auto"/>
        </w:rPr>
      </w:pPr>
    </w:p>
    <w:p>
      <w:pPr>
        <w:ind w:left="220" w:right="679" w:firstLine="343"/>
        <w:spacing w:after="0" w:line="283" w:lineRule="auto"/>
        <w:rPr>
          <w:sz w:val="20"/>
          <w:szCs w:val="20"/>
          <w:color w:val="auto"/>
        </w:rPr>
      </w:pPr>
      <w:r>
        <w:rPr>
          <w:rFonts w:ascii="Times New Roman" w:cs="Times New Roman" w:eastAsia="Times New Roman" w:hAnsi="Times New Roman"/>
          <w:sz w:val="14"/>
          <w:szCs w:val="14"/>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A “Change in Control” shall be deemed to occur upon the earliest to occur after the date of this Agreement of any of the following</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events:</w:t>
      </w:r>
    </w:p>
    <w:p>
      <w:pPr>
        <w:spacing w:after="0" w:line="77" w:lineRule="exact"/>
        <w:rPr>
          <w:sz w:val="20"/>
          <w:szCs w:val="20"/>
          <w:color w:val="auto"/>
        </w:rPr>
      </w:pPr>
    </w:p>
    <w:p>
      <w:pPr>
        <w:ind w:left="220" w:right="339" w:firstLine="767"/>
        <w:spacing w:after="0" w:line="257" w:lineRule="auto"/>
        <w:tabs>
          <w:tab w:leader="none" w:pos="1159"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 of Stock by Third Party</w:t>
      </w:r>
      <w:r>
        <w:rPr>
          <w:rFonts w:ascii="Times New Roman" w:cs="Times New Roman" w:eastAsia="Times New Roman" w:hAnsi="Times New Roman"/>
          <w:sz w:val="14"/>
          <w:szCs w:val="14"/>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43" w:lineRule="exact"/>
        <w:rPr>
          <w:rFonts w:ascii="Times New Roman" w:cs="Times New Roman" w:eastAsia="Times New Roman" w:hAnsi="Times New Roman"/>
          <w:sz w:val="14"/>
          <w:szCs w:val="14"/>
          <w:color w:val="auto"/>
        </w:rPr>
      </w:pPr>
    </w:p>
    <w:p>
      <w:pPr>
        <w:ind w:left="220" w:right="359" w:firstLine="767"/>
        <w:spacing w:after="0" w:line="257" w:lineRule="auto"/>
        <w:tabs>
          <w:tab w:leader="none" w:pos="1198"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Board of Directors</w:t>
      </w:r>
      <w:r>
        <w:rPr>
          <w:rFonts w:ascii="Times New Roman" w:cs="Times New Roman" w:eastAsia="Times New Roman" w:hAnsi="Times New Roman"/>
          <w:sz w:val="14"/>
          <w:szCs w:val="14"/>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58" w:lineRule="auto"/>
        <w:tabs>
          <w:tab w:leader="none" w:pos="1237"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Transactions.</w:t>
      </w:r>
      <w:r>
        <w:rPr>
          <w:rFonts w:ascii="Times New Roman" w:cs="Times New Roman" w:eastAsia="Times New Roman" w:hAnsi="Times New Roman"/>
          <w:sz w:val="14"/>
          <w:szCs w:val="14"/>
          <w:color w:val="auto"/>
        </w:rPr>
        <w:t xml:space="preserve">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09" w:name="page410"/>
    <w:bookmarkEnd w:id="409"/>
    <w:p>
      <w:pPr>
        <w:ind w:left="220" w:right="259" w:firstLine="767"/>
        <w:spacing w:after="0" w:line="283" w:lineRule="auto"/>
        <w:tabs>
          <w:tab w:leader="none" w:pos="1229"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Liquidation</w:t>
      </w:r>
      <w:r>
        <w:rPr>
          <w:rFonts w:ascii="Times New Roman" w:cs="Times New Roman" w:eastAsia="Times New Roman" w:hAnsi="Times New Roman"/>
          <w:sz w:val="14"/>
          <w:szCs w:val="14"/>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24" w:lineRule="exact"/>
        <w:rPr>
          <w:rFonts w:ascii="Times New Roman" w:cs="Times New Roman" w:eastAsia="Times New Roman" w:hAnsi="Times New Roman"/>
          <w:sz w:val="14"/>
          <w:szCs w:val="14"/>
          <w:color w:val="auto"/>
        </w:rPr>
      </w:pPr>
    </w:p>
    <w:p>
      <w:pPr>
        <w:ind w:left="220" w:right="319" w:firstLine="767"/>
        <w:spacing w:after="0" w:line="267" w:lineRule="auto"/>
        <w:tabs>
          <w:tab w:leader="none" w:pos="119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Events</w:t>
      </w:r>
      <w:r>
        <w:rPr>
          <w:rFonts w:ascii="Times New Roman" w:cs="Times New Roman" w:eastAsia="Times New Roman" w:hAnsi="Times New Roman"/>
          <w:sz w:val="14"/>
          <w:szCs w:val="14"/>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36" w:lineRule="exact"/>
        <w:rPr>
          <w:sz w:val="20"/>
          <w:szCs w:val="20"/>
          <w:color w:val="auto"/>
        </w:rPr>
      </w:pPr>
    </w:p>
    <w:p>
      <w:pPr>
        <w:ind w:left="220" w:right="679" w:firstLine="767"/>
        <w:spacing w:after="0" w:line="283" w:lineRule="auto"/>
        <w:tabs>
          <w:tab w:leader="none" w:pos="119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Status”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124" w:lineRule="exact"/>
        <w:rPr>
          <w:rFonts w:ascii="Times New Roman" w:cs="Times New Roman" w:eastAsia="Times New Roman" w:hAnsi="Times New Roman"/>
          <w:sz w:val="14"/>
          <w:szCs w:val="14"/>
          <w:color w:val="auto"/>
        </w:rPr>
      </w:pPr>
    </w:p>
    <w:p>
      <w:pPr>
        <w:ind w:left="220" w:right="279" w:firstLine="767"/>
        <w:spacing w:after="0" w:line="261" w:lineRule="auto"/>
        <w:tabs>
          <w:tab w:leader="none" w:pos="118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40" w:lineRule="exact"/>
        <w:rPr>
          <w:rFonts w:ascii="Times New Roman" w:cs="Times New Roman" w:eastAsia="Times New Roman" w:hAnsi="Times New Roman"/>
          <w:sz w:val="14"/>
          <w:szCs w:val="14"/>
          <w:color w:val="auto"/>
        </w:rPr>
      </w:pPr>
    </w:p>
    <w:p>
      <w:pPr>
        <w:jc w:val="both"/>
        <w:ind w:left="220" w:right="539" w:firstLine="767"/>
        <w:spacing w:after="0" w:line="267" w:lineRule="auto"/>
        <w:tabs>
          <w:tab w:leader="none" w:pos="1167"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35" w:lineRule="exact"/>
        <w:rPr>
          <w:rFonts w:ascii="Times New Roman" w:cs="Times New Roman" w:eastAsia="Times New Roman" w:hAnsi="Times New Roman"/>
          <w:sz w:val="14"/>
          <w:szCs w:val="14"/>
          <w:color w:val="auto"/>
        </w:rPr>
      </w:pPr>
    </w:p>
    <w:p>
      <w:pPr>
        <w:ind w:left="220" w:right="259" w:firstLine="767"/>
        <w:spacing w:after="0" w:line="258" w:lineRule="auto"/>
        <w:tabs>
          <w:tab w:leader="none" w:pos="119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61" w:lineRule="auto"/>
        <w:tabs>
          <w:tab w:leader="none" w:pos="119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Counsel”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10" w:name="page411"/>
    <w:bookmarkEnd w:id="410"/>
    <w:p>
      <w:pPr>
        <w:ind w:left="220" w:right="2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44" w:lineRule="exact"/>
        <w:rPr>
          <w:sz w:val="20"/>
          <w:szCs w:val="20"/>
          <w:color w:val="auto"/>
        </w:rPr>
      </w:pPr>
    </w:p>
    <w:p>
      <w:pPr>
        <w:jc w:val="both"/>
        <w:ind w:left="220" w:right="319" w:firstLine="767"/>
        <w:spacing w:after="0" w:line="267" w:lineRule="auto"/>
        <w:tabs>
          <w:tab w:leader="none" w:pos="1159"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spacing w:after="0" w:line="135" w:lineRule="exact"/>
        <w:rPr>
          <w:rFonts w:ascii="Times New Roman" w:cs="Times New Roman" w:eastAsia="Times New Roman" w:hAnsi="Times New Roman"/>
          <w:sz w:val="14"/>
          <w:szCs w:val="14"/>
          <w:color w:val="auto"/>
        </w:rPr>
      </w:pPr>
    </w:p>
    <w:p>
      <w:pPr>
        <w:ind w:left="220" w:right="279" w:firstLine="767"/>
        <w:spacing w:after="0" w:line="254" w:lineRule="auto"/>
        <w:tabs>
          <w:tab w:leader="none" w:pos="1159"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spacing w:after="0" w:line="146"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Indemnity in Third-Party Proceedings</w:t>
      </w:r>
      <w:r>
        <w:rPr>
          <w:rFonts w:ascii="Times New Roman" w:cs="Times New Roman" w:eastAsia="Times New Roman" w:hAnsi="Times New Roman"/>
          <w:sz w:val="14"/>
          <w:szCs w:val="14"/>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4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Indemnity in Proceedings by or in the Right of the Company</w:t>
      </w:r>
      <w:r>
        <w:rPr>
          <w:rFonts w:ascii="Times New Roman" w:cs="Times New Roman" w:eastAsia="Times New Roman" w:hAnsi="Times New Roman"/>
          <w:sz w:val="14"/>
          <w:szCs w:val="14"/>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411" w:name="page412"/>
    <w:bookmarkEnd w:id="411"/>
    <w:p>
      <w:pPr>
        <w:ind w:left="220" w:right="2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43"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Indemnification for Expenses of a Party Who is Wholly or Partly Successful</w:t>
      </w:r>
      <w:r>
        <w:rPr>
          <w:rFonts w:ascii="Times New Roman" w:cs="Times New Roman" w:eastAsia="Times New Roman" w:hAnsi="Times New Roman"/>
          <w:sz w:val="14"/>
          <w:szCs w:val="14"/>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45" w:lineRule="exact"/>
        <w:rPr>
          <w:sz w:val="20"/>
          <w:szCs w:val="20"/>
          <w:color w:val="auto"/>
        </w:rPr>
      </w:pPr>
    </w:p>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Reimbursement for Expenses of a Witness or in Response to a Subpoena</w:t>
      </w:r>
      <w:r>
        <w:rPr>
          <w:rFonts w:ascii="Times New Roman" w:cs="Times New Roman" w:eastAsia="Times New Roman" w:hAnsi="Times New Roman"/>
          <w:sz w:val="14"/>
          <w:szCs w:val="14"/>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Exclusions</w:t>
      </w:r>
      <w:r>
        <w:rPr>
          <w:rFonts w:ascii="Times New Roman" w:cs="Times New Roman" w:eastAsia="Times New Roman" w:hAnsi="Times New Roman"/>
          <w:sz w:val="14"/>
          <w:szCs w:val="14"/>
          <w:color w:val="auto"/>
        </w:rPr>
        <w:t>. Notwithstanding any provision in this Agreement to the contrary, the Company shall not be obligated under this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Agreement:</w:t>
      </w:r>
    </w:p>
    <w:p>
      <w:pPr>
        <w:spacing w:after="0" w:line="77" w:lineRule="exact"/>
        <w:rPr>
          <w:sz w:val="20"/>
          <w:szCs w:val="20"/>
          <w:color w:val="auto"/>
        </w:rPr>
      </w:pPr>
    </w:p>
    <w:p>
      <w:pPr>
        <w:jc w:val="both"/>
        <w:ind w:left="220" w:right="239" w:firstLine="767"/>
        <w:spacing w:after="0" w:line="261" w:lineRule="auto"/>
        <w:tabs>
          <w:tab w:leader="none" w:pos="118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 [or, (ii) affect the rights of Indemnitee or the Fund Indemnitors as set forth in Section 13(c)];</w:t>
      </w:r>
    </w:p>
    <w:p>
      <w:pPr>
        <w:spacing w:after="0" w:line="140" w:lineRule="exact"/>
        <w:rPr>
          <w:rFonts w:ascii="Times New Roman" w:cs="Times New Roman" w:eastAsia="Times New Roman" w:hAnsi="Times New Roman"/>
          <w:sz w:val="14"/>
          <w:szCs w:val="14"/>
          <w:color w:val="auto"/>
        </w:rPr>
      </w:pPr>
    </w:p>
    <w:p>
      <w:pPr>
        <w:ind w:left="220" w:right="319" w:firstLine="767"/>
        <w:spacing w:after="0" w:line="267" w:lineRule="auto"/>
        <w:tabs>
          <w:tab w:leader="none" w:pos="119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(“SOX”);</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412" w:name="page413"/>
    <w:bookmarkEnd w:id="412"/>
    <w:p>
      <w:pPr>
        <w:jc w:val="both"/>
        <w:ind w:left="220" w:right="499" w:firstLine="767"/>
        <w:spacing w:after="0" w:line="281" w:lineRule="auto"/>
        <w:tabs>
          <w:tab w:leader="none" w:pos="1182" w:val="left"/>
        </w:tabs>
        <w:numPr>
          <w:ilvl w:val="1"/>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spacing w:after="0" w:line="1" w:lineRule="exact"/>
        <w:rPr>
          <w:rFonts w:ascii="Times New Roman" w:cs="Times New Roman" w:eastAsia="Times New Roman" w:hAnsi="Times New Roman"/>
          <w:sz w:val="13"/>
          <w:szCs w:val="13"/>
          <w:color w:val="auto"/>
        </w:rPr>
      </w:pPr>
    </w:p>
    <w:p>
      <w:pPr>
        <w:ind w:left="220" w:right="339" w:hanging="5"/>
        <w:spacing w:after="0" w:line="253" w:lineRule="auto"/>
        <w:tabs>
          <w:tab w:leader="none" w:pos="426"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46" w:lineRule="exact"/>
        <w:rPr>
          <w:rFonts w:ascii="Times New Roman" w:cs="Times New Roman" w:eastAsia="Times New Roman" w:hAnsi="Times New Roman"/>
          <w:sz w:val="14"/>
          <w:szCs w:val="14"/>
          <w:color w:val="auto"/>
        </w:rPr>
      </w:pPr>
    </w:p>
    <w:p>
      <w:pPr>
        <w:ind w:left="220" w:right="259" w:firstLine="767"/>
        <w:spacing w:after="0" w:line="283" w:lineRule="auto"/>
        <w:tabs>
          <w:tab w:leader="none" w:pos="1190" w:val="left"/>
        </w:tabs>
        <w:numPr>
          <w:ilvl w:val="1"/>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any indemnification or advancement of expenses that is prohibited by applicable law (as such law exists at the time payment would otherwise be required pursuant to this Agreement).</w:t>
      </w:r>
    </w:p>
    <w:p>
      <w:pPr>
        <w:spacing w:after="0" w:line="125" w:lineRule="exact"/>
        <w:rPr>
          <w:sz w:val="20"/>
          <w:szCs w:val="20"/>
          <w:color w:val="auto"/>
        </w:rPr>
      </w:pPr>
    </w:p>
    <w:p>
      <w:pPr>
        <w:ind w:left="220" w:right="21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Advancement of Expenses</w:t>
      </w:r>
      <w:r>
        <w:rPr>
          <w:rFonts w:ascii="Times New Roman" w:cs="Times New Roman" w:eastAsia="Times New Roman" w:hAnsi="Times New Roman"/>
          <w:sz w:val="14"/>
          <w:szCs w:val="14"/>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9. Procedure for Notification and Defense of Claim.</w:t>
      </w:r>
    </w:p>
    <w:p>
      <w:pPr>
        <w:spacing w:after="0" w:line="175" w:lineRule="exact"/>
        <w:rPr>
          <w:sz w:val="20"/>
          <w:szCs w:val="20"/>
          <w:color w:val="auto"/>
        </w:rPr>
      </w:pPr>
    </w:p>
    <w:p>
      <w:pPr>
        <w:jc w:val="both"/>
        <w:ind w:left="220" w:right="479" w:firstLine="767"/>
        <w:spacing w:after="0" w:line="267" w:lineRule="auto"/>
        <w:tabs>
          <w:tab w:leader="none" w:pos="1182"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13" w:name="page414"/>
    <w:bookmarkEnd w:id="413"/>
    <w:p>
      <w:pPr>
        <w:ind w:left="220" w:right="279" w:firstLine="767"/>
        <w:spacing w:after="0" w:line="253" w:lineRule="auto"/>
        <w:tabs>
          <w:tab w:leader="none" w:pos="1190"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w:t>
      </w:r>
    </w:p>
    <w:p>
      <w:pPr>
        <w:spacing w:after="0" w:line="4" w:lineRule="exact"/>
        <w:rPr>
          <w:rFonts w:ascii="Times New Roman" w:cs="Times New Roman" w:eastAsia="Times New Roman" w:hAnsi="Times New Roman"/>
          <w:sz w:val="14"/>
          <w:szCs w:val="14"/>
          <w:color w:val="auto"/>
        </w:rPr>
      </w:pPr>
    </w:p>
    <w:p>
      <w:pPr>
        <w:ind w:left="220" w:right="339" w:hanging="5"/>
        <w:spacing w:after="0" w:line="256" w:lineRule="auto"/>
        <w:tabs>
          <w:tab w:leader="none" w:pos="442"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42" w:lineRule="exact"/>
        <w:rPr>
          <w:rFonts w:ascii="Times New Roman" w:cs="Times New Roman" w:eastAsia="Times New Roman" w:hAnsi="Times New Roman"/>
          <w:sz w:val="14"/>
          <w:szCs w:val="14"/>
          <w:color w:val="auto"/>
        </w:rPr>
      </w:pPr>
    </w:p>
    <w:p>
      <w:pPr>
        <w:ind w:left="220" w:right="279" w:firstLine="767"/>
        <w:spacing w:after="0" w:line="283" w:lineRule="auto"/>
        <w:tabs>
          <w:tab w:leader="none" w:pos="1182"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Company does not assume the defense in a Proceeding pursuant to paragraph (b) above, then the Company will be entitled to participate in the Proceeding at its own expense.</w:t>
      </w:r>
    </w:p>
    <w:p>
      <w:pPr>
        <w:spacing w:after="0" w:line="124" w:lineRule="exact"/>
        <w:rPr>
          <w:rFonts w:ascii="Times New Roman" w:cs="Times New Roman" w:eastAsia="Times New Roman" w:hAnsi="Times New Roman"/>
          <w:sz w:val="14"/>
          <w:szCs w:val="14"/>
          <w:color w:val="auto"/>
        </w:rPr>
      </w:pPr>
    </w:p>
    <w:p>
      <w:pPr>
        <w:ind w:left="220" w:right="299" w:firstLine="767"/>
        <w:spacing w:after="0" w:line="254" w:lineRule="auto"/>
        <w:tabs>
          <w:tab w:leader="none" w:pos="1190"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10. Procedure Upon Application for Indemnification.</w:t>
      </w:r>
    </w:p>
    <w:p>
      <w:pPr>
        <w:spacing w:after="0" w:line="175" w:lineRule="exact"/>
        <w:rPr>
          <w:sz w:val="20"/>
          <w:szCs w:val="20"/>
          <w:color w:val="auto"/>
        </w:rPr>
      </w:pPr>
    </w:p>
    <w:p>
      <w:pPr>
        <w:ind w:left="220" w:right="299" w:firstLine="767"/>
        <w:spacing w:after="0" w:line="256" w:lineRule="auto"/>
        <w:tabs>
          <w:tab w:leader="none" w:pos="1182"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414" w:name="page415"/>
    <w:bookmarkEnd w:id="414"/>
    <w:p>
      <w:pPr>
        <w:ind w:left="22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50" w:lineRule="exact"/>
        <w:rPr>
          <w:sz w:val="20"/>
          <w:szCs w:val="20"/>
          <w:color w:val="auto"/>
        </w:rPr>
      </w:pPr>
    </w:p>
    <w:p>
      <w:pPr>
        <w:ind w:left="220" w:right="239" w:firstLine="767"/>
        <w:spacing w:after="0" w:line="253" w:lineRule="auto"/>
        <w:tabs>
          <w:tab w:leader="none" w:pos="1190"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w:t>
      </w:r>
    </w:p>
    <w:p>
      <w:pPr>
        <w:spacing w:after="0" w:line="2" w:lineRule="exact"/>
        <w:rPr>
          <w:rFonts w:ascii="Times New Roman" w:cs="Times New Roman" w:eastAsia="Times New Roman" w:hAnsi="Times New Roman"/>
          <w:sz w:val="14"/>
          <w:szCs w:val="14"/>
          <w:color w:val="auto"/>
        </w:rPr>
      </w:pPr>
    </w:p>
    <w:p>
      <w:pPr>
        <w:ind w:left="220" w:right="299" w:hanging="5"/>
        <w:spacing w:after="0" w:line="252" w:lineRule="auto"/>
        <w:tabs>
          <w:tab w:leader="none" w:pos="387"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47" w:lineRule="exact"/>
        <w:rPr>
          <w:rFonts w:ascii="Times New Roman" w:cs="Times New Roman" w:eastAsia="Times New Roman" w:hAnsi="Times New Roman"/>
          <w:sz w:val="14"/>
          <w:szCs w:val="14"/>
          <w:color w:val="auto"/>
        </w:rPr>
      </w:pPr>
    </w:p>
    <w:p>
      <w:pPr>
        <w:jc w:val="both"/>
        <w:ind w:left="220" w:right="219" w:firstLine="767"/>
        <w:spacing w:after="0" w:line="261" w:lineRule="auto"/>
        <w:tabs>
          <w:tab w:leader="none" w:pos="1182"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415" w:name="page416"/>
    <w:bookmarkEnd w:id="415"/>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11. Presumptions and Effect of Certain Proceedings.</w:t>
      </w:r>
    </w:p>
    <w:p>
      <w:pPr>
        <w:spacing w:after="0" w:line="175" w:lineRule="exact"/>
        <w:rPr>
          <w:sz w:val="20"/>
          <w:szCs w:val="20"/>
          <w:color w:val="auto"/>
        </w:rPr>
      </w:pPr>
    </w:p>
    <w:p>
      <w:pPr>
        <w:ind w:left="220" w:right="319" w:firstLine="767"/>
        <w:spacing w:after="0" w:line="261" w:lineRule="auto"/>
        <w:tabs>
          <w:tab w:leader="none" w:pos="1182"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40"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termination of any Proceeding or of any claim, issue or matter therein, by judgment, order, settlement or conviction, or upon a plea of guilty,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43" w:lineRule="exact"/>
        <w:rPr>
          <w:rFonts w:ascii="Times New Roman" w:cs="Times New Roman" w:eastAsia="Times New Roman" w:hAnsi="Times New Roman"/>
          <w:sz w:val="14"/>
          <w:szCs w:val="14"/>
          <w:color w:val="auto"/>
        </w:rPr>
      </w:pPr>
    </w:p>
    <w:p>
      <w:pPr>
        <w:ind w:left="220" w:right="359" w:firstLine="767"/>
        <w:spacing w:after="0" w:line="253" w:lineRule="auto"/>
        <w:tabs>
          <w:tab w:leader="none" w:pos="1182"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416" w:name="page417"/>
    <w:bookmarkEnd w:id="416"/>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12. Remedies of Indemnitee.</w:t>
      </w:r>
    </w:p>
    <w:p>
      <w:pPr>
        <w:spacing w:after="0" w:line="91" w:lineRule="exact"/>
        <w:rPr>
          <w:sz w:val="20"/>
          <w:szCs w:val="20"/>
          <w:color w:val="auto"/>
        </w:rPr>
      </w:pPr>
    </w:p>
    <w:p>
      <w:pPr>
        <w:ind w:left="220" w:right="259" w:firstLine="767"/>
        <w:spacing w:after="0" w:line="253" w:lineRule="auto"/>
        <w:tabs>
          <w:tab w:leader="none" w:pos="1182"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47" w:lineRule="exact"/>
        <w:rPr>
          <w:rFonts w:ascii="Times New Roman" w:cs="Times New Roman" w:eastAsia="Times New Roman" w:hAnsi="Times New Roman"/>
          <w:sz w:val="14"/>
          <w:szCs w:val="14"/>
          <w:color w:val="auto"/>
        </w:rPr>
      </w:pPr>
    </w:p>
    <w:p>
      <w:pPr>
        <w:ind w:left="220" w:right="279" w:firstLine="767"/>
        <w:spacing w:after="0" w:line="258" w:lineRule="auto"/>
        <w:tabs>
          <w:tab w:leader="none" w:pos="119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61" w:lineRule="auto"/>
        <w:tabs>
          <w:tab w:leader="none" w:pos="1182"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40" w:lineRule="exact"/>
        <w:rPr>
          <w:rFonts w:ascii="Times New Roman" w:cs="Times New Roman" w:eastAsia="Times New Roman" w:hAnsi="Times New Roman"/>
          <w:sz w:val="14"/>
          <w:szCs w:val="14"/>
          <w:color w:val="auto"/>
        </w:rPr>
      </w:pPr>
    </w:p>
    <w:p>
      <w:pPr>
        <w:ind w:left="220" w:right="399" w:firstLine="767"/>
        <w:spacing w:after="0" w:line="267" w:lineRule="auto"/>
        <w:tabs>
          <w:tab w:leader="none" w:pos="119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35"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82"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417" w:name="page418"/>
    <w:bookmarkEnd w:id="417"/>
    <w:p>
      <w:pPr>
        <w:jc w:val="both"/>
        <w:ind w:left="220" w:right="23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36" w:lineRule="exact"/>
        <w:rPr>
          <w:sz w:val="20"/>
          <w:szCs w:val="20"/>
          <w:color w:val="auto"/>
        </w:rPr>
      </w:pPr>
    </w:p>
    <w:p>
      <w:pPr>
        <w:ind w:left="220" w:right="879" w:firstLine="767"/>
        <w:spacing w:after="0" w:line="283" w:lineRule="auto"/>
        <w:tabs>
          <w:tab w:leader="none" w:pos="1167"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13. Non-exclusivity; Survival of Rights; Insurance; [Primacy of Indemnification;] Subrogation.</w:t>
      </w:r>
    </w:p>
    <w:p>
      <w:pPr>
        <w:spacing w:after="0" w:line="175" w:lineRule="exact"/>
        <w:rPr>
          <w:sz w:val="20"/>
          <w:szCs w:val="20"/>
          <w:color w:val="auto"/>
        </w:rPr>
      </w:pPr>
    </w:p>
    <w:p>
      <w:pPr>
        <w:ind w:left="220" w:right="239" w:firstLine="767"/>
        <w:spacing w:after="0" w:line="254" w:lineRule="auto"/>
        <w:tabs>
          <w:tab w:leader="none" w:pos="1182"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6" w:lineRule="exact"/>
        <w:rPr>
          <w:rFonts w:ascii="Times New Roman" w:cs="Times New Roman" w:eastAsia="Times New Roman" w:hAnsi="Times New Roman"/>
          <w:sz w:val="14"/>
          <w:szCs w:val="14"/>
          <w:color w:val="auto"/>
        </w:rPr>
      </w:pPr>
    </w:p>
    <w:p>
      <w:pPr>
        <w:ind w:left="220" w:right="239" w:firstLine="767"/>
        <w:spacing w:after="0" w:line="254" w:lineRule="auto"/>
        <w:tabs>
          <w:tab w:leader="none" w:pos="119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418" w:name="page419"/>
    <w:bookmarkEnd w:id="418"/>
    <w:p>
      <w:pPr>
        <w:ind w:left="220" w:right="259" w:firstLine="767"/>
        <w:spacing w:after="0" w:line="253" w:lineRule="auto"/>
        <w:tabs>
          <w:tab w:leader="none" w:pos="1182"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hereby acknowledges that Indemnitee has certain rights to indemnification, advancement of expenses and/or insurance provided by [Name of Fund/Sponsor] and certain of [its][their] affiliates (collectively, the “Fund Indemnitors”). The Company hereby agrees (i) that it is the indemnitor of first resort (i.e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p>
    <w:p>
      <w:pPr>
        <w:spacing w:after="0" w:line="150" w:lineRule="exact"/>
        <w:rPr>
          <w:rFonts w:ascii="Times New Roman" w:cs="Times New Roman" w:eastAsia="Times New Roman" w:hAnsi="Times New Roman"/>
          <w:sz w:val="14"/>
          <w:szCs w:val="14"/>
          <w:color w:val="auto"/>
        </w:rPr>
      </w:pPr>
    </w:p>
    <w:p>
      <w:pPr>
        <w:ind w:left="220" w:right="219" w:firstLine="767"/>
        <w:spacing w:after="0" w:line="261" w:lineRule="auto"/>
        <w:tabs>
          <w:tab w:leader="none" w:pos="1190"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40" w:lineRule="exact"/>
        <w:rPr>
          <w:rFonts w:ascii="Times New Roman" w:cs="Times New Roman" w:eastAsia="Times New Roman" w:hAnsi="Times New Roman"/>
          <w:sz w:val="14"/>
          <w:szCs w:val="14"/>
          <w:color w:val="auto"/>
        </w:rPr>
      </w:pPr>
    </w:p>
    <w:p>
      <w:pPr>
        <w:ind w:left="220" w:right="439" w:firstLine="767"/>
        <w:spacing w:after="0" w:line="267" w:lineRule="auto"/>
        <w:tabs>
          <w:tab w:leader="none" w:pos="1182"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36"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Duration of Agreement</w:t>
      </w:r>
      <w:r>
        <w:rPr>
          <w:rFonts w:ascii="Times New Roman" w:cs="Times New Roman" w:eastAsia="Times New Roman" w:hAnsi="Times New Roman"/>
          <w:sz w:val="14"/>
          <w:szCs w:val="14"/>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419" w:name="page420"/>
    <w:bookmarkEnd w:id="419"/>
    <w:p>
      <w:pPr>
        <w:ind w:left="220" w:right="259" w:firstLine="343"/>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15.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left="220" w:right="399" w:hanging="5"/>
        <w:spacing w:after="0" w:line="256" w:lineRule="auto"/>
        <w:tabs>
          <w:tab w:leader="none" w:pos="41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Section 16. Enforcement.</w:t>
      </w:r>
    </w:p>
    <w:p>
      <w:pPr>
        <w:spacing w:after="0" w:line="175" w:lineRule="exact"/>
        <w:rPr>
          <w:sz w:val="20"/>
          <w:szCs w:val="20"/>
          <w:color w:val="auto"/>
        </w:rPr>
      </w:pPr>
    </w:p>
    <w:p>
      <w:pPr>
        <w:ind w:left="220" w:right="299" w:firstLine="767"/>
        <w:spacing w:after="0" w:line="267" w:lineRule="auto"/>
        <w:tabs>
          <w:tab w:leader="none" w:pos="1182"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expressly confirms and agrees that it has entered into this Agreement and assumed the obligations imposed on it hereby in order to induce Indemnitee to [serve] [continue to serve] as a director of the Company, and the Company acknowledges that Indemnitee is relying upon this Agreement in serving as a director of the Company.</w:t>
      </w:r>
    </w:p>
    <w:p>
      <w:pPr>
        <w:spacing w:after="0" w:line="135" w:lineRule="exact"/>
        <w:rPr>
          <w:rFonts w:ascii="Times New Roman" w:cs="Times New Roman" w:eastAsia="Times New Roman" w:hAnsi="Times New Roman"/>
          <w:sz w:val="14"/>
          <w:szCs w:val="14"/>
          <w:color w:val="auto"/>
        </w:rPr>
      </w:pPr>
    </w:p>
    <w:p>
      <w:pPr>
        <w:jc w:val="both"/>
        <w:ind w:left="220" w:right="279" w:firstLine="767"/>
        <w:spacing w:after="0" w:line="261" w:lineRule="auto"/>
        <w:tabs>
          <w:tab w:leader="none" w:pos="119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w:t>
      </w:r>
    </w:p>
    <w:p>
      <w:pPr>
        <w:spacing w:after="0" w:line="141"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Modification and Waiver</w:t>
      </w:r>
      <w:r>
        <w:rPr>
          <w:rFonts w:ascii="Times New Roman" w:cs="Times New Roman" w:eastAsia="Times New Roman" w:hAnsi="Times New Roman"/>
          <w:sz w:val="14"/>
          <w:szCs w:val="14"/>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44" w:lineRule="exact"/>
        <w:rPr>
          <w:sz w:val="20"/>
          <w:szCs w:val="20"/>
          <w:color w:val="auto"/>
        </w:rPr>
      </w:pPr>
    </w:p>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Notice by Indemnitee</w:t>
      </w:r>
      <w:r>
        <w:rPr>
          <w:rFonts w:ascii="Times New Roman" w:cs="Times New Roman" w:eastAsia="Times New Roman" w:hAnsi="Times New Roman"/>
          <w:sz w:val="14"/>
          <w:szCs w:val="14"/>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420" w:name="page421"/>
    <w:bookmarkEnd w:id="420"/>
    <w:p>
      <w:pPr>
        <w:ind w:left="220" w:right="45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19.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spacing w:after="0" w:line="1" w:lineRule="exact"/>
        <w:rPr>
          <w:sz w:val="20"/>
          <w:szCs w:val="20"/>
          <w:color w:val="auto"/>
        </w:rPr>
      </w:pPr>
    </w:p>
    <w:p>
      <w:pPr>
        <w:ind w:left="220" w:right="279" w:hanging="5"/>
        <w:spacing w:after="0" w:line="256" w:lineRule="auto"/>
        <w:tabs>
          <w:tab w:leader="none" w:pos="426"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42"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Indemnitee, at such address as Indemnitee shall provide to the Company.</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 to:</w:t>
      </w:r>
    </w:p>
    <w:p>
      <w:pPr>
        <w:spacing w:after="0" w:line="9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101 Seaport Blvd., Floor 12, Boston,</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MA 02210 USA</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or to any other address as may have been furnished to Indemnitee by the Company.</w:t>
      </w:r>
    </w:p>
    <w:p>
      <w:pPr>
        <w:spacing w:after="0" w:line="175"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20.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43"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Internal Revenue Code Section 409A</w:t>
      </w:r>
      <w:r>
        <w:rPr>
          <w:rFonts w:ascii="Times New Roman" w:cs="Times New Roman" w:eastAsia="Times New Roman" w:hAnsi="Times New Roman"/>
          <w:sz w:val="14"/>
          <w:szCs w:val="14"/>
          <w:color w:val="auto"/>
        </w:rPr>
        <w:t>.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421" w:name="page422"/>
    <w:bookmarkEnd w:id="421"/>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22. </w:t>
      </w:r>
      <w:r>
        <w:rPr>
          <w:rFonts w:ascii="Times New Roman" w:cs="Times New Roman" w:eastAsia="Times New Roman" w:hAnsi="Times New Roman"/>
          <w:sz w:val="14"/>
          <w:szCs w:val="14"/>
          <w:u w:val="single" w:color="auto"/>
          <w:color w:val="auto"/>
        </w:rPr>
        <w:t>Applicable Law and Consent to Jurisdiction</w:t>
      </w:r>
      <w:r>
        <w:rPr>
          <w:rFonts w:ascii="Times New Roman" w:cs="Times New Roman" w:eastAsia="Times New Roman" w:hAnsi="Times New Roman"/>
          <w:sz w:val="14"/>
          <w:szCs w:val="14"/>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46"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paragraphs of this Agreement are inserted for convenience only and shall not be deemed to constitute part of this Agreement or to affect the construction thereof.</w:t>
      </w:r>
    </w:p>
    <w:p>
      <w:pPr>
        <w:spacing w:after="0" w:line="125"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Identical Counterparts</w:t>
      </w:r>
      <w:r>
        <w:rPr>
          <w:rFonts w:ascii="Times New Roman" w:cs="Times New Roman" w:eastAsia="Times New Roman" w:hAnsi="Times New Roman"/>
          <w:sz w:val="14"/>
          <w:szCs w:val="14"/>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36"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Monetary Damages Insufficient/Specific Enforcement</w:t>
      </w:r>
      <w:r>
        <w:rPr>
          <w:rFonts w:ascii="Times New Roman" w:cs="Times New Roman" w:eastAsia="Times New Roman" w:hAnsi="Times New Roman"/>
          <w:sz w:val="14"/>
          <w:szCs w:val="14"/>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422" w:name="page423"/>
    <w:bookmarkEnd w:id="422"/>
    <w:p>
      <w:pPr>
        <w:jc w:val="right"/>
        <w:ind w:right="163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Agreement to be signed as of the day and year first above written.</w:t>
      </w:r>
    </w:p>
    <w:p>
      <w:pPr>
        <w:spacing w:after="0" w:line="2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-101600</wp:posOffset>
            </wp:positionV>
            <wp:extent cx="202247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3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-99060</wp:posOffset>
            </wp:positionV>
            <wp:extent cx="202247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423" w:name="page424"/>
    <w:bookmarkEnd w:id="42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SEAPORT THERAPEUTICS,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SENIOR EXECUTIVE CASH INCENTIVE BONUS PLAN</w:t>
      </w:r>
    </w:p>
    <w:p>
      <w:pPr>
        <w:spacing w:after="0" w:line="151" w:lineRule="exact"/>
        <w:rPr>
          <w:sz w:val="20"/>
          <w:szCs w:val="20"/>
          <w:color w:val="auto"/>
        </w:rPr>
      </w:pPr>
    </w:p>
    <w:p>
      <w:pPr>
        <w:ind w:left="360" w:hanging="145"/>
        <w:spacing w:after="0"/>
        <w:tabs>
          <w:tab w:leader="none" w:pos="36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w:t>
      </w:r>
    </w:p>
    <w:p>
      <w:pPr>
        <w:spacing w:after="0" w:line="91"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This Senior Executive Cash Incentive Bonus Plan (the “Incentive Plan”) is intended to provide an incentive for superior work and to motivate eligible executives of Seaport Therapeutics, Inc.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225" w:lineRule="exact"/>
        <w:rPr>
          <w:sz w:val="20"/>
          <w:szCs w:val="20"/>
          <w:color w:val="auto"/>
        </w:rPr>
      </w:pPr>
    </w:p>
    <w:p>
      <w:pPr>
        <w:ind w:left="360" w:hanging="145"/>
        <w:spacing w:after="0"/>
        <w:tabs>
          <w:tab w:leader="none" w:pos="36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Covered Executives</w:t>
      </w:r>
    </w:p>
    <w:p>
      <w:pPr>
        <w:spacing w:after="0" w:line="91" w:lineRule="exact"/>
        <w:rPr>
          <w:sz w:val="20"/>
          <w:szCs w:val="20"/>
          <w:color w:val="auto"/>
        </w:rPr>
      </w:pPr>
    </w:p>
    <w:p>
      <w:pPr>
        <w:jc w:val="both"/>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From time to time, the Compensation Committee of the Board of Directors of the Company (the “Compensation Committee”) may select certain key executives (the “Covered Executives”) to be eligible to receive bonuses hereunder. Participation in the Incentive Plan does not change the “at will” nature of a Covered Executive’s employment with the Company.</w:t>
      </w:r>
    </w:p>
    <w:p>
      <w:pPr>
        <w:spacing w:after="0" w:line="220" w:lineRule="exact"/>
        <w:rPr>
          <w:sz w:val="20"/>
          <w:szCs w:val="20"/>
          <w:color w:val="auto"/>
        </w:rPr>
      </w:pPr>
    </w:p>
    <w:p>
      <w:pPr>
        <w:ind w:left="360" w:hanging="145"/>
        <w:spacing w:after="0"/>
        <w:tabs>
          <w:tab w:leader="none" w:pos="36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Compensation Committee shall have the sole discretion and authority to administer and interpret the Incentive Plan.</w:t>
      </w:r>
    </w:p>
    <w:p>
      <w:pPr>
        <w:spacing w:after="0" w:line="260" w:lineRule="exact"/>
        <w:rPr>
          <w:sz w:val="20"/>
          <w:szCs w:val="20"/>
          <w:color w:val="auto"/>
        </w:rPr>
      </w:pPr>
    </w:p>
    <w:p>
      <w:pPr>
        <w:ind w:left="360" w:hanging="145"/>
        <w:spacing w:after="0"/>
        <w:tabs>
          <w:tab w:leader="none" w:pos="36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Bonus Determinations</w:t>
      </w:r>
    </w:p>
    <w:p>
      <w:pPr>
        <w:spacing w:after="0" w:line="91" w:lineRule="exact"/>
        <w:rPr>
          <w:rFonts w:ascii="Times New Roman" w:cs="Times New Roman" w:eastAsia="Times New Roman" w:hAnsi="Times New Roman"/>
          <w:sz w:val="14"/>
          <w:szCs w:val="14"/>
          <w:color w:val="auto"/>
        </w:rPr>
      </w:pPr>
    </w:p>
    <w:p>
      <w:pPr>
        <w:ind w:left="220" w:right="259" w:firstLine="338"/>
        <w:spacing w:after="0" w:line="252" w:lineRule="auto"/>
        <w:tabs>
          <w:tab w:leader="none" w:pos="753"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Performance Goals</w:t>
      </w:r>
      <w:r>
        <w:rPr>
          <w:rFonts w:ascii="Times New Roman" w:cs="Times New Roman" w:eastAsia="Times New Roman" w:hAnsi="Times New Roman"/>
          <w:sz w:val="14"/>
          <w:szCs w:val="14"/>
          <w:color w:val="auto"/>
        </w:rPr>
        <w:t>. A Covered Executive may receive a bonus payment under the Incentive Plan based upon the attainment of one or more performance objectives that are established by the Compensation Committee in its sole discretion and relate to financial and operational metrics with respect to the Company or any of its subsidiaries (the “Corporate Performance Goals”), including: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licenses, collaborations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w:t>
      </w:r>
    </w:p>
    <w:p>
      <w:pPr>
        <w:spacing w:after="0" w:line="5" w:lineRule="exact"/>
        <w:rPr>
          <w:rFonts w:ascii="Times New Roman" w:cs="Times New Roman" w:eastAsia="Times New Roman" w:hAnsi="Times New Roman"/>
          <w:sz w:val="14"/>
          <w:szCs w:val="14"/>
          <w:color w:val="auto"/>
        </w:rPr>
      </w:pPr>
    </w:p>
    <w:p>
      <w:pPr>
        <w:ind w:left="220" w:right="6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measured in absolute terms or compared to any incremental increase, (B) measured in terms of growth, (C) compared to another company or companies or to results of a peer group, (D) measured against the market as a whole and/or as</w:t>
      </w:r>
    </w:p>
    <w:p>
      <w:pPr>
        <w:sectPr>
          <w:pgSz w:w="11900" w:h="16838" w:orient="portrait"/>
          <w:cols w:equalWidth="0" w:num="1">
            <w:col w:w="9019"/>
          </w:cols>
          <w:pgMar w:left="1440" w:top="123" w:right="1440" w:bottom="1440" w:gutter="0" w:footer="0" w:header="0"/>
        </w:sectPr>
      </w:pPr>
    </w:p>
    <w:bookmarkStart w:id="424" w:name="page425"/>
    <w:bookmarkEnd w:id="424"/>
    <w:p>
      <w:pPr>
        <w:ind w:left="22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 and from performance period to performance period.</w:t>
      </w:r>
    </w:p>
    <w:p>
      <w:pPr>
        <w:spacing w:after="0" w:line="141" w:lineRule="exact"/>
        <w:rPr>
          <w:sz w:val="20"/>
          <w:szCs w:val="20"/>
          <w:color w:val="auto"/>
        </w:rPr>
      </w:pPr>
    </w:p>
    <w:p>
      <w:pPr>
        <w:ind w:left="220" w:right="399" w:firstLine="338"/>
        <w:spacing w:after="0" w:line="258" w:lineRule="auto"/>
        <w:tabs>
          <w:tab w:leader="none" w:pos="761"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Calculation of Corporate Performance Goals</w:t>
      </w:r>
      <w:r>
        <w:rPr>
          <w:rFonts w:ascii="Times New Roman" w:cs="Times New Roman" w:eastAsia="Times New Roman" w:hAnsi="Times New Roman"/>
          <w:sz w:val="14"/>
          <w:szCs w:val="14"/>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spacing w:after="0" w:line="143" w:lineRule="exact"/>
        <w:rPr>
          <w:rFonts w:ascii="Times New Roman" w:cs="Times New Roman" w:eastAsia="Times New Roman" w:hAnsi="Times New Roman"/>
          <w:sz w:val="14"/>
          <w:szCs w:val="14"/>
          <w:color w:val="auto"/>
        </w:rPr>
      </w:pPr>
    </w:p>
    <w:p>
      <w:pPr>
        <w:ind w:left="220" w:right="899" w:firstLine="338"/>
        <w:spacing w:after="0" w:line="283" w:lineRule="auto"/>
        <w:tabs>
          <w:tab w:leader="none" w:pos="753"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Target; Minimum; Maximum</w:t>
      </w:r>
      <w:r>
        <w:rPr>
          <w:rFonts w:ascii="Times New Roman" w:cs="Times New Roman" w:eastAsia="Times New Roman" w:hAnsi="Times New Roman"/>
          <w:sz w:val="14"/>
          <w:szCs w:val="14"/>
          <w:color w:val="auto"/>
        </w:rPr>
        <w:t>. Each Corporate Performance Goal shall have a “target” (i.e., 100 percent attainment of the Corporate Performance Goal) and may also have a “minimum” hurdle and/or a “maximum” amount.</w:t>
      </w:r>
    </w:p>
    <w:p>
      <w:pPr>
        <w:spacing w:after="0" w:line="124" w:lineRule="exact"/>
        <w:rPr>
          <w:rFonts w:ascii="Times New Roman" w:cs="Times New Roman" w:eastAsia="Times New Roman" w:hAnsi="Times New Roman"/>
          <w:sz w:val="14"/>
          <w:szCs w:val="14"/>
          <w:color w:val="auto"/>
        </w:rPr>
      </w:pPr>
    </w:p>
    <w:p>
      <w:pPr>
        <w:ind w:left="220" w:right="219" w:firstLine="338"/>
        <w:spacing w:after="0" w:line="254" w:lineRule="auto"/>
        <w:tabs>
          <w:tab w:leader="none" w:pos="761"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Bonus Requirements; Individual Goals</w:t>
      </w:r>
      <w:r>
        <w:rPr>
          <w:rFonts w:ascii="Times New Roman" w:cs="Times New Roman" w:eastAsia="Times New Roman" w:hAnsi="Times New Roman"/>
          <w:sz w:val="14"/>
          <w:szCs w:val="14"/>
          <w:color w:val="auto"/>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148" w:lineRule="exact"/>
        <w:rPr>
          <w:rFonts w:ascii="Times New Roman" w:cs="Times New Roman" w:eastAsia="Times New Roman" w:hAnsi="Times New Roman"/>
          <w:sz w:val="14"/>
          <w:szCs w:val="14"/>
          <w:color w:val="auto"/>
        </w:rPr>
      </w:pPr>
    </w:p>
    <w:p>
      <w:pPr>
        <w:ind w:left="220" w:right="319" w:firstLine="338"/>
        <w:spacing w:after="0" w:line="261" w:lineRule="auto"/>
        <w:tabs>
          <w:tab w:leader="none" w:pos="753"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Individual Target Bonuses</w:t>
      </w:r>
      <w:r>
        <w:rPr>
          <w:rFonts w:ascii="Times New Roman" w:cs="Times New Roman" w:eastAsia="Times New Roman" w:hAnsi="Times New Roman"/>
          <w:sz w:val="14"/>
          <w:szCs w:val="14"/>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40" w:lineRule="exact"/>
        <w:rPr>
          <w:rFonts w:ascii="Times New Roman" w:cs="Times New Roman" w:eastAsia="Times New Roman" w:hAnsi="Times New Roman"/>
          <w:sz w:val="14"/>
          <w:szCs w:val="14"/>
          <w:color w:val="auto"/>
        </w:rPr>
      </w:pPr>
    </w:p>
    <w:p>
      <w:pPr>
        <w:jc w:val="both"/>
        <w:ind w:left="220" w:right="259" w:firstLine="338"/>
        <w:spacing w:after="0" w:line="261" w:lineRule="auto"/>
        <w:tabs>
          <w:tab w:leader="none" w:pos="738"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Requirement</w:t>
      </w:r>
      <w:r>
        <w:rPr>
          <w:rFonts w:ascii="Times New Roman" w:cs="Times New Roman" w:eastAsia="Times New Roman" w:hAnsi="Times New Roman"/>
          <w:sz w:val="14"/>
          <w:szCs w:val="14"/>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425" w:name="page426"/>
    <w:bookmarkEnd w:id="425"/>
    <w:p>
      <w:pPr>
        <w:ind w:left="360" w:hanging="145"/>
        <w:spacing w:after="0"/>
        <w:tabs>
          <w:tab w:leader="none" w:pos="36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Timing of Payment</w:t>
      </w:r>
    </w:p>
    <w:p>
      <w:pPr>
        <w:spacing w:after="0" w:line="175" w:lineRule="exact"/>
        <w:rPr>
          <w:rFonts w:ascii="Times New Roman" w:cs="Times New Roman" w:eastAsia="Times New Roman" w:hAnsi="Times New Roman"/>
          <w:sz w:val="14"/>
          <w:szCs w:val="14"/>
          <w:color w:val="auto"/>
        </w:rPr>
      </w:pPr>
    </w:p>
    <w:p>
      <w:pPr>
        <w:ind w:left="220" w:right="239" w:firstLine="338"/>
        <w:spacing w:after="0" w:line="258" w:lineRule="auto"/>
        <w:tabs>
          <w:tab w:leader="none" w:pos="753"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as applicable. If the Corporate Performance Goals and/or individual goals for such period are met, payments will be made as soon as practicable following the end of such period, but not later than two and one-half months after the end of the fiscal year in which such performance period ends.</w:t>
      </w:r>
    </w:p>
    <w:p>
      <w:pPr>
        <w:spacing w:after="0" w:line="143" w:lineRule="exact"/>
        <w:rPr>
          <w:rFonts w:ascii="Times New Roman" w:cs="Times New Roman" w:eastAsia="Times New Roman" w:hAnsi="Times New Roman"/>
          <w:sz w:val="14"/>
          <w:szCs w:val="14"/>
          <w:color w:val="auto"/>
        </w:rPr>
      </w:pPr>
    </w:p>
    <w:p>
      <w:pPr>
        <w:ind w:left="220" w:right="239" w:firstLine="338"/>
        <w:spacing w:after="0" w:line="261" w:lineRule="auto"/>
        <w:tabs>
          <w:tab w:leader="none" w:pos="761"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as applicable. If the Corporate Performance Goals and/or individual goals for any such period are met, bonus payments will be made as soon as practicable, but not later than two and one-half months after the end of the relevant fiscal year.</w:t>
      </w:r>
    </w:p>
    <w:p>
      <w:pPr>
        <w:spacing w:after="0" w:line="140" w:lineRule="exact"/>
        <w:rPr>
          <w:rFonts w:ascii="Times New Roman" w:cs="Times New Roman" w:eastAsia="Times New Roman" w:hAnsi="Times New Roman"/>
          <w:sz w:val="14"/>
          <w:szCs w:val="14"/>
          <w:color w:val="auto"/>
        </w:rPr>
      </w:pPr>
    </w:p>
    <w:p>
      <w:pPr>
        <w:ind w:left="220" w:right="279" w:firstLine="338"/>
        <w:spacing w:after="0" w:line="283" w:lineRule="auto"/>
        <w:tabs>
          <w:tab w:leader="none" w:pos="753"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bonuses earned at any time in a fiscal year must be paid no later than two and one-half months after the last day of such fiscal year.</w:t>
      </w:r>
    </w:p>
    <w:p>
      <w:pPr>
        <w:spacing w:after="0" w:line="209"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and Termination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Company reserves the right to amend or terminate the Incentive Plan at any time in its sole discretion.</w:t>
      </w:r>
    </w:p>
    <w:p>
      <w:pPr>
        <w:spacing w:after="0" w:line="260" w:lineRule="exact"/>
        <w:rPr>
          <w:sz w:val="20"/>
          <w:szCs w:val="20"/>
          <w:color w:val="auto"/>
        </w:rPr>
      </w:pPr>
    </w:p>
    <w:p>
      <w:pPr>
        <w:ind w:left="360" w:hanging="145"/>
        <w:spacing w:after="0"/>
        <w:tabs>
          <w:tab w:leader="none" w:pos="36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Recoupment Rights</w:t>
      </w:r>
    </w:p>
    <w:p>
      <w:pPr>
        <w:spacing w:after="0" w:line="91" w:lineRule="exact"/>
        <w:rPr>
          <w:sz w:val="20"/>
          <w:szCs w:val="20"/>
          <w:color w:val="auto"/>
        </w:rPr>
      </w:pPr>
    </w:p>
    <w:p>
      <w:pPr>
        <w:ind w:left="220" w:right="399" w:firstLine="343"/>
        <w:spacing w:after="0" w:line="267" w:lineRule="auto"/>
        <w:rPr>
          <w:sz w:val="20"/>
          <w:szCs w:val="20"/>
          <w:color w:val="auto"/>
        </w:rPr>
      </w:pPr>
      <w:r>
        <w:rPr>
          <w:rFonts w:ascii="Times New Roman" w:cs="Times New Roman" w:eastAsia="Times New Roman" w:hAnsi="Times New Roman"/>
          <w:sz w:val="14"/>
          <w:szCs w:val="14"/>
          <w:color w:val="auto"/>
        </w:rPr>
        <w:t>A Covered Executive’s rights with respect to any award granted pursuant to the Incentive Plan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Covered Executive, or (ii) applicable law.</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Adopted April 8, 2026, subject to effectiveness of the Company’s Registration Statement on Form S-1.</w:t>
      </w:r>
    </w:p>
    <w:p>
      <w:pPr>
        <w:spacing w:after="0" w:line="1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426" w:name="page427"/>
    <w:bookmarkEnd w:id="42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SEVERANCE PLAN AND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PLAN DESCRIPTION</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 Introduction and Purpose</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document serves as the Plan document and Summary Plan Description (“</w:t>
      </w:r>
      <w:r>
        <w:rPr>
          <w:rFonts w:ascii="Times New Roman" w:cs="Times New Roman" w:eastAsia="Times New Roman" w:hAnsi="Times New Roman"/>
          <w:sz w:val="14"/>
          <w:szCs w:val="14"/>
          <w:b w:val="1"/>
          <w:bCs w:val="1"/>
          <w:i w:val="1"/>
          <w:iCs w:val="1"/>
          <w:color w:val="auto"/>
        </w:rPr>
        <w:t>SPD</w:t>
      </w:r>
      <w:r>
        <w:rPr>
          <w:rFonts w:ascii="Times New Roman" w:cs="Times New Roman" w:eastAsia="Times New Roman" w:hAnsi="Times New Roman"/>
          <w:sz w:val="14"/>
          <w:szCs w:val="14"/>
          <w:color w:val="auto"/>
        </w:rPr>
        <w:t>”) for the severance pay and benefits provided under the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Seaport Therapeutics, Inc. Executive Severance Plan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Seaport Therapeutics, Inc., a Delaware corporation (including its successors,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considers it essential to foster the continuous employment of key management personnel. The Company acknowledges the possibility of</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 involuntary termination of employment exists and that such possibility, and the uncertainty and questions that it may raise among management, may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result in the departure or distraction of management personnel to the detriment of the Company.</w:t>
      </w:r>
    </w:p>
    <w:p>
      <w:pPr>
        <w:spacing w:after="0" w:line="161"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Therefore, the Board has adopted this Plan to reinforce and encourage the continued attention and dedication of the Covered Executives to their assigned duties without distraction. This Plan contains information that will help Covered Executives understand the severance pay and benefits being offered hereunder. The Company encourages all Covered Executives to read the Plan carefully. Note that capitalized words and phrases used throughout this document are generally defined in Section 4.</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2. Establishment of Plan</w:t>
      </w:r>
    </w:p>
    <w:p>
      <w:pPr>
        <w:spacing w:after="0" w:line="91" w:lineRule="exact"/>
        <w:rPr>
          <w:sz w:val="20"/>
          <w:szCs w:val="20"/>
          <w:color w:val="auto"/>
        </w:rPr>
      </w:pPr>
    </w:p>
    <w:p>
      <w:pPr>
        <w:ind w:left="220" w:right="419" w:firstLine="343"/>
        <w:spacing w:after="0" w:line="257" w:lineRule="auto"/>
        <w:rPr>
          <w:sz w:val="20"/>
          <w:szCs w:val="20"/>
          <w:color w:val="auto"/>
        </w:rPr>
      </w:pPr>
      <w:r>
        <w:rPr>
          <w:rFonts w:ascii="Times New Roman" w:cs="Times New Roman" w:eastAsia="Times New Roman" w:hAnsi="Times New Roman"/>
          <w:sz w:val="14"/>
          <w:szCs w:val="14"/>
          <w:color w:val="auto"/>
        </w:rPr>
        <w:t>Effective as of the effectiveness of the Company’s Registration Statement on Form S-1 (the “</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the Board hereby establishes an unfunded severance benefits plan that is intended to be a welfare benefit plan within the meaning of Section 3(1) of the Employee Retirement Income Security Act of 1974, as amended (“</w:t>
      </w:r>
      <w:r>
        <w:rPr>
          <w:rFonts w:ascii="Times New Roman" w:cs="Times New Roman" w:eastAsia="Times New Roman" w:hAnsi="Times New Roman"/>
          <w:sz w:val="14"/>
          <w:szCs w:val="14"/>
          <w:b w:val="1"/>
          <w:bCs w:val="1"/>
          <w:i w:val="1"/>
          <w:iCs w:val="1"/>
          <w:color w:val="auto"/>
        </w:rPr>
        <w:t>ERISA</w:t>
      </w:r>
      <w:r>
        <w:rPr>
          <w:rFonts w:ascii="Times New Roman" w:cs="Times New Roman" w:eastAsia="Times New Roman" w:hAnsi="Times New Roman"/>
          <w:sz w:val="14"/>
          <w:szCs w:val="14"/>
          <w:color w:val="auto"/>
        </w:rPr>
        <w:t>”). This Plan, along with the Participant Agreement, supersedes any and all severance plans, policies and provisions and all change in control plans, policies and provisions applying to a Covered Executive that may have been in effect before the Effective Date, including by superseding all severance pay, benefits and equity acceleration provision in any Covered Employee’s offer letter, employment agreement or otherwise.</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3. Eligibility</w:t>
      </w:r>
    </w:p>
    <w:p>
      <w:pPr>
        <w:spacing w:after="0" w:line="93" w:lineRule="exact"/>
        <w:rPr>
          <w:sz w:val="20"/>
          <w:szCs w:val="20"/>
          <w:color w:val="auto"/>
        </w:rPr>
      </w:pPr>
    </w:p>
    <w:p>
      <w:pPr>
        <w:ind w:left="220" w:right="4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All Covered Executives who have executed and submitted to the Company a Participation Agreement, and satisfied such other requirements as may be determined by the Plan Administrator, are eligible to participate in the Plan. The Plan Administrator may determine at any time that another employee should be designated as a Covered Employee and shall be eligible to participate in the Plan upon the Plan Administrator taking action by resolution to update the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ectPr>
          <w:pgSz w:w="11900" w:h="16838" w:orient="portrait"/>
          <w:cols w:equalWidth="0" w:num="1">
            <w:col w:w="9019"/>
          </w:cols>
          <w:pgMar w:left="1440" w:top="123" w:right="1440" w:bottom="1440" w:gutter="0" w:footer="0" w:header="0"/>
        </w:sectPr>
      </w:pPr>
    </w:p>
    <w:bookmarkStart w:id="427" w:name="page428"/>
    <w:bookmarkEnd w:id="427"/>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4. Definitions</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of this Plan, the following definitions shall apply:</w:t>
      </w:r>
    </w:p>
    <w:p>
      <w:pPr>
        <w:spacing w:after="0" w:line="89" w:lineRule="exact"/>
        <w:rPr>
          <w:sz w:val="20"/>
          <w:szCs w:val="20"/>
          <w:color w:val="auto"/>
        </w:rPr>
      </w:pPr>
    </w:p>
    <w:p>
      <w:pPr>
        <w:ind w:left="220" w:right="919" w:firstLine="338"/>
        <w:spacing w:after="0" w:line="286" w:lineRule="auto"/>
        <w:tabs>
          <w:tab w:leader="none" w:pos="753"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Accelerated Vesting Date</w:t>
      </w:r>
      <w:r>
        <w:rPr>
          <w:rFonts w:ascii="Times New Roman" w:cs="Times New Roman" w:eastAsia="Times New Roman" w:hAnsi="Times New Roman"/>
          <w:sz w:val="14"/>
          <w:szCs w:val="14"/>
          <w:color w:val="auto"/>
        </w:rPr>
        <w:t>” means the later of the (i) Covered Executive’s Date of Termination or (ii) effective date of the Covered Executive’s Separation Agreement and Release (as defined below).</w:t>
      </w:r>
    </w:p>
    <w:p>
      <w:pPr>
        <w:spacing w:after="0" w:line="120"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Accounting Firm</w:t>
      </w:r>
      <w:r>
        <w:rPr>
          <w:rFonts w:ascii="Times New Roman" w:cs="Times New Roman" w:eastAsia="Times New Roman" w:hAnsi="Times New Roman"/>
          <w:sz w:val="14"/>
          <w:szCs w:val="14"/>
          <w:color w:val="auto"/>
        </w:rPr>
        <w:t>” means a nationally recognized accounting firm selected by the Company.</w:t>
      </w:r>
    </w:p>
    <w:p>
      <w:pPr>
        <w:spacing w:after="0" w:line="175" w:lineRule="exact"/>
        <w:rPr>
          <w:rFonts w:ascii="Times New Roman" w:cs="Times New Roman" w:eastAsia="Times New Roman" w:hAnsi="Times New Roman"/>
          <w:sz w:val="14"/>
          <w:szCs w:val="14"/>
          <w:color w:val="auto"/>
        </w:rPr>
      </w:pPr>
    </w:p>
    <w:p>
      <w:pPr>
        <w:ind w:left="220" w:right="399" w:firstLine="338"/>
        <w:spacing w:after="0" w:line="268" w:lineRule="auto"/>
        <w:tabs>
          <w:tab w:leader="none" w:pos="753"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Adverse Benefit Determination</w:t>
      </w:r>
      <w:r>
        <w:rPr>
          <w:rFonts w:ascii="Times New Roman" w:cs="Times New Roman" w:eastAsia="Times New Roman" w:hAnsi="Times New Roman"/>
          <w:sz w:val="14"/>
          <w:szCs w:val="14"/>
          <w:color w:val="auto"/>
        </w:rPr>
        <w:t>” means any of the following: a denial, reduction or termination of, or a failure to provide or make payment (in whole or in part) for, a benefit, including any such denial, reduction, termination or failure to provide or make payment that is based on a determination of a Covered Executive’s or beneficiary’s eligibility to participate in the Plan.</w:t>
      </w:r>
    </w:p>
    <w:p>
      <w:pPr>
        <w:spacing w:after="0" w:line="133"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means any “parent” or “subsidiary” of the Company as such terms are defined in Rule 405 of the Securities Act of 1933, as</w:t>
      </w:r>
    </w:p>
    <w:p>
      <w:pPr>
        <w:spacing w:after="0" w:line="23"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w:t>
      </w:r>
    </w:p>
    <w:p>
      <w:pPr>
        <w:spacing w:after="0" w:line="158" w:lineRule="exact"/>
        <w:rPr>
          <w:rFonts w:ascii="Times New Roman" w:cs="Times New Roman" w:eastAsia="Times New Roman" w:hAnsi="Times New Roman"/>
          <w:sz w:val="14"/>
          <w:szCs w:val="14"/>
          <w:color w:val="auto"/>
        </w:rPr>
      </w:pPr>
    </w:p>
    <w:p>
      <w:pPr>
        <w:ind w:left="220" w:right="439" w:firstLine="338"/>
        <w:spacing w:after="0" w:line="286" w:lineRule="auto"/>
        <w:tabs>
          <w:tab w:leader="none" w:pos="753"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Base Salary</w:t>
      </w:r>
      <w:r>
        <w:rPr>
          <w:rFonts w:ascii="Times New Roman" w:cs="Times New Roman" w:eastAsia="Times New Roman" w:hAnsi="Times New Roman"/>
          <w:sz w:val="14"/>
          <w:szCs w:val="14"/>
          <w:color w:val="auto"/>
        </w:rPr>
        <w:t>” means the of higher of the Covered Executive’s annual base salary in effect immediately prior to (i) the Covered Executive’s Date of Termination or (ii) a Change in Control.</w:t>
      </w:r>
    </w:p>
    <w:p>
      <w:pPr>
        <w:spacing w:after="0" w:line="120" w:lineRule="exact"/>
        <w:rPr>
          <w:rFonts w:ascii="Times New Roman" w:cs="Times New Roman" w:eastAsia="Times New Roman" w:hAnsi="Times New Roman"/>
          <w:sz w:val="14"/>
          <w:szCs w:val="14"/>
          <w:color w:val="auto"/>
        </w:rPr>
      </w:pPr>
    </w:p>
    <w:p>
      <w:pPr>
        <w:ind w:left="740" w:hanging="182"/>
        <w:spacing w:after="0"/>
        <w:tabs>
          <w:tab w:leader="none" w:pos="740"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means the Board of Directors of the Plan Sponsor.</w:t>
      </w:r>
    </w:p>
    <w:p>
      <w:pPr>
        <w:spacing w:after="0" w:line="17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Cause</w:t>
      </w:r>
      <w:r>
        <w:rPr>
          <w:rFonts w:ascii="Times New Roman" w:cs="Times New Roman" w:eastAsia="Times New Roman" w:hAnsi="Times New Roman"/>
          <w:sz w:val="14"/>
          <w:szCs w:val="14"/>
          <w:color w:val="auto"/>
        </w:rPr>
        <w:t>” means the good faith determination of the Board that any one or more of the following events has occurred to the Covered Executive:</w:t>
      </w:r>
    </w:p>
    <w:p>
      <w:pPr>
        <w:spacing w:after="0" w:line="23" w:lineRule="exact"/>
        <w:rPr>
          <w:rFonts w:ascii="Times New Roman" w:cs="Times New Roman" w:eastAsia="Times New Roman" w:hAnsi="Times New Roman"/>
          <w:sz w:val="14"/>
          <w:szCs w:val="14"/>
          <w:color w:val="auto"/>
        </w:rPr>
      </w:pPr>
    </w:p>
    <w:p>
      <w:pPr>
        <w:ind w:left="220" w:right="299" w:hanging="5"/>
        <w:spacing w:after="0" w:line="252" w:lineRule="auto"/>
        <w:tabs>
          <w:tab w:leader="none" w:pos="387"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conviction of any felony, (ii) deliberate neglect of, willful misconduct in connection with the performance of, or refusal to perform duties reasonably assigned to the Covered Executive pursuant to the terms hereof, if, within thirty (30) days after being notified in writing by the Chief Executive Officer or the Board of the conduct constituting Cause under this clause, the Covered Executive fails to cure such conduct (if such conduct is curable), (iii) breach of any of the provisions of this Agreement or other written agreement with the Company if within thirty (30) days after being notified in writing by the Chief Executive Officer or the Board of the breach and such breach is not cured (if such breach is curable) or (iv) any fraudulent or grossly negligent conduct, any action in bad faith, or willful misconduct, excluding conduct subject to clause (ii), that is otherwise materially detrimental to the reputation, goodwill or best interests of the Company</w:t>
      </w:r>
    </w:p>
    <w:p>
      <w:pPr>
        <w:spacing w:after="0" w:line="145" w:lineRule="exact"/>
        <w:rPr>
          <w:rFonts w:ascii="Times New Roman" w:cs="Times New Roman" w:eastAsia="Times New Roman" w:hAnsi="Times New Roman"/>
          <w:sz w:val="14"/>
          <w:szCs w:val="14"/>
          <w:color w:val="auto"/>
        </w:rPr>
      </w:pPr>
    </w:p>
    <w:p>
      <w:pPr>
        <w:ind w:left="220" w:right="299" w:firstLine="338"/>
        <w:spacing w:after="0" w:line="286" w:lineRule="auto"/>
        <w:tabs>
          <w:tab w:leader="none" w:pos="761"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Change in Control</w:t>
      </w:r>
      <w:r>
        <w:rPr>
          <w:rFonts w:ascii="Times New Roman" w:cs="Times New Roman" w:eastAsia="Times New Roman" w:hAnsi="Times New Roman"/>
          <w:sz w:val="14"/>
          <w:szCs w:val="14"/>
          <w:color w:val="auto"/>
        </w:rPr>
        <w:t>” means a Sale Event, as defined in the Company’s 2026 Stock Option and Incentive Plan, as amended from time to time, so long as such Change in Control also constitutes a “change in control event” within the meaning of section 409A of the Code.</w:t>
      </w:r>
    </w:p>
    <w:p>
      <w:pPr>
        <w:spacing w:after="0" w:line="120" w:lineRule="exact"/>
        <w:rPr>
          <w:rFonts w:ascii="Times New Roman" w:cs="Times New Roman" w:eastAsia="Times New Roman" w:hAnsi="Times New Roman"/>
          <w:sz w:val="14"/>
          <w:szCs w:val="14"/>
          <w:color w:val="auto"/>
        </w:rPr>
      </w:pPr>
    </w:p>
    <w:p>
      <w:pPr>
        <w:ind w:left="220" w:right="299" w:firstLine="338"/>
        <w:spacing w:after="0" w:line="286" w:lineRule="auto"/>
        <w:tabs>
          <w:tab w:leader="none" w:pos="73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Change in Control Period</w:t>
      </w:r>
      <w:r>
        <w:rPr>
          <w:rFonts w:ascii="Times New Roman" w:cs="Times New Roman" w:eastAsia="Times New Roman" w:hAnsi="Times New Roman"/>
          <w:sz w:val="14"/>
          <w:szCs w:val="14"/>
          <w:color w:val="auto"/>
        </w:rPr>
        <w:t>” means the period beginning three months prior to a Change in Control and ending on the one-year anniversary of the Change in Control.</w:t>
      </w:r>
    </w:p>
    <w:p>
      <w:pPr>
        <w:spacing w:after="0" w:line="120"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means the Internal Revenue Code of 1986, as amended.</w:t>
      </w:r>
    </w:p>
    <w:p>
      <w:pPr>
        <w:spacing w:after="0" w:line="124"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38" w:right="1440" w:bottom="1440" w:gutter="0" w:footer="0" w:header="0"/>
        </w:sectPr>
      </w:pPr>
    </w:p>
    <w:bookmarkStart w:id="428" w:name="page429"/>
    <w:bookmarkEnd w:id="428"/>
    <w:p>
      <w:pPr>
        <w:ind w:left="220" w:right="379" w:firstLine="338"/>
        <w:spacing w:after="0" w:line="286" w:lineRule="auto"/>
        <w:tabs>
          <w:tab w:leader="none" w:pos="761"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Continuing Obligations</w:t>
      </w:r>
      <w:r>
        <w:rPr>
          <w:rFonts w:ascii="Times New Roman" w:cs="Times New Roman" w:eastAsia="Times New Roman" w:hAnsi="Times New Roman"/>
          <w:sz w:val="14"/>
          <w:szCs w:val="14"/>
          <w:color w:val="auto"/>
        </w:rPr>
        <w:t>” means the Covered Executive’s obligations to the Company pursuant to any agreement relating to confidentiality, non-solicitation of customers and employees, assignment of inventions and other restrictive covenants.</w:t>
      </w:r>
    </w:p>
    <w:p>
      <w:pPr>
        <w:spacing w:after="0" w:line="120" w:lineRule="exact"/>
        <w:rPr>
          <w:rFonts w:ascii="Times New Roman" w:cs="Times New Roman" w:eastAsia="Times New Roman" w:hAnsi="Times New Roman"/>
          <w:sz w:val="14"/>
          <w:szCs w:val="14"/>
          <w:color w:val="auto"/>
        </w:rPr>
      </w:pPr>
    </w:p>
    <w:p>
      <w:pPr>
        <w:ind w:left="220" w:right="319" w:firstLine="338"/>
        <w:spacing w:after="0" w:line="286" w:lineRule="auto"/>
        <w:tabs>
          <w:tab w:leader="none" w:pos="730"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Covered Executives</w:t>
      </w:r>
      <w:r>
        <w:rPr>
          <w:rFonts w:ascii="Times New Roman" w:cs="Times New Roman" w:eastAsia="Times New Roman" w:hAnsi="Times New Roman"/>
          <w:sz w:val="14"/>
          <w:szCs w:val="14"/>
          <w:color w:val="auto"/>
        </w:rPr>
        <w:t>” means the Tier 1 Executive and those other employees designated by the Plan Administrator in its sole discretion as the Tier 2 Executives, in each case, who meet the eligibility requirements set forth in Section 3 of the Plan.</w:t>
      </w:r>
    </w:p>
    <w:p>
      <w:pPr>
        <w:spacing w:after="0" w:line="120" w:lineRule="exact"/>
        <w:rPr>
          <w:rFonts w:ascii="Times New Roman" w:cs="Times New Roman" w:eastAsia="Times New Roman" w:hAnsi="Times New Roman"/>
          <w:sz w:val="14"/>
          <w:szCs w:val="14"/>
          <w:color w:val="auto"/>
        </w:rPr>
      </w:pPr>
    </w:p>
    <w:p>
      <w:pPr>
        <w:jc w:val="both"/>
        <w:ind w:left="220" w:right="319" w:firstLine="338"/>
        <w:spacing w:after="0" w:line="262" w:lineRule="auto"/>
        <w:tabs>
          <w:tab w:leader="none" w:pos="800"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Date of Termination</w:t>
      </w:r>
      <w:r>
        <w:rPr>
          <w:rFonts w:ascii="Times New Roman" w:cs="Times New Roman" w:eastAsia="Times New Roman" w:hAnsi="Times New Roman"/>
          <w:sz w:val="14"/>
          <w:szCs w:val="14"/>
          <w:color w:val="auto"/>
        </w:rPr>
        <w:t>” means the date that a Covered Executive’s employment with the Company and its Affiliates ends, which date shall be specified in the Notice of Termination. Notwithstanding the foregoing, a Covered Executive’s employment will not be deemed to have been terminated solely as a result of the Covered Executive becoming an employee of any direct or indirect successor to the business or assets of the Company or any Affiliate.</w:t>
      </w:r>
    </w:p>
    <w:p>
      <w:pPr>
        <w:spacing w:after="0" w:line="138" w:lineRule="exact"/>
        <w:rPr>
          <w:rFonts w:ascii="Times New Roman" w:cs="Times New Roman" w:eastAsia="Times New Roman" w:hAnsi="Times New Roman"/>
          <w:sz w:val="14"/>
          <w:szCs w:val="14"/>
          <w:color w:val="auto"/>
        </w:rPr>
      </w:pPr>
    </w:p>
    <w:p>
      <w:pPr>
        <w:ind w:left="220" w:right="299" w:firstLine="338"/>
        <w:spacing w:after="0" w:line="268" w:lineRule="auto"/>
        <w:tabs>
          <w:tab w:leader="none" w:pos="761"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Disability</w:t>
      </w:r>
      <w:r>
        <w:rPr>
          <w:rFonts w:ascii="Times New Roman" w:cs="Times New Roman" w:eastAsia="Times New Roman" w:hAnsi="Times New Roman"/>
          <w:sz w:val="14"/>
          <w:szCs w:val="14"/>
          <w:color w:val="auto"/>
        </w:rPr>
        <w:t>” means the Covered Executive is disabled and unable to perform or expected to be unable to perform the essential functions of the Covered Executive’s then existing position or positions with or without reasonable accommodation for a period of 180 days (which need not be consecutive) in any 12-month period.</w:t>
      </w:r>
    </w:p>
    <w:p>
      <w:pPr>
        <w:spacing w:after="0" w:line="133" w:lineRule="exact"/>
        <w:rPr>
          <w:rFonts w:ascii="Times New Roman" w:cs="Times New Roman" w:eastAsia="Times New Roman" w:hAnsi="Times New Roman"/>
          <w:sz w:val="14"/>
          <w:szCs w:val="14"/>
          <w:color w:val="auto"/>
        </w:rPr>
      </w:pPr>
    </w:p>
    <w:p>
      <w:pPr>
        <w:ind w:left="220" w:right="239" w:firstLine="338"/>
        <w:spacing w:after="0" w:line="257" w:lineRule="auto"/>
        <w:tabs>
          <w:tab w:leader="none" w:pos="761"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Good Reason</w:t>
      </w:r>
      <w:r>
        <w:rPr>
          <w:rFonts w:ascii="Times New Roman" w:cs="Times New Roman" w:eastAsia="Times New Roman" w:hAnsi="Times New Roman"/>
          <w:sz w:val="14"/>
          <w:szCs w:val="14"/>
          <w:color w:val="auto"/>
        </w:rPr>
        <w:t>” shall mean one of the following conditions after Good Reason Process (as defined below): (i) a breach of this Agreement by the Company in any material respect, (ii) a material adverse change in the Covered Executive’s duties, authority, or responsibilities, (iii) a material reduction in the Covered Executive’s base salary or material reduction in bonus opportunity, (iv) a change in the Covered Executive’s reporting relationship resulting in the Covered Executive no longer reporting directly to the Company’s Chief Executive Officer or the Board, as applicable, except with respect to a change in reporting relationship in connection with a Change in Control, or (v) a relocation of the Covered Executive’s principal place of employment that increases the Covered Executive’s one-way commute by more than thirty-five (35) miles.</w:t>
      </w:r>
    </w:p>
    <w:p>
      <w:pPr>
        <w:spacing w:after="0" w:line="143" w:lineRule="exact"/>
        <w:rPr>
          <w:rFonts w:ascii="Times New Roman" w:cs="Times New Roman" w:eastAsia="Times New Roman" w:hAnsi="Times New Roman"/>
          <w:sz w:val="14"/>
          <w:szCs w:val="14"/>
          <w:color w:val="auto"/>
        </w:rPr>
      </w:pPr>
    </w:p>
    <w:p>
      <w:pPr>
        <w:jc w:val="both"/>
        <w:ind w:left="220" w:right="379" w:firstLine="338"/>
        <w:spacing w:after="0" w:line="276" w:lineRule="auto"/>
        <w:tabs>
          <w:tab w:leader="none" w:pos="761" w:val="left"/>
        </w:tabs>
        <w:numPr>
          <w:ilvl w:val="1"/>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Good Reason Process</w:t>
      </w:r>
      <w:r>
        <w:rPr>
          <w:rFonts w:ascii="Times New Roman" w:cs="Times New Roman" w:eastAsia="Times New Roman" w:hAnsi="Times New Roman"/>
          <w:sz w:val="13"/>
          <w:szCs w:val="13"/>
          <w:color w:val="auto"/>
        </w:rPr>
        <w:t>” means that: (a) the Covered Employee has reasonably determined in good faith that a “Good Reason” condition has occurred, (b) within ninety (90) days of becoming aware of the first occurrence of such condition, the Covered Executive has notified the Company in writing of the first occurrence of the Good Reason condition and the Covered Executive’s right to terminate the Covered Executive’s employment for Good Reason if such condition is not cured, (c) the Covered Executive has cooperated in good faith with the Company’s efforts, for a period of thirty</w:t>
      </w:r>
    </w:p>
    <w:p>
      <w:pPr>
        <w:spacing w:after="0" w:line="1" w:lineRule="exact"/>
        <w:rPr>
          <w:rFonts w:ascii="Times New Roman" w:cs="Times New Roman" w:eastAsia="Times New Roman" w:hAnsi="Times New Roman"/>
          <w:sz w:val="13"/>
          <w:szCs w:val="13"/>
          <w:color w:val="auto"/>
        </w:rPr>
      </w:pPr>
    </w:p>
    <w:p>
      <w:pPr>
        <w:ind w:left="220" w:right="299" w:hanging="5"/>
        <w:spacing w:after="0" w:line="270" w:lineRule="auto"/>
        <w:tabs>
          <w:tab w:leader="none" w:pos="488" w:val="left"/>
        </w:tabs>
        <w:numPr>
          <w:ilvl w:val="0"/>
          <w:numId w:val="3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following such notice (the “Cure Period”), to remedy the condition (to the extent capable of being cured or remedied), (d) notwithstanding such efforts, the Good Reason condition continues to exist, and (e) the Covered Executive terminates the Covered Executive’s employment within sixty</w:t>
      </w:r>
    </w:p>
    <w:p>
      <w:pPr>
        <w:ind w:left="220" w:right="379" w:hanging="5"/>
        <w:spacing w:after="0" w:line="254" w:lineRule="auto"/>
        <w:tabs>
          <w:tab w:leader="none" w:pos="488"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end of the Cure Period (or, if no Cure Period applies, the date on which the Covered Executive gave notice to the Company of the occurrence of such Good Reason) by providing written notice to the Company of the termination of the Covered Executive’s employment during such sixty (60) day period, which termination shall be effective upon the date specified in the Covered Executive’s notice of termination. If the Company cures the Good Reason condition during the Cure Period (if applicable), Good Reason shall be deemed not to have occurred.</w:t>
      </w:r>
    </w:p>
    <w:p>
      <w:pPr>
        <w:spacing w:after="0" w:line="9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38" w:right="1440" w:bottom="1440" w:gutter="0" w:footer="0" w:header="0"/>
        </w:sectPr>
      </w:pPr>
    </w:p>
    <w:bookmarkStart w:id="429" w:name="page430"/>
    <w:bookmarkEnd w:id="429"/>
    <w:p>
      <w:pPr>
        <w:ind w:left="220" w:right="279" w:firstLine="338"/>
        <w:spacing w:after="0" w:line="286" w:lineRule="auto"/>
        <w:tabs>
          <w:tab w:leader="none" w:pos="761"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Notice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Notification</w:t>
      </w:r>
      <w:r>
        <w:rPr>
          <w:rFonts w:ascii="Times New Roman" w:cs="Times New Roman" w:eastAsia="Times New Roman" w:hAnsi="Times New Roman"/>
          <w:sz w:val="14"/>
          <w:szCs w:val="14"/>
          <w:color w:val="auto"/>
        </w:rPr>
        <w:t>” means the delivery or furnishing of information to an individual in a manner that is reasonably calculated to ensure actual receipt by the individual.</w:t>
      </w:r>
    </w:p>
    <w:p>
      <w:pPr>
        <w:spacing w:after="0" w:line="120" w:lineRule="exact"/>
        <w:rPr>
          <w:rFonts w:ascii="Times New Roman" w:cs="Times New Roman" w:eastAsia="Times New Roman" w:hAnsi="Times New Roman"/>
          <w:sz w:val="14"/>
          <w:szCs w:val="14"/>
          <w:color w:val="auto"/>
        </w:rPr>
      </w:pPr>
    </w:p>
    <w:p>
      <w:pPr>
        <w:ind w:left="220" w:right="279" w:firstLine="338"/>
        <w:spacing w:after="0" w:line="286" w:lineRule="auto"/>
        <w:tabs>
          <w:tab w:leader="none" w:pos="738"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Notice of Termination</w:t>
      </w:r>
      <w:r>
        <w:rPr>
          <w:rFonts w:ascii="Times New Roman" w:cs="Times New Roman" w:eastAsia="Times New Roman" w:hAnsi="Times New Roman"/>
          <w:sz w:val="14"/>
          <w:szCs w:val="14"/>
          <w:color w:val="auto"/>
        </w:rPr>
        <w:t>” means a written Notice that indicates the specific termination provision in this Plan relied upon for the termination of a Covered Executive’s employment and the Date of Termination.</w:t>
      </w:r>
    </w:p>
    <w:p>
      <w:pPr>
        <w:spacing w:after="0" w:line="120" w:lineRule="exact"/>
        <w:rPr>
          <w:rFonts w:ascii="Times New Roman" w:cs="Times New Roman" w:eastAsia="Times New Roman" w:hAnsi="Times New Roman"/>
          <w:sz w:val="14"/>
          <w:szCs w:val="14"/>
          <w:color w:val="auto"/>
        </w:rPr>
      </w:pPr>
    </w:p>
    <w:p>
      <w:pPr>
        <w:ind w:left="220" w:right="519" w:firstLine="338"/>
        <w:spacing w:after="0" w:line="286" w:lineRule="auto"/>
        <w:tabs>
          <w:tab w:leader="none" w:pos="746"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Participation Agreement</w:t>
      </w:r>
      <w:r>
        <w:rPr>
          <w:rFonts w:ascii="Times New Roman" w:cs="Times New Roman" w:eastAsia="Times New Roman" w:hAnsi="Times New Roman"/>
          <w:sz w:val="14"/>
          <w:szCs w:val="14"/>
          <w:color w:val="auto"/>
        </w:rPr>
        <w:t>” shall mean an agreement between a Covered Executive and the Company that acknowledges and agrees to the Covered Executive’s participation in the Plan and to any related terms set forth in therein.</w:t>
      </w:r>
    </w:p>
    <w:p>
      <w:pPr>
        <w:spacing w:after="0" w:line="120" w:lineRule="exact"/>
        <w:rPr>
          <w:rFonts w:ascii="Times New Roman" w:cs="Times New Roman" w:eastAsia="Times New Roman" w:hAnsi="Times New Roman"/>
          <w:sz w:val="14"/>
          <w:szCs w:val="14"/>
          <w:color w:val="auto"/>
        </w:rPr>
      </w:pPr>
    </w:p>
    <w:p>
      <w:pPr>
        <w:ind w:left="220" w:right="239" w:firstLine="338"/>
        <w:spacing w:after="0" w:line="286" w:lineRule="auto"/>
        <w:tabs>
          <w:tab w:leader="none" w:pos="73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 Administrator</w:t>
      </w:r>
      <w:r>
        <w:rPr>
          <w:rFonts w:ascii="Times New Roman" w:cs="Times New Roman" w:eastAsia="Times New Roman" w:hAnsi="Times New Roman"/>
          <w:sz w:val="14"/>
          <w:szCs w:val="14"/>
          <w:color w:val="auto"/>
        </w:rPr>
        <w:t xml:space="preserve">” means the Board or a committee thereof designated by the Board to administer the Plan;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Plan Administrator may in its sole discretion appoint a new Plan Administrator to administer the Plan at any time.</w:t>
      </w:r>
    </w:p>
    <w:p>
      <w:pPr>
        <w:spacing w:after="0" w:line="120"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 Sponsor</w:t>
      </w:r>
      <w:r>
        <w:rPr>
          <w:rFonts w:ascii="Times New Roman" w:cs="Times New Roman" w:eastAsia="Times New Roman" w:hAnsi="Times New Roman"/>
          <w:sz w:val="14"/>
          <w:szCs w:val="14"/>
          <w:color w:val="auto"/>
        </w:rPr>
        <w:t>” means the Company.</w:t>
      </w:r>
    </w:p>
    <w:p>
      <w:pPr>
        <w:spacing w:after="0" w:line="175" w:lineRule="exact"/>
        <w:rPr>
          <w:rFonts w:ascii="Times New Roman" w:cs="Times New Roman" w:eastAsia="Times New Roman" w:hAnsi="Times New Roman"/>
          <w:sz w:val="14"/>
          <w:szCs w:val="14"/>
          <w:color w:val="auto"/>
        </w:rPr>
      </w:pPr>
    </w:p>
    <w:p>
      <w:pPr>
        <w:ind w:left="220" w:right="559" w:firstLine="338"/>
        <w:spacing w:after="0" w:line="286" w:lineRule="auto"/>
        <w:tabs>
          <w:tab w:leader="none" w:pos="761"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Qualified Termination</w:t>
      </w:r>
      <w:r>
        <w:rPr>
          <w:rFonts w:ascii="Times New Roman" w:cs="Times New Roman" w:eastAsia="Times New Roman" w:hAnsi="Times New Roman"/>
          <w:sz w:val="14"/>
          <w:szCs w:val="14"/>
          <w:color w:val="auto"/>
        </w:rPr>
        <w:t>” means (i) a termination of the Covered Executive’s employment by the Company other than for Cause, death or Disability or (ii) the Covered Executive’s resignation from the Company for Good Reason.</w:t>
      </w:r>
    </w:p>
    <w:p>
      <w:pPr>
        <w:spacing w:after="0" w:line="120" w:lineRule="exact"/>
        <w:rPr>
          <w:rFonts w:ascii="Times New Roman" w:cs="Times New Roman" w:eastAsia="Times New Roman" w:hAnsi="Times New Roman"/>
          <w:sz w:val="14"/>
          <w:szCs w:val="14"/>
          <w:color w:val="auto"/>
        </w:rPr>
      </w:pPr>
    </w:p>
    <w:p>
      <w:pPr>
        <w:ind w:left="220" w:right="239" w:firstLine="338"/>
        <w:spacing w:after="0" w:line="256" w:lineRule="auto"/>
        <w:tabs>
          <w:tab w:leader="none" w:pos="792"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Separation Obligations</w:t>
      </w:r>
      <w:r>
        <w:rPr>
          <w:rFonts w:ascii="Times New Roman" w:cs="Times New Roman" w:eastAsia="Times New Roman" w:hAnsi="Times New Roman"/>
          <w:sz w:val="14"/>
          <w:szCs w:val="14"/>
          <w:color w:val="auto"/>
        </w:rPr>
        <w:t>” means: (i) execution of a separation agreement and release in a form and manner satisfactory to and provided by the Company that contains, among other provisions, a confirmation of the Covered Employee’s resignation from all officer and director positions with the Company and any Affiliate as of the Date of Termination, a general release of claims in favor of the Company and related persons and entities, confidentiality, return of property and non-disparagement provisions, a reaffirmation of the Covered Executive’s Continuing Obligations and provides that if the Covered Executive breaches any of the Continuing Obligations, all severance payments and benefits shall immediately cease (the “</w:t>
      </w:r>
      <w:r>
        <w:rPr>
          <w:rFonts w:ascii="Times New Roman" w:cs="Times New Roman" w:eastAsia="Times New Roman" w:hAnsi="Times New Roman"/>
          <w:sz w:val="14"/>
          <w:szCs w:val="14"/>
          <w:b w:val="1"/>
          <w:bCs w:val="1"/>
          <w:i w:val="1"/>
          <w:iCs w:val="1"/>
          <w:color w:val="auto"/>
        </w:rPr>
        <w:t>Separation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Agreement and Release</w:t>
      </w:r>
      <w:r>
        <w:rPr>
          <w:rFonts w:ascii="Times New Roman" w:cs="Times New Roman" w:eastAsia="Times New Roman" w:hAnsi="Times New Roman"/>
          <w:sz w:val="14"/>
          <w:szCs w:val="14"/>
          <w:color w:val="auto"/>
        </w:rPr>
        <w:t>”) and (ii) the Separation Agreement and Release becoming irrevocable, all within 60 days after the Date of Termination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such shorter period set forth in the Separation Agreement and Release).</w:t>
      </w:r>
    </w:p>
    <w:p>
      <w:pPr>
        <w:spacing w:after="0" w:line="143" w:lineRule="exact"/>
        <w:rPr>
          <w:rFonts w:ascii="Times New Roman" w:cs="Times New Roman" w:eastAsia="Times New Roman" w:hAnsi="Times New Roman"/>
          <w:sz w:val="14"/>
          <w:szCs w:val="14"/>
          <w:color w:val="auto"/>
        </w:rPr>
      </w:pPr>
    </w:p>
    <w:p>
      <w:pPr>
        <w:ind w:left="220" w:right="779" w:firstLine="338"/>
        <w:spacing w:after="0" w:line="286" w:lineRule="auto"/>
        <w:tabs>
          <w:tab w:leader="none" w:pos="761"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Target Bonus</w:t>
      </w:r>
      <w:r>
        <w:rPr>
          <w:rFonts w:ascii="Times New Roman" w:cs="Times New Roman" w:eastAsia="Times New Roman" w:hAnsi="Times New Roman"/>
          <w:sz w:val="14"/>
          <w:szCs w:val="14"/>
          <w:color w:val="auto"/>
        </w:rPr>
        <w:t>” means the higher of the Covered Executive’s target annual cash incentive compensation or target sales incentive plan commission, as applicable, in effect immediately prior to (i) the Covered Executive’s Date of Termination or (ii) the Change in Control.</w:t>
      </w:r>
    </w:p>
    <w:p>
      <w:pPr>
        <w:spacing w:after="0" w:line="120"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Tier 1 Executive</w:t>
      </w:r>
      <w:r>
        <w:rPr>
          <w:rFonts w:ascii="Times New Roman" w:cs="Times New Roman" w:eastAsia="Times New Roman" w:hAnsi="Times New Roman"/>
          <w:sz w:val="14"/>
          <w:szCs w:val="14"/>
          <w:color w:val="auto"/>
        </w:rPr>
        <w:t>” means the Company’s Chief Executive Officer.</w:t>
      </w:r>
    </w:p>
    <w:p>
      <w:pPr>
        <w:spacing w:after="0" w:line="175" w:lineRule="exact"/>
        <w:rPr>
          <w:rFonts w:ascii="Times New Roman" w:cs="Times New Roman" w:eastAsia="Times New Roman" w:hAnsi="Times New Roman"/>
          <w:sz w:val="14"/>
          <w:szCs w:val="14"/>
          <w:color w:val="auto"/>
        </w:rPr>
      </w:pPr>
    </w:p>
    <w:p>
      <w:pPr>
        <w:ind w:left="220" w:right="279" w:firstLine="338"/>
        <w:spacing w:after="0" w:line="286" w:lineRule="auto"/>
        <w:tabs>
          <w:tab w:leader="none" w:pos="753"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Tier 2 Executives</w:t>
      </w:r>
      <w:r>
        <w:rPr>
          <w:rFonts w:ascii="Times New Roman" w:cs="Times New Roman" w:eastAsia="Times New Roman" w:hAnsi="Times New Roman"/>
          <w:sz w:val="14"/>
          <w:szCs w:val="14"/>
          <w:color w:val="auto"/>
        </w:rPr>
        <w:t xml:space="preserve">” means the individuals holding the titles designated as such by the Plan Administrator and whose titles are listed in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attached hereto, as such exhibit may be amended by the Plan Administrator from time to time.</w:t>
      </w:r>
    </w:p>
    <w:p>
      <w:pPr>
        <w:spacing w:after="0" w:line="121" w:lineRule="exact"/>
        <w:rPr>
          <w:sz w:val="20"/>
          <w:szCs w:val="20"/>
          <w:color w:val="auto"/>
        </w:rPr>
      </w:pPr>
    </w:p>
    <w:p>
      <w:pPr>
        <w:ind w:left="220" w:right="639" w:firstLine="338"/>
        <w:spacing w:after="0" w:line="286" w:lineRule="auto"/>
        <w:tabs>
          <w:tab w:leader="none" w:pos="816"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Time-Based Equity Awards</w:t>
      </w:r>
      <w:r>
        <w:rPr>
          <w:rFonts w:ascii="Times New Roman" w:cs="Times New Roman" w:eastAsia="Times New Roman" w:hAnsi="Times New Roman"/>
          <w:sz w:val="14"/>
          <w:szCs w:val="14"/>
          <w:color w:val="auto"/>
        </w:rPr>
        <w:t>” means all outstanding stock options, restricted stock units, restricted stock awards and other stock-based awards with respect to the Company’s common stock that are subject solely to time-based vesting.</w:t>
      </w:r>
    </w:p>
    <w:p>
      <w:pPr>
        <w:spacing w:after="0" w:line="70"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9019"/>
          </w:cols>
          <w:pgMar w:left="1440" w:top="238" w:right="1440" w:bottom="1440" w:gutter="0" w:footer="0" w:header="0"/>
        </w:sectPr>
      </w:pPr>
    </w:p>
    <w:bookmarkStart w:id="430" w:name="page431"/>
    <w:bookmarkEnd w:id="430"/>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5. Accrued Obligations</w:t>
      </w:r>
    </w:p>
    <w:p>
      <w:pPr>
        <w:spacing w:after="0" w:line="93"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If the Covered Executive’s employment with the Company is terminated for any reason, the Covered Executive shall be deemed to have resigned from any officer or director positions that the Covered Executive holds with the Company or any Affiliate as of the Date of Termination. the Company shall pay or provide to the Covered Executive (or to the Covered Executive’s authorized representative or estate) (i) any base salary earned but unpaid through the Date of Termination; (ii) unpaid expense reimbursements (subject to, and in accordance with, the Company’s expense reimbursement policy then in effect); and (iii) any vested benefits the Covered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4"/>
          <w:szCs w:val="14"/>
          <w:b w:val="1"/>
          <w:bCs w:val="1"/>
          <w:i w:val="1"/>
          <w:iCs w:val="1"/>
          <w:color w:val="auto"/>
        </w:rPr>
        <w:t>Accrued Obligations</w:t>
      </w:r>
      <w:r>
        <w:rPr>
          <w:rFonts w:ascii="Times New Roman" w:cs="Times New Roman" w:eastAsia="Times New Roman" w:hAnsi="Times New Roman"/>
          <w:sz w:val="14"/>
          <w:szCs w:val="14"/>
          <w:color w:val="auto"/>
        </w:rPr>
        <w:t>”).</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6. Qualified Termination not in Connection with a Change in Control</w:t>
      </w:r>
    </w:p>
    <w:p>
      <w:pPr>
        <w:spacing w:after="0" w:line="93"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If a Covered Executive experiences a Qualified Termination outside of the Change in Control Period, then, in addition to the Accrued Obligations, and subject to the Covered Executive’s fulfillment of the Separation Obligations:</w:t>
      </w:r>
    </w:p>
    <w:p>
      <w:pPr>
        <w:spacing w:after="0" w:line="41" w:lineRule="exact"/>
        <w:rPr>
          <w:sz w:val="20"/>
          <w:szCs w:val="20"/>
          <w:color w:val="auto"/>
        </w:rPr>
      </w:pPr>
    </w:p>
    <w:p>
      <w:pPr>
        <w:jc w:val="both"/>
        <w:ind w:left="220" w:right="279" w:firstLine="338"/>
        <w:spacing w:after="0" w:line="261" w:lineRule="auto"/>
        <w:tabs>
          <w:tab w:leader="none" w:pos="753"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to the Covered Executive an amount equal to the sum of (i) 0.75 times the Covered Executive’s Base Salary (or, in the case of the Tier 1 Executive one times the Covered Executive’s Base Salary), and (ii) a pro-rated portion of the Covered Executive’s Target Bonus (with such pro-ration determined based on the actual number of days the Covered Executive was employed by the Company or any Affiliate in the calendar year in which the Date of Termination occurs); and</w:t>
      </w:r>
    </w:p>
    <w:p>
      <w:pPr>
        <w:spacing w:after="0" w:line="140" w:lineRule="exact"/>
        <w:rPr>
          <w:rFonts w:ascii="Times New Roman" w:cs="Times New Roman" w:eastAsia="Times New Roman" w:hAnsi="Times New Roman"/>
          <w:sz w:val="14"/>
          <w:szCs w:val="14"/>
          <w:color w:val="auto"/>
        </w:rPr>
      </w:pPr>
    </w:p>
    <w:p>
      <w:pPr>
        <w:ind w:left="220" w:right="239" w:firstLine="338"/>
        <w:spacing w:after="0" w:line="257" w:lineRule="auto"/>
        <w:tabs>
          <w:tab w:leader="none" w:pos="761"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Covered Executive’s proper election to receive COBRA benefits, the Company shall pay to the group health plan provider or the COBRA provider a monthly payment equal to the employer portion of the monthly COBRA premium until the earliest of (i) the nine-month anniversary (or, in the case of the Tier 1 Executive the 12-month anniversary) of the Date of Termination; (ii) the date that the Covered Executive becomes eligible for group medical plan benefits under another employer’s group medical plan; or (iii) the cessation of the Covered Executive’s health continuation rights under COBRA;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Company determines that such payments may violate applicable law, the Company shall instead make such payments directly to the Covered Executive in the form of payroll.</w:t>
      </w:r>
    </w:p>
    <w:p>
      <w:pPr>
        <w:spacing w:after="0" w:line="143"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 xml:space="preserve">The amounts payable under Section 6(a) and 6(b), as applicable, will be paid out in substantially equal installments in accordance with the Company’s payroll practice over nine months (or, in the case of the Tier I Executive or a Tier 2 Executive with an existing employment agreement as of the Effective Date that provides for 12 months of severance pay, 12 months), commencing within 60 days after the Date of Termination;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60-day period begins in one calendar year and ends in a second calendar year, such payments, to the extent they qualify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“non-qualified deferred compensation” within the meaning of Section 409A of the Code, shall begin to be paid in the second calendar year by the last day of such 60-day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initial payment shall include a catch-up payment to cover amounts retroactive to the day immediately following the Date of Termination.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38" w:right="1440" w:bottom="1440" w:gutter="0" w:footer="0" w:header="0"/>
        </w:sectPr>
      </w:pPr>
    </w:p>
    <w:bookmarkStart w:id="431" w:name="page432"/>
    <w:bookmarkEnd w:id="431"/>
    <w:p>
      <w:pPr>
        <w:ind w:left="640" w:hanging="425"/>
        <w:spacing w:after="0"/>
        <w:tabs>
          <w:tab w:leader="none" w:pos="640" w:val="left"/>
        </w:tabs>
        <w:numPr>
          <w:ilvl w:val="0"/>
          <w:numId w:val="3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Change in Control</w:t>
      </w:r>
    </w:p>
    <w:p>
      <w:pPr>
        <w:spacing w:after="0" w:line="93" w:lineRule="exact"/>
        <w:rPr>
          <w:sz w:val="20"/>
          <w:szCs w:val="20"/>
          <w:color w:val="auto"/>
        </w:rPr>
      </w:pPr>
    </w:p>
    <w:p>
      <w:pPr>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Upon a Change in Control the Tier 1 Executive shall be entitled to Tier 1 Executive Change in Control Accelerated Vesting. Further, if any Covered Executive experiences a Qualified Termination within the Change in Control Period, then, in addition to the Accrued Obligations, and subject to the Covered Executive’s fulfillment of the Separation Obligations:</w:t>
      </w:r>
    </w:p>
    <w:p>
      <w:pPr>
        <w:spacing w:after="0" w:line="51" w:lineRule="exact"/>
        <w:rPr>
          <w:sz w:val="20"/>
          <w:szCs w:val="20"/>
          <w:color w:val="auto"/>
        </w:rPr>
      </w:pPr>
    </w:p>
    <w:p>
      <w:pPr>
        <w:ind w:left="220" w:right="239" w:firstLine="338"/>
        <w:spacing w:after="0" w:line="267" w:lineRule="auto"/>
        <w:tabs>
          <w:tab w:leader="none" w:pos="753"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to the Covered Executive an amount equal to the sum of (i) the Covered Executive’s Base Salary (or, in the case of the Tier 1 Executive, 1.5 times the Tier 1 Executive’s Base Salary) and (ii) the Covered Executive’s Target Bonus (or, in the case of the Tier 1 Executive, 1.5 times the Tier 1 Executive’s Target Bonus);</w:t>
      </w:r>
    </w:p>
    <w:p>
      <w:pPr>
        <w:spacing w:after="0" w:line="135" w:lineRule="exact"/>
        <w:rPr>
          <w:rFonts w:ascii="Times New Roman" w:cs="Times New Roman" w:eastAsia="Times New Roman" w:hAnsi="Times New Roman"/>
          <w:sz w:val="14"/>
          <w:szCs w:val="14"/>
          <w:color w:val="auto"/>
        </w:rPr>
      </w:pPr>
    </w:p>
    <w:p>
      <w:pPr>
        <w:ind w:left="220" w:right="239" w:firstLine="338"/>
        <w:spacing w:after="0" w:line="257" w:lineRule="auto"/>
        <w:tabs>
          <w:tab w:leader="none" w:pos="761"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Covered Executive’s proper election to receive COBRA benefits, the Company shall pay to the group health plan provider or the COBRA provider a monthly payment equal to the monthly COBRA premium until the earliest of (i) the 12-month anniversary (or, in the case of the Tier I Executive, the 18-months anniversary) of the Date of Termination; (ii) the date that the Covered Executive becomes eligible for group medical plan benefits under another employer’s group medical plan; or (iii) the cessation of the Covered Executive’s health continuation rights under COBRA;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if the Company determines that such payments may violate applicable law, the Company shall instead make such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directly to the Covered Executive in the form of payroll; and</w:t>
      </w:r>
    </w:p>
    <w:p>
      <w:pPr>
        <w:spacing w:after="0" w:line="143" w:lineRule="exact"/>
        <w:rPr>
          <w:rFonts w:ascii="Times New Roman" w:cs="Times New Roman" w:eastAsia="Times New Roman" w:hAnsi="Times New Roman"/>
          <w:sz w:val="14"/>
          <w:szCs w:val="14"/>
          <w:color w:val="auto"/>
        </w:rPr>
      </w:pPr>
    </w:p>
    <w:p>
      <w:pPr>
        <w:ind w:left="220" w:right="219" w:firstLine="338"/>
        <w:spacing w:after="0" w:line="253" w:lineRule="auto"/>
        <w:tabs>
          <w:tab w:leader="none" w:pos="753"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any applicable Time-Based Equity Award agreement or in any applicable Company equity incentive plan, all Time-Based Equity Awards shall immediately accelerate and become fully vested and exercisable or nonforfeitable as of the Accelerated Vesting Date, provided that in order to effectuate the accelerated vesting contemplated by this subsection, the unvested portion of the Covered Executive’s Time-Based Equity Awards that would otherwise terminate or be forfeited on the Date of Termination will be delayed until the earlier of (i) the effective date of the Separation Agreement and Release or the date of the Change in Control, as applicable (at which time acceleration will occur), or (ii) the date that the Separation Agreement and Release can no longer become fully effective (at which time the unvested portion of the Covered Executive’s Time-Based Equity Awards will terminate or be forfeited). Notwithstanding the foregoing, no additional vesting of the Time-Based Equity Awards will occur during the period between the Date of Termination and the Accelerated Vesting Date. For the avoidance of doubt, upon a Qualifying Termination prior to the consummation of a Change in Control (1) all then unvested Time-Based Equity Awards held by the Covered Executive as of the Date of Termination will remain outstanding for a period of three months thereafter (unless such Time-Based Equity Awards are forfeited prior to such date pursuant to clause (ii) of the preceding sentence) and remain eligible to become vested upon the consummation of such Change in Control and, to the extent such Time-Based Equity Awards do not become vested in accordance with the terms set forth in this Section 7(c) on or prior to the date that is three months following the Date of Termination, all then-unvested Time-Based Equity Awards held by such Covered Executive will automatically and without further action be canceled and forfeited on the three-month anniversary of the Date of Termination.</w:t>
      </w:r>
    </w:p>
    <w:p>
      <w:pPr>
        <w:spacing w:after="0" w:line="94"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9019"/>
          </w:cols>
          <w:pgMar w:left="1440" w:top="239" w:right="1440" w:bottom="1440" w:gutter="0" w:footer="0" w:header="0"/>
        </w:sectPr>
      </w:pPr>
    </w:p>
    <w:bookmarkStart w:id="432" w:name="page433"/>
    <w:bookmarkEnd w:id="432"/>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The amounts payable under Section 7(a) shall be paid out in a lump sum within 60 days after the Date of Termination and the amounts payable under Section 7(b) will be paid out in substantially equal installments in accordance with the Company’s payroll practice over 12 months (or, in the case of the Tier I Executive, 18 months), commencing within 60 days after the Date of Termination;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if the 60-day period begins in one calendar year and ends in a second calendar year, such payments, to the extent they qualify as “non-qualified deferred compensation” within the meaning of Section 409A of the Code, shall begin to be paid in the second calendar year by the last day of such 60-day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initial payment shall include a catch-up payment to cover amounts retroactive to the day immediately following the Date of Termination.</w:t>
      </w:r>
    </w:p>
    <w:p>
      <w:pPr>
        <w:spacing w:after="0" w:line="143"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For the avoidance of doubt, (i) in no event will the Covered Executive be entitled to severance payments and benefits under both Section 6 and Section 7 of this Plan and (ii) if a Covered Executive has begun receiving severance pay and benefits under Section 6 prior to the date that the Covered Executive becomes eligible to receive severance pay and benefits under this Section 7, the severance pay and benefits previously provided to the Covered Executive under Section 6 shall reduce the severance pay and benefits to be provided under this Section 7.</w:t>
      </w:r>
    </w:p>
    <w:p>
      <w:pPr>
        <w:spacing w:after="0" w:line="223" w:lineRule="exact"/>
        <w:rPr>
          <w:sz w:val="20"/>
          <w:szCs w:val="20"/>
          <w:color w:val="auto"/>
        </w:rPr>
      </w:pPr>
    </w:p>
    <w:p>
      <w:pPr>
        <w:ind w:left="360" w:hanging="145"/>
        <w:spacing w:after="0"/>
        <w:tabs>
          <w:tab w:leader="none" w:pos="360" w:val="left"/>
        </w:tabs>
        <w:numPr>
          <w:ilvl w:val="0"/>
          <w:numId w:val="3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409A</w:t>
      </w:r>
    </w:p>
    <w:p>
      <w:pPr>
        <w:spacing w:after="0" w:line="93" w:lineRule="exact"/>
        <w:rPr>
          <w:rFonts w:ascii="Times New Roman" w:cs="Times New Roman" w:eastAsia="Times New Roman" w:hAnsi="Times New Roman"/>
          <w:sz w:val="14"/>
          <w:szCs w:val="14"/>
          <w:b w:val="1"/>
          <w:bCs w:val="1"/>
          <w:color w:val="auto"/>
        </w:rPr>
      </w:pPr>
    </w:p>
    <w:p>
      <w:pPr>
        <w:ind w:left="740" w:hanging="182"/>
        <w:spacing w:after="0"/>
        <w:tabs>
          <w:tab w:leader="none" w:pos="740"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Plan is intended to be administered in accordance with Section 409A of the Code. To the extent that any provision of this Plan is</w:t>
      </w:r>
    </w:p>
    <w:p>
      <w:pPr>
        <w:spacing w:after="0" w:line="21" w:lineRule="exact"/>
        <w:rPr>
          <w:rFonts w:ascii="Times New Roman" w:cs="Times New Roman" w:eastAsia="Times New Roman" w:hAnsi="Times New Roman"/>
          <w:sz w:val="14"/>
          <w:szCs w:val="14"/>
          <w:color w:val="auto"/>
        </w:rPr>
      </w:pPr>
    </w:p>
    <w:p>
      <w:pPr>
        <w:ind w:left="220" w:right="23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ambiguous as to its compliance with Section 409A of the Code, the provision shall be read in such a manner so that all payments hereunder comply with Section 409A of the Code. Each payment pursuant to this Plan is intended to constitute a separate payment for purposes of Treasury Regulation Section 1.409A-2(b)(2). This Plan may be amended as may be necessary to fully comply with Section 409A of the Code and all related rules and regulations in order to preserve the payments and benefits provided hereunder without additional cost.</w:t>
      </w:r>
    </w:p>
    <w:p>
      <w:pPr>
        <w:spacing w:after="0" w:line="144" w:lineRule="exact"/>
        <w:rPr>
          <w:rFonts w:ascii="Times New Roman" w:cs="Times New Roman" w:eastAsia="Times New Roman" w:hAnsi="Times New Roman"/>
          <w:sz w:val="14"/>
          <w:szCs w:val="14"/>
          <w:color w:val="auto"/>
        </w:rPr>
      </w:pPr>
    </w:p>
    <w:p>
      <w:pPr>
        <w:ind w:left="220" w:right="339" w:firstLine="338"/>
        <w:spacing w:after="0" w:line="261" w:lineRule="auto"/>
        <w:tabs>
          <w:tab w:leader="none" w:pos="761"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payment or benefit described in this Plan constitutes “non-qualified deferred compensation” under Section 409A of the Code, and to the extent that such payment or benefit is payable upon the Covered Executive’s termination of employment, then such payments or benefits shall be payable only upon the Covered Executive’s “separation from service.” The determination of whether and when a separation from service has occurred shall be made in accordance with the presumptions set forth in Treasury Regulation Section 1.409A-1(h).</w:t>
      </w:r>
    </w:p>
    <w:p>
      <w:pPr>
        <w:spacing w:after="0" w:line="140" w:lineRule="exact"/>
        <w:rPr>
          <w:rFonts w:ascii="Times New Roman" w:cs="Times New Roman" w:eastAsia="Times New Roman" w:hAnsi="Times New Roman"/>
          <w:sz w:val="14"/>
          <w:szCs w:val="14"/>
          <w:color w:val="auto"/>
        </w:rPr>
      </w:pPr>
    </w:p>
    <w:p>
      <w:pPr>
        <w:ind w:left="220" w:right="279" w:firstLine="338"/>
        <w:spacing w:after="0" w:line="281" w:lineRule="auto"/>
        <w:tabs>
          <w:tab w:leader="none" w:pos="753" w:val="left"/>
        </w:tabs>
        <w:numPr>
          <w:ilvl w:val="1"/>
          <w:numId w:val="3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Anything in this Plan to the contrary notwithstanding, if at the time of the Covered Executive’s separation from service within the meaning of Section 409A of the Code, the Company determines that the Covered Executive is a “specified employee” within the meaning of Section 409A(a)(2)(B)</w:t>
      </w:r>
    </w:p>
    <w:p>
      <w:pPr>
        <w:spacing w:after="0" w:line="1" w:lineRule="exact"/>
        <w:rPr>
          <w:rFonts w:ascii="Times New Roman" w:cs="Times New Roman" w:eastAsia="Times New Roman" w:hAnsi="Times New Roman"/>
          <w:sz w:val="13"/>
          <w:szCs w:val="13"/>
          <w:color w:val="auto"/>
        </w:rPr>
      </w:pPr>
    </w:p>
    <w:p>
      <w:pPr>
        <w:ind w:left="220" w:right="33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 of the Code, then to the extent any payment or benefit that the Covered Executive becomes entitled to under this Plan on account of the Covered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months and one day after the Covered Executive’s separation from service, or (B) the Covered Executive’s death. If any such delayed cash payment is otherwise payable on an installment basis, the first payment shall include a catch- up payment covering amounts that would otherwise have been paid during the six-month period but for the application of this provision (without interest), and the balance of the installments shall be payable in accordance with their original schedule.</w:t>
      </w:r>
    </w:p>
    <w:p>
      <w:pPr>
        <w:spacing w:after="0" w:line="95" w:lineRule="exact"/>
        <w:rPr>
          <w:rFonts w:ascii="Times New Roman" w:cs="Times New Roman" w:eastAsia="Times New Roman" w:hAnsi="Times New Roman"/>
          <w:sz w:val="13"/>
          <w:szCs w:val="13"/>
          <w:color w:val="auto"/>
        </w:rPr>
      </w:pPr>
    </w:p>
    <w:p>
      <w:pPr>
        <w:ind w:left="4460" w:hanging="73"/>
        <w:spacing w:after="0"/>
        <w:tabs>
          <w:tab w:leader="none" w:pos="4460" w:val="left"/>
        </w:tabs>
        <w:numPr>
          <w:ilvl w:val="2"/>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ectPr>
          <w:pgSz w:w="11900" w:h="16838" w:orient="portrait"/>
          <w:cols w:equalWidth="0" w:num="1">
            <w:col w:w="9019"/>
          </w:cols>
          <w:pgMar w:left="1440" w:top="241" w:right="1440" w:bottom="1440" w:gutter="0" w:footer="0" w:header="0"/>
        </w:sectPr>
      </w:pPr>
    </w:p>
    <w:bookmarkStart w:id="433" w:name="page434"/>
    <w:bookmarkEnd w:id="433"/>
    <w:p>
      <w:pPr>
        <w:ind w:left="220" w:right="319" w:firstLine="338"/>
        <w:spacing w:after="0" w:line="267" w:lineRule="auto"/>
        <w:tabs>
          <w:tab w:leader="none" w:pos="761" w:val="left"/>
        </w:tabs>
        <w:numPr>
          <w:ilvl w:val="1"/>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makes no representation or warranty and shall have no liability to any Covered Executive or any other person if any provisions of this Plan are determined to constitute deferred compensation subject to Section 409A of the Code but do not satisfy an exemption from, or the conditions of, such Section.</w:t>
      </w:r>
    </w:p>
    <w:p>
      <w:pPr>
        <w:spacing w:after="0" w:line="249" w:lineRule="exact"/>
        <w:rPr>
          <w:rFonts w:ascii="Times New Roman" w:cs="Times New Roman" w:eastAsia="Times New Roman" w:hAnsi="Times New Roman"/>
          <w:sz w:val="14"/>
          <w:szCs w:val="14"/>
          <w:color w:val="auto"/>
        </w:rPr>
      </w:pPr>
    </w:p>
    <w:p>
      <w:pPr>
        <w:ind w:left="640" w:hanging="425"/>
        <w:spacing w:after="0"/>
        <w:tabs>
          <w:tab w:leader="none" w:pos="640" w:val="left"/>
        </w:tabs>
        <w:numPr>
          <w:ilvl w:val="0"/>
          <w:numId w:val="3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Additional Limitation</w:t>
      </w:r>
    </w:p>
    <w:p>
      <w:pPr>
        <w:spacing w:after="0" w:line="93" w:lineRule="exact"/>
        <w:rPr>
          <w:rFonts w:ascii="Times New Roman" w:cs="Times New Roman" w:eastAsia="Times New Roman" w:hAnsi="Times New Roman"/>
          <w:sz w:val="14"/>
          <w:szCs w:val="14"/>
          <w:b w:val="1"/>
          <w:bCs w:val="1"/>
          <w:color w:val="auto"/>
        </w:rPr>
      </w:pPr>
    </w:p>
    <w:p>
      <w:pPr>
        <w:ind w:left="220" w:right="239" w:firstLine="338"/>
        <w:spacing w:after="0" w:line="252" w:lineRule="auto"/>
        <w:tabs>
          <w:tab w:leader="none" w:pos="753"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Plan to the contrary notwithstanding, in the event that the amount of any compensation, payment or distribution by the Company to or for the benefit of the Covered Executive, whether paid or payable or distributed or distributable pursuant to the terms of this Plan or otherwise, calculated in a manner consistent with Section 280G of the Code and the applicable regulations thereunder (the “</w:t>
      </w:r>
      <w:r>
        <w:rPr>
          <w:rFonts w:ascii="Times New Roman" w:cs="Times New Roman" w:eastAsia="Times New Roman" w:hAnsi="Times New Roman"/>
          <w:sz w:val="14"/>
          <w:szCs w:val="14"/>
          <w:b w:val="1"/>
          <w:bCs w:val="1"/>
          <w:i w:val="1"/>
          <w:iCs w:val="1"/>
          <w:color w:val="auto"/>
        </w:rPr>
        <w:t>Aggregate Payments</w:t>
      </w:r>
      <w:r>
        <w:rPr>
          <w:rFonts w:ascii="Times New Roman" w:cs="Times New Roman" w:eastAsia="Times New Roman" w:hAnsi="Times New Roman"/>
          <w:sz w:val="14"/>
          <w:szCs w:val="14"/>
          <w:color w:val="auto"/>
        </w:rPr>
        <w:t>”), would be subject to the 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provided that such reduction will only occur if it would result in the Covered Executive receiving a higher After Tax Amount (as defined below) than the Covered Executive would receive if the Aggregate Payments were not subject to such reduction. Notwithstanding the foregoing, if, immediately before the change in ownership or control, no stock of the Company is readily tradeable on an established securities market or otherwise (determined in accordance with Q&amp;A 6 of Treasury Regulations Section 1.280G-1), the Company shall use reasonable efforts to satisfy the shareholder approval requirements set forth in Q&amp;A 7 of Treasury Regulations Section 1.280G-1 with respect to the amount of any such potential reduction, and if such requirements are satisfied then no such reduction will apply. In the event of a reduction, the Aggregate Payments will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§1.280G-1, Q&amp;A-24(b) or</w:t>
      </w:r>
    </w:p>
    <w:p>
      <w:pPr>
        <w:spacing w:after="0" w:line="2"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shall be reduced before any amounts that are subject to calculation under Treas. Reg. §1.280G-1, Q&amp;A-24(b) or (c).</w:t>
      </w:r>
    </w:p>
    <w:p>
      <w:pPr>
        <w:spacing w:after="0" w:line="158" w:lineRule="exact"/>
        <w:rPr>
          <w:rFonts w:ascii="Times New Roman" w:cs="Times New Roman" w:eastAsia="Times New Roman" w:hAnsi="Times New Roman"/>
          <w:sz w:val="14"/>
          <w:szCs w:val="14"/>
          <w:color w:val="auto"/>
        </w:rPr>
      </w:pPr>
    </w:p>
    <w:p>
      <w:pPr>
        <w:ind w:left="220" w:right="439" w:firstLine="338"/>
        <w:spacing w:after="0" w:line="257" w:lineRule="auto"/>
        <w:tabs>
          <w:tab w:leader="none" w:pos="761"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the “</w:t>
      </w:r>
      <w:r>
        <w:rPr>
          <w:rFonts w:ascii="Times New Roman" w:cs="Times New Roman" w:eastAsia="Times New Roman" w:hAnsi="Times New Roman"/>
          <w:sz w:val="14"/>
          <w:szCs w:val="14"/>
          <w:b w:val="1"/>
          <w:bCs w:val="1"/>
          <w:i w:val="1"/>
          <w:iCs w:val="1"/>
          <w:color w:val="auto"/>
        </w:rPr>
        <w:t>After Tax Amount</w:t>
      </w:r>
      <w:r>
        <w:rPr>
          <w:rFonts w:ascii="Times New Roman" w:cs="Times New Roman" w:eastAsia="Times New Roman" w:hAnsi="Times New Roman"/>
          <w:sz w:val="14"/>
          <w:szCs w:val="14"/>
          <w:color w:val="auto"/>
        </w:rPr>
        <w:t>” means the amount of the Aggregate Payments less all federal, state and local income, excise, employment and social security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and social security taxes at the highest marginal rates of individual taxation in each applicable state and locality, net of the maximum reduction in federal income taxes (if any) that could be obtained from deduction of such state and local taxes.</w:t>
      </w:r>
    </w:p>
    <w:p>
      <w:pPr>
        <w:spacing w:after="0" w:line="9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ectPr>
          <w:pgSz w:w="11900" w:h="16838" w:orient="portrait"/>
          <w:cols w:equalWidth="0" w:num="1">
            <w:col w:w="9019"/>
          </w:cols>
          <w:pgMar w:left="1440" w:top="240" w:right="1440" w:bottom="1440" w:gutter="0" w:footer="0" w:header="0"/>
        </w:sectPr>
      </w:pPr>
    </w:p>
    <w:bookmarkStart w:id="434" w:name="page435"/>
    <w:bookmarkEnd w:id="434"/>
    <w:p>
      <w:pPr>
        <w:ind w:left="220" w:right="239" w:firstLine="338"/>
        <w:spacing w:after="0" w:line="261" w:lineRule="auto"/>
        <w:tabs>
          <w:tab w:leader="none" w:pos="753"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determination as to whether a reduction in the Aggregate Payments shall be made pursuant to Section 9(a) shall be made by the Accounting Firm selected by the Company prior to the closing of the Change in Control, which shall provide detailed supporting calculations both to the Company and the Covered Executive within 15 business days of the Date of Termination, if applicable, or at such earlier time as is reasonably requested by the Company or the Covered Executive. Any determination by the Accounting Firm shall be binding upon the Company and the Covered Executive.</w:t>
      </w:r>
    </w:p>
    <w:p>
      <w:pPr>
        <w:spacing w:after="0" w:line="222"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3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Withholding; Tax Effect</w:t>
      </w:r>
    </w:p>
    <w:p>
      <w:pPr>
        <w:spacing w:after="0" w:line="93" w:lineRule="exact"/>
        <w:rPr>
          <w:sz w:val="20"/>
          <w:szCs w:val="20"/>
          <w:color w:val="auto"/>
        </w:rPr>
      </w:pPr>
    </w:p>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All payments made under this Plan shall be net of any tax or other amounts required to be withheld by the Company under applicable law. Nothing in this Plan shall be construed to require the Company to make any payments to compensate the Covered Executive for any adverse tax effect associated with any payments or benefits or for any deduction or withholding from any payment or benefit.</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11. Death</w:t>
      </w:r>
    </w:p>
    <w:p>
      <w:pPr>
        <w:spacing w:after="0" w:line="93" w:lineRule="exact"/>
        <w:rPr>
          <w:sz w:val="20"/>
          <w:szCs w:val="20"/>
          <w:color w:val="auto"/>
        </w:rPr>
      </w:pPr>
    </w:p>
    <w:p>
      <w:pPr>
        <w:ind w:left="220" w:right="639" w:firstLine="343"/>
        <w:spacing w:after="0" w:line="296" w:lineRule="auto"/>
        <w:rPr>
          <w:sz w:val="20"/>
          <w:szCs w:val="20"/>
          <w:color w:val="auto"/>
        </w:rPr>
      </w:pPr>
      <w:r>
        <w:rPr>
          <w:rFonts w:ascii="Times New Roman" w:cs="Times New Roman" w:eastAsia="Times New Roman" w:hAnsi="Times New Roman"/>
          <w:sz w:val="13"/>
          <w:szCs w:val="13"/>
          <w:color w:val="auto"/>
        </w:rPr>
        <w:t>If a Covered Executive dies after the Date of Termination, but before all payments or benefits to which such Covered Executive is entitled pursuant to the Plan have been paid or provided, any remaining payments and benefits will be made to any beneficiary designated by the Covered Executive prior to the Covered Executive’s death (or the Covered Executive’s estate, if the Covered Executive fails to make such designation).</w:t>
      </w:r>
    </w:p>
    <w:p>
      <w:pPr>
        <w:spacing w:after="0" w:line="202" w:lineRule="exact"/>
        <w:rPr>
          <w:sz w:val="20"/>
          <w:szCs w:val="20"/>
          <w:color w:val="auto"/>
        </w:rPr>
      </w:pPr>
    </w:p>
    <w:p>
      <w:pPr>
        <w:ind w:left="420" w:hanging="205"/>
        <w:spacing w:after="0"/>
        <w:tabs>
          <w:tab w:leader="none" w:pos="420" w:val="left"/>
        </w:tabs>
        <w:numPr>
          <w:ilvl w:val="0"/>
          <w:numId w:val="3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Plan Administration</w:t>
      </w:r>
    </w:p>
    <w:p>
      <w:pPr>
        <w:spacing w:after="0" w:line="91" w:lineRule="exact"/>
        <w:rPr>
          <w:rFonts w:ascii="Times New Roman" w:cs="Times New Roman" w:eastAsia="Times New Roman" w:hAnsi="Times New Roman"/>
          <w:sz w:val="14"/>
          <w:szCs w:val="14"/>
          <w:b w:val="1"/>
          <w:bCs w:val="1"/>
          <w:color w:val="auto"/>
        </w:rPr>
      </w:pPr>
    </w:p>
    <w:p>
      <w:pPr>
        <w:ind w:left="220" w:right="499" w:firstLine="338"/>
        <w:spacing w:after="0" w:line="268" w:lineRule="auto"/>
        <w:tabs>
          <w:tab w:leader="none" w:pos="753"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Plan Administrator</w:t>
      </w:r>
      <w:r>
        <w:rPr>
          <w:rFonts w:ascii="Times New Roman" w:cs="Times New Roman" w:eastAsia="Times New Roman" w:hAnsi="Times New Roman"/>
          <w:sz w:val="14"/>
          <w:szCs w:val="14"/>
          <w:color w:val="auto"/>
        </w:rPr>
        <w:t>. The Plan Administrator and Plan Sponsor shall serve as the “named fiduciaries” of the Plan under ERISA. The Plan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Administrator shall be the “administrator” within the meaning of Section 3(16) of ERISA and shall have all the responsibilities and duties contained therein.</w:t>
      </w:r>
    </w:p>
    <w:p>
      <w:pPr>
        <w:spacing w:after="0" w:line="133" w:lineRule="exact"/>
        <w:rPr>
          <w:rFonts w:ascii="Times New Roman" w:cs="Times New Roman" w:eastAsia="Times New Roman" w:hAnsi="Times New Roman"/>
          <w:sz w:val="14"/>
          <w:szCs w:val="14"/>
          <w:color w:val="auto"/>
        </w:rPr>
      </w:pPr>
    </w:p>
    <w:p>
      <w:pPr>
        <w:ind w:left="220" w:right="279" w:firstLine="338"/>
        <w:spacing w:after="0" w:line="257" w:lineRule="auto"/>
        <w:tabs>
          <w:tab w:leader="none" w:pos="761"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Decisions, Powers and Duties</w:t>
      </w:r>
      <w:r>
        <w:rPr>
          <w:rFonts w:ascii="Times New Roman" w:cs="Times New Roman" w:eastAsia="Times New Roman" w:hAnsi="Times New Roman"/>
          <w:sz w:val="14"/>
          <w:szCs w:val="14"/>
          <w:color w:val="auto"/>
        </w:rPr>
        <w:t>. The general administration of the Plan and the responsibility for carrying out its provisions shall be vested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Plan Administrator. The Plan Administrator shall have the maximum discretionary authority permitted by law to discharge such duties and responsibilities, which also include, but are not limited to, interpretation and construction of the Plan, the determination of all questions of fact, including, without limitation, eligibility, participation and benefits, the resolution of any ambiguities and all other related or incidental matters, and such duties and powers of the Plan administration that are not assumed from time to time by any other appropriate entity, individual or institution. The Plan Administrator may adopt rules and regulations of uniform applicability in its interpretation and implementation of the Plan.</w:t>
      </w:r>
    </w:p>
    <w:p>
      <w:pPr>
        <w:spacing w:after="0" w:line="145"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The Plan Administrator shall discharge its duties and responsibilities and exercise its powers and authority in its sole discretion and in accordance with the terms of the controlling legal documents and applicable law, and its actions and decisions that are not arbitrary and capricious shall be binding on any Covered Executive, and the Covered Executive’s spouse or other dependent or beneficiary and any other interested parties whether or not in being or under a disability.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ectPr>
          <w:pgSz w:w="11900" w:h="16838" w:orient="portrait"/>
          <w:cols w:equalWidth="0" w:num="1">
            <w:col w:w="9019"/>
          </w:cols>
          <w:pgMar w:left="1440" w:top="240" w:right="1440" w:bottom="1440" w:gutter="0" w:footer="0" w:header="0"/>
        </w:sectPr>
      </w:pPr>
    </w:p>
    <w:bookmarkStart w:id="435" w:name="page436"/>
    <w:bookmarkEnd w:id="435"/>
    <w:p>
      <w:pPr>
        <w:ind w:left="220" w:right="799" w:firstLine="338"/>
        <w:spacing w:after="0" w:line="286" w:lineRule="auto"/>
        <w:tabs>
          <w:tab w:leader="none" w:pos="753"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Reports</w:t>
      </w:r>
      <w:r>
        <w:rPr>
          <w:rFonts w:ascii="Times New Roman" w:cs="Times New Roman" w:eastAsia="Times New Roman" w:hAnsi="Times New Roman"/>
          <w:sz w:val="14"/>
          <w:szCs w:val="14"/>
          <w:color w:val="auto"/>
        </w:rPr>
        <w:t>. The Plan Administrator shall be responsible for the preparation and delivery of all reports, notices, plan summaries and plan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descriptions required to be filed with any governmental office or to be given to any employee, former employee or beneficiary.</w:t>
      </w:r>
    </w:p>
    <w:p>
      <w:pPr>
        <w:spacing w:after="0" w:line="120" w:lineRule="exact"/>
        <w:rPr>
          <w:rFonts w:ascii="Times New Roman" w:cs="Times New Roman" w:eastAsia="Times New Roman" w:hAnsi="Times New Roman"/>
          <w:sz w:val="14"/>
          <w:szCs w:val="14"/>
          <w:color w:val="auto"/>
        </w:rPr>
      </w:pPr>
    </w:p>
    <w:p>
      <w:pPr>
        <w:ind w:left="220" w:right="399" w:firstLine="338"/>
        <w:spacing w:after="0" w:line="286" w:lineRule="auto"/>
        <w:tabs>
          <w:tab w:leader="none" w:pos="761"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to Furnish Information</w:t>
      </w:r>
      <w:r>
        <w:rPr>
          <w:rFonts w:ascii="Times New Roman" w:cs="Times New Roman" w:eastAsia="Times New Roman" w:hAnsi="Times New Roman"/>
          <w:sz w:val="14"/>
          <w:szCs w:val="14"/>
          <w:color w:val="auto"/>
        </w:rPr>
        <w:t>. Upon request of the Plan Administrator, the Company shall furnish such information in its possession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aid the Plan Administrator in the performance of its duties hereunder.</w:t>
      </w:r>
    </w:p>
    <w:p>
      <w:pPr>
        <w:spacing w:after="0" w:line="205"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3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Claims Procedure and Payment of Benefits</w:t>
      </w:r>
    </w:p>
    <w:p>
      <w:pPr>
        <w:spacing w:after="0" w:line="91" w:lineRule="exact"/>
        <w:rPr>
          <w:rFonts w:ascii="Times New Roman" w:cs="Times New Roman" w:eastAsia="Times New Roman" w:hAnsi="Times New Roman"/>
          <w:sz w:val="14"/>
          <w:szCs w:val="14"/>
          <w:b w:val="1"/>
          <w:bCs w:val="1"/>
          <w:color w:val="auto"/>
        </w:rPr>
      </w:pPr>
    </w:p>
    <w:p>
      <w:pPr>
        <w:ind w:left="740" w:hanging="182"/>
        <w:spacing w:after="0"/>
        <w:tabs>
          <w:tab w:leader="none" w:pos="74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Application for Benefits</w:t>
      </w:r>
    </w:p>
    <w:p>
      <w:pPr>
        <w:spacing w:after="0" w:line="93" w:lineRule="exact"/>
        <w:rPr>
          <w:rFonts w:ascii="Times New Roman" w:cs="Times New Roman" w:eastAsia="Times New Roman" w:hAnsi="Times New Roman"/>
          <w:sz w:val="14"/>
          <w:szCs w:val="14"/>
          <w:color w:val="auto"/>
        </w:rPr>
      </w:pPr>
    </w:p>
    <w:p>
      <w:pPr>
        <w:ind w:left="220" w:right="279" w:firstLine="767"/>
        <w:spacing w:after="0" w:line="258" w:lineRule="auto"/>
        <w:tabs>
          <w:tab w:leader="none" w:pos="1159" w:val="left"/>
        </w:tabs>
        <w:numPr>
          <w:ilvl w:val="2"/>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All applications for benefits under the Plan shall be submitted to the Plan Administrator at such location as designated by the Plan Administrator from time to time. Applications for benefits must be in writing on forms acceptable to the Plan Administrator and must be signed by the Covered Executive. The Plan Administrator reserves the right to require the Covered Executive to furnish such other information and documents as the Plan Administrator determines are necessary or appropriate. Each application shall be acted upon and approved or disapproved by the Plan Administrator within 90 days following its receipt by the Plan Administrator.</w:t>
      </w:r>
    </w:p>
    <w:p>
      <w:pPr>
        <w:spacing w:after="0" w:line="143" w:lineRule="exact"/>
        <w:rPr>
          <w:rFonts w:ascii="Times New Roman" w:cs="Times New Roman" w:eastAsia="Times New Roman" w:hAnsi="Times New Roman"/>
          <w:sz w:val="14"/>
          <w:szCs w:val="14"/>
          <w:color w:val="auto"/>
        </w:rPr>
      </w:pPr>
    </w:p>
    <w:p>
      <w:pPr>
        <w:ind w:left="220" w:right="439" w:firstLine="767"/>
        <w:spacing w:after="0" w:line="267" w:lineRule="auto"/>
        <w:tabs>
          <w:tab w:leader="none" w:pos="1198" w:val="left"/>
        </w:tabs>
        <w:numPr>
          <w:ilvl w:val="2"/>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Notification</w:t>
      </w:r>
      <w:r>
        <w:rPr>
          <w:rFonts w:ascii="Times New Roman" w:cs="Times New Roman" w:eastAsia="Times New Roman" w:hAnsi="Times New Roman"/>
          <w:sz w:val="14"/>
          <w:szCs w:val="14"/>
          <w:color w:val="auto"/>
        </w:rPr>
        <w:t>. The Plan Administrator shall provide a claimant with written or electronic Notification of any Adverse Benefit Determination. Any electronic Notification shall comply with the standards imposed by 29 C.F.R. 2520.104b-l(c)(l)(i), (iii) and (iv). The Notification shall set forth, in a manner calculated to be understood by the claimant:</w:t>
      </w:r>
    </w:p>
    <w:p>
      <w:pPr>
        <w:spacing w:after="0" w:line="61"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3"/>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reason or reasons for the Adverse Benefit Determination;</w:t>
      </w:r>
    </w:p>
    <w:p>
      <w:pPr>
        <w:spacing w:after="0" w:line="101"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3"/>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 to the specific Plan provisions on which the Adverse Benefit Determination is based;</w:t>
      </w:r>
    </w:p>
    <w:p>
      <w:pPr>
        <w:spacing w:after="0" w:line="101" w:lineRule="exact"/>
        <w:rPr>
          <w:rFonts w:ascii="Times New Roman" w:cs="Times New Roman" w:eastAsia="Times New Roman" w:hAnsi="Times New Roman"/>
          <w:sz w:val="14"/>
          <w:szCs w:val="14"/>
          <w:color w:val="auto"/>
        </w:rPr>
      </w:pPr>
    </w:p>
    <w:p>
      <w:pPr>
        <w:ind w:left="1740" w:right="359" w:hanging="411"/>
        <w:spacing w:after="0" w:line="283" w:lineRule="auto"/>
        <w:tabs>
          <w:tab w:leader="none" w:pos="1740" w:val="left"/>
        </w:tabs>
        <w:numPr>
          <w:ilvl w:val="3"/>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additional material or information necessary for the claimant to perfect the claim and an explanation of why such material or information is necessary; and</w:t>
      </w:r>
    </w:p>
    <w:p>
      <w:pPr>
        <w:spacing w:after="0" w:line="51" w:lineRule="exact"/>
        <w:rPr>
          <w:rFonts w:ascii="Times New Roman" w:cs="Times New Roman" w:eastAsia="Times New Roman" w:hAnsi="Times New Roman"/>
          <w:sz w:val="14"/>
          <w:szCs w:val="14"/>
          <w:color w:val="auto"/>
        </w:rPr>
      </w:pPr>
    </w:p>
    <w:p>
      <w:pPr>
        <w:ind w:left="1740" w:right="339" w:hanging="411"/>
        <w:spacing w:after="0" w:line="267" w:lineRule="auto"/>
        <w:tabs>
          <w:tab w:leader="none" w:pos="1740" w:val="left"/>
        </w:tabs>
        <w:numPr>
          <w:ilvl w:val="3"/>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Plan’s review procedures and the time limits applicable to such procedures, including a statement of the claimant’s right to bring a civil action under Section 502(a) of ERISA following an Adverse Benefit Determination on review.</w:t>
      </w:r>
    </w:p>
    <w:p>
      <w:pPr>
        <w:spacing w:after="0" w:line="82" w:lineRule="exact"/>
        <w:rPr>
          <w:rFonts w:ascii="Times New Roman" w:cs="Times New Roman" w:eastAsia="Times New Roman" w:hAnsi="Times New Roman"/>
          <w:sz w:val="14"/>
          <w:szCs w:val="14"/>
          <w:color w:val="auto"/>
        </w:rPr>
      </w:pPr>
    </w:p>
    <w:p>
      <w:pPr>
        <w:ind w:left="4440" w:hanging="88"/>
        <w:spacing w:after="0"/>
        <w:tabs>
          <w:tab w:leader="none" w:pos="4440" w:val="left"/>
        </w:tabs>
        <w:numPr>
          <w:ilvl w:val="4"/>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ectPr>
          <w:pgSz w:w="11900" w:h="16838" w:orient="portrait"/>
          <w:cols w:equalWidth="0" w:num="1">
            <w:col w:w="9019"/>
          </w:cols>
          <w:pgMar w:left="1440" w:top="238" w:right="1440" w:bottom="1440" w:gutter="0" w:footer="0" w:header="0"/>
        </w:sectPr>
      </w:pPr>
    </w:p>
    <w:bookmarkStart w:id="436" w:name="page437"/>
    <w:bookmarkEnd w:id="436"/>
    <w:p>
      <w:pPr>
        <w:ind w:left="760" w:hanging="202"/>
        <w:spacing w:after="0"/>
        <w:tabs>
          <w:tab w:leader="none" w:pos="76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Review of Benefit Denials</w:t>
      </w:r>
    </w:p>
    <w:p>
      <w:pPr>
        <w:spacing w:after="0" w:line="93" w:lineRule="exact"/>
        <w:rPr>
          <w:rFonts w:ascii="Times New Roman" w:cs="Times New Roman" w:eastAsia="Times New Roman" w:hAnsi="Times New Roman"/>
          <w:sz w:val="14"/>
          <w:szCs w:val="14"/>
          <w:color w:val="auto"/>
        </w:rPr>
      </w:pPr>
    </w:p>
    <w:p>
      <w:pPr>
        <w:ind w:left="220" w:right="239" w:firstLine="767"/>
        <w:spacing w:after="0" w:line="267" w:lineRule="auto"/>
        <w:tabs>
          <w:tab w:leader="none" w:pos="1159"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Appeal</w:t>
      </w:r>
      <w:r>
        <w:rPr>
          <w:rFonts w:ascii="Times New Roman" w:cs="Times New Roman" w:eastAsia="Times New Roman" w:hAnsi="Times New Roman"/>
          <w:sz w:val="14"/>
          <w:szCs w:val="14"/>
          <w:color w:val="auto"/>
        </w:rPr>
        <w:t>. A claimant shall have a reasonable opportunity to appeal an Adverse Benefit Determination to the Board and under which there will be a full and fair review of the claim and the Adverse Benefit Determination. The Board shall be identified in the Notification described in Section 13(a)(ii) and may be the Plan Administrator. Such full and fair review shall:</w:t>
      </w:r>
    </w:p>
    <w:p>
      <w:pPr>
        <w:spacing w:after="0" w:line="61" w:lineRule="exact"/>
        <w:rPr>
          <w:rFonts w:ascii="Times New Roman" w:cs="Times New Roman" w:eastAsia="Times New Roman" w:hAnsi="Times New Roman"/>
          <w:sz w:val="14"/>
          <w:szCs w:val="14"/>
          <w:color w:val="auto"/>
        </w:rPr>
      </w:pPr>
    </w:p>
    <w:p>
      <w:pPr>
        <w:ind w:left="1740" w:right="399" w:hanging="411"/>
        <w:spacing w:after="0" w:line="283" w:lineRule="auto"/>
        <w:tabs>
          <w:tab w:leader="none" w:pos="17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claimants at least 60 days following receipt of a Notification of an Adverse Benefit Determination within which to appeal the Adverse Benefit Determination;</w:t>
      </w:r>
    </w:p>
    <w:p>
      <w:pPr>
        <w:spacing w:after="0" w:line="51" w:lineRule="exact"/>
        <w:rPr>
          <w:rFonts w:ascii="Times New Roman" w:cs="Times New Roman" w:eastAsia="Times New Roman" w:hAnsi="Times New Roman"/>
          <w:sz w:val="14"/>
          <w:szCs w:val="14"/>
          <w:color w:val="auto"/>
        </w:rPr>
      </w:pPr>
    </w:p>
    <w:p>
      <w:pPr>
        <w:ind w:left="1740" w:right="539" w:hanging="411"/>
        <w:spacing w:after="0" w:line="283" w:lineRule="auto"/>
        <w:tabs>
          <w:tab w:leader="none" w:pos="17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claimants the opportunity to submit written comments, documents, records and other information relating to the claim for benefits;</w:t>
      </w:r>
    </w:p>
    <w:p>
      <w:pPr>
        <w:spacing w:after="0" w:line="51" w:lineRule="exact"/>
        <w:rPr>
          <w:rFonts w:ascii="Times New Roman" w:cs="Times New Roman" w:eastAsia="Times New Roman" w:hAnsi="Times New Roman"/>
          <w:sz w:val="14"/>
          <w:szCs w:val="14"/>
          <w:color w:val="auto"/>
        </w:rPr>
      </w:pPr>
    </w:p>
    <w:p>
      <w:pPr>
        <w:ind w:left="1740" w:right="239" w:hanging="411"/>
        <w:spacing w:after="0" w:line="283" w:lineRule="auto"/>
        <w:tabs>
          <w:tab w:leader="none" w:pos="17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 claimant shall be provided, upon request and free of charge, reasonable access to, and copies of, all documents, records and other information relevant to the claimant’s claim for benefits; and</w:t>
      </w:r>
    </w:p>
    <w:p>
      <w:pPr>
        <w:spacing w:after="0" w:line="51" w:lineRule="exact"/>
        <w:rPr>
          <w:rFonts w:ascii="Times New Roman" w:cs="Times New Roman" w:eastAsia="Times New Roman" w:hAnsi="Times New Roman"/>
          <w:sz w:val="14"/>
          <w:szCs w:val="14"/>
          <w:color w:val="auto"/>
        </w:rPr>
      </w:pPr>
    </w:p>
    <w:p>
      <w:pPr>
        <w:ind w:left="1740" w:right="379" w:hanging="411"/>
        <w:spacing w:after="0" w:line="267" w:lineRule="auto"/>
        <w:tabs>
          <w:tab w:leader="none" w:pos="17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review of the initial Adverse Benefit Determination that takes into account all comments, documents, records and other information submitted by the claimant relating to the claim, without regard to whether such information was submitted or considered in the initial Adverse Benefit Determination.</w:t>
      </w:r>
    </w:p>
    <w:p>
      <w:pPr>
        <w:spacing w:after="0" w:line="135" w:lineRule="exact"/>
        <w:rPr>
          <w:rFonts w:ascii="Times New Roman" w:cs="Times New Roman" w:eastAsia="Times New Roman" w:hAnsi="Times New Roman"/>
          <w:sz w:val="14"/>
          <w:szCs w:val="14"/>
          <w:color w:val="auto"/>
        </w:rPr>
      </w:pPr>
    </w:p>
    <w:p>
      <w:pPr>
        <w:jc w:val="both"/>
        <w:ind w:left="220" w:right="339" w:firstLine="767"/>
        <w:spacing w:after="0" w:line="267" w:lineRule="auto"/>
        <w:tabs>
          <w:tab w:leader="none" w:pos="1198"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Timing of Benefit Determination on Review</w:t>
      </w:r>
      <w:r>
        <w:rPr>
          <w:rFonts w:ascii="Times New Roman" w:cs="Times New Roman" w:eastAsia="Times New Roman" w:hAnsi="Times New Roman"/>
          <w:sz w:val="14"/>
          <w:szCs w:val="14"/>
          <w:color w:val="auto"/>
        </w:rPr>
        <w:t>. The Board shall notify the Covered Executive, in accordance with Section 13(b)(iv), of the Plan Administrator’s benefit determination on review within a reasonable period of time. Such Notification shall be provided not later than 60 days after receipt by the Plan Administrator of the Covered Executive’s request for review of the Adverse Benefit Determination.</w:t>
      </w:r>
    </w:p>
    <w:p>
      <w:pPr>
        <w:spacing w:after="0" w:line="135" w:lineRule="exact"/>
        <w:rPr>
          <w:rFonts w:ascii="Times New Roman" w:cs="Times New Roman" w:eastAsia="Times New Roman" w:hAnsi="Times New Roman"/>
          <w:sz w:val="14"/>
          <w:szCs w:val="14"/>
          <w:color w:val="auto"/>
        </w:rPr>
      </w:pPr>
    </w:p>
    <w:p>
      <w:pPr>
        <w:ind w:left="220" w:right="259" w:firstLine="767"/>
        <w:spacing w:after="0" w:line="283" w:lineRule="auto"/>
        <w:tabs>
          <w:tab w:leader="none" w:pos="1237"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Furnishing Documents</w:t>
      </w:r>
      <w:r>
        <w:rPr>
          <w:rFonts w:ascii="Times New Roman" w:cs="Times New Roman" w:eastAsia="Times New Roman" w:hAnsi="Times New Roman"/>
          <w:sz w:val="14"/>
          <w:szCs w:val="14"/>
          <w:color w:val="auto"/>
        </w:rPr>
        <w:t>. In the case of an Adverse Benefit Determination on review, the Board shall provide such access to, and copies of, documents, records and other information described in Section 13(b)(iv) as is appropriate.</w:t>
      </w:r>
    </w:p>
    <w:p>
      <w:pPr>
        <w:spacing w:after="0" w:line="124" w:lineRule="exact"/>
        <w:rPr>
          <w:rFonts w:ascii="Times New Roman" w:cs="Times New Roman" w:eastAsia="Times New Roman" w:hAnsi="Times New Roman"/>
          <w:sz w:val="14"/>
          <w:szCs w:val="14"/>
          <w:color w:val="auto"/>
        </w:rPr>
      </w:pPr>
    </w:p>
    <w:p>
      <w:pPr>
        <w:ind w:left="220" w:right="299" w:firstLine="767"/>
        <w:spacing w:after="0" w:line="261" w:lineRule="auto"/>
        <w:tabs>
          <w:tab w:leader="none" w:pos="1229"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Content of Notification on Review</w:t>
      </w:r>
      <w:r>
        <w:rPr>
          <w:rFonts w:ascii="Times New Roman" w:cs="Times New Roman" w:eastAsia="Times New Roman" w:hAnsi="Times New Roman"/>
          <w:sz w:val="14"/>
          <w:szCs w:val="14"/>
          <w:color w:val="auto"/>
        </w:rPr>
        <w:t>. The Board shall provide a claimant with written or electronic Notification of a Plan Administrator’s benefit determination following an appeal described in Section 13(b)(i). Any electronic Notification shall comply with the standards imposed by 29 C.F.R. 2520.104b-l(c)(l)(i), (iii) and (iv). In the case of an Adverse Benefit Determination on review, the Notification shall set forth, in a manner calculated to be understood by the claimant:</w:t>
      </w:r>
    </w:p>
    <w:p>
      <w:pPr>
        <w:spacing w:after="0" w:line="67"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reason or reasons for the Adverse Benefit Determination;</w:t>
      </w:r>
    </w:p>
    <w:p>
      <w:pPr>
        <w:spacing w:after="0" w:line="101"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 to the specific Plan provisions on which the Adverse Benefit Determination is based;</w:t>
      </w:r>
    </w:p>
    <w:p>
      <w:pPr>
        <w:spacing w:after="0" w:line="101" w:lineRule="exact"/>
        <w:rPr>
          <w:rFonts w:ascii="Times New Roman" w:cs="Times New Roman" w:eastAsia="Times New Roman" w:hAnsi="Times New Roman"/>
          <w:sz w:val="14"/>
          <w:szCs w:val="14"/>
          <w:color w:val="auto"/>
        </w:rPr>
      </w:pPr>
    </w:p>
    <w:p>
      <w:pPr>
        <w:ind w:left="1740" w:right="419" w:hanging="411"/>
        <w:spacing w:after="0" w:line="283" w:lineRule="auto"/>
        <w:tabs>
          <w:tab w:leader="none" w:pos="1740" w:val="left"/>
        </w:tabs>
        <w:numPr>
          <w:ilvl w:val="2"/>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claimant is entitled to receive, upon request and free of charge, reasonable access to, and copies of, all documents, records and other information relevant to the claimant’s claim for benefits; and</w:t>
      </w:r>
    </w:p>
    <w:p>
      <w:pPr>
        <w:spacing w:after="0" w:line="72" w:lineRule="exact"/>
        <w:rPr>
          <w:rFonts w:ascii="Times New Roman" w:cs="Times New Roman" w:eastAsia="Times New Roman" w:hAnsi="Times New Roman"/>
          <w:sz w:val="14"/>
          <w:szCs w:val="14"/>
          <w:color w:val="auto"/>
        </w:rPr>
      </w:pPr>
    </w:p>
    <w:p>
      <w:pPr>
        <w:ind w:left="4440" w:hanging="85"/>
        <w:spacing w:after="0"/>
        <w:tabs>
          <w:tab w:leader="none" w:pos="4440" w:val="left"/>
        </w:tabs>
        <w:numPr>
          <w:ilvl w:val="3"/>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ectPr>
          <w:pgSz w:w="11900" w:h="16838" w:orient="portrait"/>
          <w:cols w:equalWidth="0" w:num="1">
            <w:col w:w="9019"/>
          </w:cols>
          <w:pgMar w:left="1440" w:top="239" w:right="1440" w:bottom="1440" w:gutter="0" w:footer="0" w:header="0"/>
        </w:sectPr>
      </w:pPr>
    </w:p>
    <w:bookmarkStart w:id="437" w:name="page438"/>
    <w:bookmarkEnd w:id="437"/>
    <w:p>
      <w:pPr>
        <w:ind w:left="1740" w:hanging="411"/>
        <w:spacing w:after="0"/>
        <w:tabs>
          <w:tab w:leader="none" w:pos="1740" w:val="left"/>
        </w:tabs>
        <w:numPr>
          <w:ilvl w:val="2"/>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 statement of the claimant’s right to bring an action under Section 502(a) of ERISA.</w:t>
      </w:r>
    </w:p>
    <w:p>
      <w:pPr>
        <w:spacing w:after="0" w:line="173" w:lineRule="exact"/>
        <w:rPr>
          <w:rFonts w:ascii="Times New Roman" w:cs="Times New Roman" w:eastAsia="Times New Roman" w:hAnsi="Times New Roman"/>
          <w:sz w:val="14"/>
          <w:szCs w:val="14"/>
          <w:color w:val="auto"/>
        </w:rPr>
      </w:pPr>
    </w:p>
    <w:p>
      <w:pPr>
        <w:ind w:left="220" w:right="279" w:firstLine="338"/>
        <w:spacing w:after="0" w:line="259" w:lineRule="auto"/>
        <w:tabs>
          <w:tab w:leader="none" w:pos="753"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Calculating Time Periods</w:t>
      </w:r>
      <w:r>
        <w:rPr>
          <w:rFonts w:ascii="Times New Roman" w:cs="Times New Roman" w:eastAsia="Times New Roman" w:hAnsi="Times New Roman"/>
          <w:sz w:val="14"/>
          <w:szCs w:val="14"/>
          <w:color w:val="auto"/>
        </w:rPr>
        <w:t>. The period of time within which a benefit determination (including an Adverse Benefit Determination on review)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to be made shall begin at the time a claim (or appeal) is filed in accordance with the reasonable procedures of the Plan, without regard to whether all the information necessary to make a benefit determination accompanies the filing. In the event that a period of time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140" w:lineRule="exact"/>
        <w:rPr>
          <w:rFonts w:ascii="Times New Roman" w:cs="Times New Roman" w:eastAsia="Times New Roman" w:hAnsi="Times New Roman"/>
          <w:sz w:val="14"/>
          <w:szCs w:val="14"/>
          <w:color w:val="auto"/>
        </w:rPr>
      </w:pPr>
    </w:p>
    <w:p>
      <w:pPr>
        <w:ind w:left="220" w:right="319" w:firstLine="338"/>
        <w:spacing w:after="0" w:line="262" w:lineRule="auto"/>
        <w:tabs>
          <w:tab w:leader="none" w:pos="761"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Extension of Notice Period</w:t>
      </w:r>
      <w:r>
        <w:rPr>
          <w:rFonts w:ascii="Times New Roman" w:cs="Times New Roman" w:eastAsia="Times New Roman" w:hAnsi="Times New Roman"/>
          <w:sz w:val="14"/>
          <w:szCs w:val="14"/>
          <w:color w:val="auto"/>
        </w:rPr>
        <w:t>. The 90 day and 60 day periods applicable to the Notice furnished by the Plan Administrator in Sections 13(a)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13(b) above may be extended at the discretion of the Plan Administrator for a second 90 or 60 day period, as the case may be, provided that written Notice of the extension is furnished to the claimant prior to the termination of the initial period, indicating the special circumstances requiring such extension of time and the date by which a final decision is expected.</w:t>
      </w:r>
    </w:p>
    <w:p>
      <w:pPr>
        <w:spacing w:after="0" w:line="138" w:lineRule="exact"/>
        <w:rPr>
          <w:rFonts w:ascii="Times New Roman" w:cs="Times New Roman" w:eastAsia="Times New Roman" w:hAnsi="Times New Roman"/>
          <w:sz w:val="14"/>
          <w:szCs w:val="14"/>
          <w:color w:val="auto"/>
        </w:rPr>
      </w:pPr>
    </w:p>
    <w:p>
      <w:pPr>
        <w:ind w:left="220" w:right="439" w:firstLine="338"/>
        <w:spacing w:after="0" w:line="259" w:lineRule="auto"/>
        <w:tabs>
          <w:tab w:leader="none" w:pos="753"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Facility of Payment</w:t>
      </w:r>
      <w:r>
        <w:rPr>
          <w:rFonts w:ascii="Times New Roman" w:cs="Times New Roman" w:eastAsia="Times New Roman" w:hAnsi="Times New Roman"/>
          <w:sz w:val="14"/>
          <w:szCs w:val="14"/>
          <w:color w:val="auto"/>
        </w:rPr>
        <w:t>. Whenever and as often as any person entitled to payments hereunder shall be determined to be a minor or under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legal disability or otherwise incapacitated in any way so as to be unable to manage the person’s financial affairs, the Company, in its discretion, may direct that all or any portion of the benefit payments be made: (i) to such person; (ii) to such person’s legal guardian or conservator; or (iii) to such person’s spouse. The decision of the Plan Administrator shall, in each case, be final and binding upon all persons. Any payment made pursuant to the authority herein conferred shall operate as a complete discharge of the obligations of the Company under the Plan in respect thereof.</w:t>
      </w:r>
    </w:p>
    <w:p>
      <w:pPr>
        <w:spacing w:after="0" w:line="140" w:lineRule="exact"/>
        <w:rPr>
          <w:rFonts w:ascii="Times New Roman" w:cs="Times New Roman" w:eastAsia="Times New Roman" w:hAnsi="Times New Roman"/>
          <w:sz w:val="14"/>
          <w:szCs w:val="14"/>
          <w:color w:val="auto"/>
        </w:rPr>
      </w:pPr>
    </w:p>
    <w:p>
      <w:pPr>
        <w:jc w:val="both"/>
        <w:ind w:left="220" w:right="459" w:firstLine="338"/>
        <w:spacing w:after="0" w:line="268" w:lineRule="auto"/>
        <w:tabs>
          <w:tab w:leader="none" w:pos="738"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Responsibility for Payment</w:t>
      </w:r>
      <w:r>
        <w:rPr>
          <w:rFonts w:ascii="Times New Roman" w:cs="Times New Roman" w:eastAsia="Times New Roman" w:hAnsi="Times New Roman"/>
          <w:sz w:val="14"/>
          <w:szCs w:val="14"/>
          <w:color w:val="auto"/>
        </w:rPr>
        <w:t>. The Company shall be liable for the payment of benefits in accordance with the terms of the Plan. The benefits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Plan shall be payable solely by the Company and each Covered Executive who shall claim the right to any payment under the Plan shall be entitled to look only to the Company for such payment.</w:t>
      </w:r>
    </w:p>
    <w:p>
      <w:pPr>
        <w:spacing w:after="0" w:line="133" w:lineRule="exact"/>
        <w:rPr>
          <w:rFonts w:ascii="Times New Roman" w:cs="Times New Roman" w:eastAsia="Times New Roman" w:hAnsi="Times New Roman"/>
          <w:sz w:val="14"/>
          <w:szCs w:val="14"/>
          <w:color w:val="auto"/>
        </w:rPr>
      </w:pPr>
    </w:p>
    <w:p>
      <w:pPr>
        <w:ind w:left="220" w:right="299" w:firstLine="338"/>
        <w:spacing w:after="0" w:line="268" w:lineRule="auto"/>
        <w:tabs>
          <w:tab w:leader="none" w:pos="761" w:val="left"/>
        </w:tabs>
        <w:numPr>
          <w:ilvl w:val="1"/>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Limitation on Benefits</w:t>
      </w:r>
      <w:r>
        <w:rPr>
          <w:rFonts w:ascii="Times New Roman" w:cs="Times New Roman" w:eastAsia="Times New Roman" w:hAnsi="Times New Roman"/>
          <w:sz w:val="14"/>
          <w:szCs w:val="14"/>
          <w:color w:val="auto"/>
        </w:rPr>
        <w:t>. The Company shall have no obligation to set aside, earmark or entrust any fund, policy or money with which to pay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obligations under this Plan. The Covered Executive, or any successor in interest, shall be and remain simply a general, unsecured creditor of the Company with respect to the benefits under this Plan in the same manner as any other creditor who has a general claim for an unpaid liability.</w:t>
      </w:r>
    </w:p>
    <w:p>
      <w:pPr>
        <w:spacing w:after="0" w:line="217"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3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Indemnification</w:t>
      </w:r>
    </w:p>
    <w:p>
      <w:pPr>
        <w:spacing w:after="0" w:line="9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To the extent permitted by law, all employees, officers, directors, agents and representatives of the Company shall be indemnified by the Company and held harmless against any claims and the expenses of defending against such claims, resulting from any action or conduct relating to the administration of the Plan, whether as a member of the Plan Administrator or otherwise, except to the extent that such claims arise from gross negligence, willful neglect or willful misconduct.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- 12 -</w:t>
      </w:r>
    </w:p>
    <w:p>
      <w:pPr>
        <w:sectPr>
          <w:pgSz w:w="11900" w:h="16838" w:orient="portrait"/>
          <w:cols w:equalWidth="0" w:num="1">
            <w:col w:w="9019"/>
          </w:cols>
          <w:pgMar w:left="1440" w:top="240" w:right="1440" w:bottom="1440" w:gutter="0" w:footer="0" w:header="0"/>
        </w:sectPr>
      </w:pPr>
    </w:p>
    <w:bookmarkStart w:id="438" w:name="page439"/>
    <w:bookmarkEnd w:id="438"/>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15. Plan; At Will Employment</w:t>
      </w:r>
    </w:p>
    <w:p>
      <w:pPr>
        <w:spacing w:after="0" w:line="93"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The Plan is not a contract between the Company and any employee, nor is it a condition of employment or services of any employee. Nothing contained in the Plan gives, or is intended to give, any employee the right to be retained in the service of the Company, or to interfere with the right of the Company to discharge or terminate the employment or services of any employee at any time and for any reason. No employee shall have the right or claim to benefits beyond those expressly provided in this Plan, if any. All rights and claims are limited as set forth in the Plan.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 Severability</w:t>
      </w:r>
    </w:p>
    <w:p>
      <w:pPr>
        <w:spacing w:after="0" w:line="93"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If any portion or provision of this Plan (including, without limitation, any portion or provision of any Section of this Plan) is to any extent declared illegal or unenforceable by a court of competent jurisdiction, then the remainder of this Plan, or the application of such portion or provision in circumstances other than those as to which it is so declared illegal or unenforceable, shall not be affected thereby, and each portion and provision of this Plan shall be valid and enforceable to the fullest extent permitted by law.</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17. Waiver</w:t>
      </w:r>
    </w:p>
    <w:p>
      <w:pPr>
        <w:spacing w:after="0" w:line="93" w:lineRule="exact"/>
        <w:rPr>
          <w:sz w:val="20"/>
          <w:szCs w:val="20"/>
          <w:color w:val="auto"/>
        </w:rPr>
      </w:pPr>
    </w:p>
    <w:p>
      <w:pPr>
        <w:ind w:left="220" w:right="219" w:firstLine="343"/>
        <w:spacing w:after="0" w:line="267" w:lineRule="auto"/>
        <w:rPr>
          <w:sz w:val="20"/>
          <w:szCs w:val="20"/>
          <w:color w:val="auto"/>
        </w:rPr>
      </w:pPr>
      <w:r>
        <w:rPr>
          <w:rFonts w:ascii="Times New Roman" w:cs="Times New Roman" w:eastAsia="Times New Roman" w:hAnsi="Times New Roman"/>
          <w:sz w:val="14"/>
          <w:szCs w:val="14"/>
          <w:color w:val="auto"/>
        </w:rPr>
        <w:t>No waiver of any provision hereof shall be effective unless made in writing and signed by the waiving party. The failure of any party to require the performance of any term or obligation of this Plan, or the waiver by any party of any breach of this Plan, shall not prevent any subsequent enforcement of such term or obligation or be deemed a waiver of any subsequent breach.</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18. Successors and Assigns</w:t>
      </w:r>
    </w:p>
    <w:p>
      <w:pPr>
        <w:spacing w:after="0" w:line="93" w:lineRule="exact"/>
        <w:rPr>
          <w:sz w:val="20"/>
          <w:szCs w:val="20"/>
          <w:color w:val="auto"/>
        </w:rPr>
      </w:pPr>
    </w:p>
    <w:p>
      <w:pPr>
        <w:ind w:left="220" w:right="3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No right or interest of any Covered Executive in the Plan shall be assignable or transferable in whole or in part either directly or by operation of law or otherwise, including, but not limited to, execution, levy, garnishment, attachment, pledge or bankruptcy. The Plan Sponsor may assign or otherwise transfer this Plan without any Covered Executive’s consent to any affiliate or to any person or entity with whom the Plan Sponsor shall hereafter effect a reorganization or consolidation, into which the Plan Sponsor merges or to whom it transfers all or substantially all of its properties or assets;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Covered Executive remains employed or becomes employed by the Company, the purchaser or any of their affiliates in connection with any such transaction, then the Covered Executive shall not be entitled to any payments or benefits pursuant to Sections 6 or 7 of this Plan solely as a result of such transaction. This Plan shall inure to the benefit of and be binding upon the Covered Executive and the Plan Sponsor, and each of the Covered Executive’s and the Plan Sponsor’s respective successors, executors, administrators, heirs and permitted assigns.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- 13 -</w:t>
      </w:r>
    </w:p>
    <w:p>
      <w:pPr>
        <w:sectPr>
          <w:pgSz w:w="11900" w:h="16838" w:orient="portrait"/>
          <w:cols w:equalWidth="0" w:num="1">
            <w:col w:w="9019"/>
          </w:cols>
          <w:pgMar w:left="1440" w:top="239" w:right="1440" w:bottom="1440" w:gutter="0" w:footer="0" w:header="0"/>
        </w:sectPr>
      </w:pPr>
    </w:p>
    <w:bookmarkStart w:id="439" w:name="page440"/>
    <w:bookmarkEnd w:id="439"/>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19. Non-Duplication of Benefits and Effect on Other Plans20.</w:t>
      </w:r>
    </w:p>
    <w:p>
      <w:pPr>
        <w:spacing w:after="0" w:line="93"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Notwithstanding any other provision in the Plan to the contrary, the benefits provided hereunder and, if applicable, pursuant to the Participant Agreement, are in lieu of any other severance payments and/or benefits provided by the Company, including any such payments and/or benefits pursuant to an employment agreement or offer letter between the Company and any Covered Executive.</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21. Amendment or Termination</w:t>
      </w:r>
    </w:p>
    <w:p>
      <w:pPr>
        <w:spacing w:after="0" w:line="91"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color w:val="auto"/>
        </w:rPr>
        <w:t xml:space="preserve">The Plan Sponsor may amend, modify or terminate the Plan at any time in its sole discretion;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such amendment, modification or termination may affect the rights of a Covered Executive then receiving payments or benefits under the Plan without the consent of such person. Notwithstanding the foregoing, a Covered Executive’s rights to receive payments and benefits pursuant to this Plan in connection with a Qualified Termination may not be adversely affected by an amendment or termination of this Plan without the consent of such person.</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22. Governing Law and Limitation on Actions</w:t>
      </w:r>
    </w:p>
    <w:p>
      <w:pPr>
        <w:spacing w:after="0" w:line="93"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The Plan and the rights of all persons hereunder shall be construed in accordance with and under applicable provisions of ERISA, and the regulations thereunder, and the Plan and the rights of all persons under the Plan shall be construed in accordance with and under applicable provisions the laws of the State of California (without regard to conflict of laws provisions), to the extent not preempted by federal law. No action (whether at law, in equity or otherwise) shall be brought by or on behalf of any person for or with respect to benefits due under this Plan unless the person bringing such action has timely exhausted the Plan’s claim review procedure. Any action (whether at law, in equity or otherwise) must be filed and litigated in the U.S. District Court for the Northern District of California, and must be commenced within one year. This one-year period shall be computed from the earlier of (a) the date a final determination denying such benefit, in whole or in part, is issued under the Plan’s claim review procedure and (b) the date such person’s cause of action first accrued. If a person does not bring such an action within such one-year period, the person will be barred from bringing such action.</w:t>
      </w: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23. ERISA Required Information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Official Plan Name</w:t>
      </w:r>
      <w:r>
        <w:rPr>
          <w:rFonts w:ascii="Times New Roman" w:cs="Times New Roman" w:eastAsia="Times New Roman" w:hAnsi="Times New Roman"/>
          <w:sz w:val="14"/>
          <w:szCs w:val="14"/>
          <w:color w:val="auto"/>
        </w:rPr>
        <w:t>: The official name of the Plan is the Seaport Therapeutics, Inc. Executive Severance Plan.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Plan Administrator</w:t>
      </w:r>
      <w:r>
        <w:rPr>
          <w:rFonts w:ascii="Times New Roman" w:cs="Times New Roman" w:eastAsia="Times New Roman" w:hAnsi="Times New Roman"/>
          <w:sz w:val="14"/>
          <w:szCs w:val="14"/>
          <w:color w:val="auto"/>
        </w:rPr>
        <w:t>: The Plan Administrator is the Board (or its designee) of the Plan Sponsor.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Plan Sponsor</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COMPANY NAME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ADDRESS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(617) 807-4062</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- 14 -</w:t>
      </w:r>
    </w:p>
    <w:p>
      <w:pPr>
        <w:sectPr>
          <w:pgSz w:w="11900" w:h="16838" w:orient="portrait"/>
          <w:cols w:equalWidth="0" w:num="1">
            <w:col w:w="9019"/>
          </w:cols>
          <w:pgMar w:left="1440" w:top="238" w:right="1440" w:bottom="1440" w:gutter="0" w:footer="0" w:header="0"/>
        </w:sectPr>
      </w:pPr>
    </w:p>
    <w:bookmarkStart w:id="440" w:name="page441"/>
    <w:bookmarkEnd w:id="440"/>
    <w:p>
      <w:pPr>
        <w:ind w:left="220" w:right="259"/>
        <w:spacing w:after="0" w:line="286"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Plan Number</w:t>
      </w:r>
      <w:r>
        <w:rPr>
          <w:rFonts w:ascii="Times New Roman" w:cs="Times New Roman" w:eastAsia="Times New Roman" w:hAnsi="Times New Roman"/>
          <w:sz w:val="14"/>
          <w:szCs w:val="14"/>
          <w:color w:val="auto"/>
        </w:rPr>
        <w:t>: Documents and reports for the Plan are filed with the U.S. Department of Labor under Seaport Therapeutics, Inc. Employer Identification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Number (EIN) and the Plan Number (PN). The EIN for Seaport Therapeutics, Inc. is 99-2235719, and the PN is 503.</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The Plan Year</w:t>
      </w:r>
      <w:r>
        <w:rPr>
          <w:rFonts w:ascii="Times New Roman" w:cs="Times New Roman" w:eastAsia="Times New Roman" w:hAnsi="Times New Roman"/>
          <w:sz w:val="14"/>
          <w:szCs w:val="14"/>
          <w:color w:val="auto"/>
        </w:rPr>
        <w:t>: The Plan year is January 1 through December 31.</w:t>
      </w:r>
    </w:p>
    <w:p>
      <w:pPr>
        <w:spacing w:after="0" w:line="175" w:lineRule="exact"/>
        <w:rPr>
          <w:sz w:val="20"/>
          <w:szCs w:val="20"/>
          <w:color w:val="auto"/>
        </w:rPr>
      </w:pPr>
    </w:p>
    <w:p>
      <w:pPr>
        <w:ind w:left="220" w:right="299"/>
        <w:spacing w:after="0" w:line="286" w:lineRule="auto"/>
        <w:rPr>
          <w:sz w:val="20"/>
          <w:szCs w:val="20"/>
          <w:color w:val="auto"/>
        </w:rPr>
      </w:pPr>
      <w:r>
        <w:rPr>
          <w:rFonts w:ascii="Times New Roman" w:cs="Times New Roman" w:eastAsia="Times New Roman" w:hAnsi="Times New Roman"/>
          <w:sz w:val="14"/>
          <w:szCs w:val="14"/>
          <w:i w:val="1"/>
          <w:iCs w:val="1"/>
          <w:color w:val="auto"/>
        </w:rPr>
        <w:t>Agent for Service of Legal Process</w:t>
      </w:r>
      <w:r>
        <w:rPr>
          <w:rFonts w:ascii="Times New Roman" w:cs="Times New Roman" w:eastAsia="Times New Roman" w:hAnsi="Times New Roman"/>
          <w:sz w:val="14"/>
          <w:szCs w:val="14"/>
          <w:color w:val="auto"/>
        </w:rPr>
        <w:t>: Seaport Therapeutics, Inc. is the Plan’s agent for service of legal process and may be served at the address indicated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section entitled “Plan Administrator and Sponsor” above.</w:t>
      </w:r>
    </w:p>
    <w:p>
      <w:pPr>
        <w:spacing w:after="0" w:line="121" w:lineRule="exact"/>
        <w:rPr>
          <w:sz w:val="20"/>
          <w:szCs w:val="20"/>
          <w:color w:val="auto"/>
        </w:rPr>
      </w:pPr>
    </w:p>
    <w:p>
      <w:pPr>
        <w:ind w:left="220" w:right="399"/>
        <w:spacing w:after="0" w:line="286" w:lineRule="auto"/>
        <w:rPr>
          <w:sz w:val="20"/>
          <w:szCs w:val="20"/>
          <w:color w:val="auto"/>
        </w:rPr>
      </w:pPr>
      <w:r>
        <w:rPr>
          <w:rFonts w:ascii="Times New Roman" w:cs="Times New Roman" w:eastAsia="Times New Roman" w:hAnsi="Times New Roman"/>
          <w:sz w:val="14"/>
          <w:szCs w:val="14"/>
          <w:i w:val="1"/>
          <w:iCs w:val="1"/>
          <w:color w:val="auto"/>
        </w:rPr>
        <w:t>Funding</w:t>
      </w:r>
      <w:r>
        <w:rPr>
          <w:rFonts w:ascii="Times New Roman" w:cs="Times New Roman" w:eastAsia="Times New Roman" w:hAnsi="Times New Roman"/>
          <w:sz w:val="14"/>
          <w:szCs w:val="14"/>
          <w:color w:val="auto"/>
        </w:rPr>
        <w:t>: All severance pay and benefits are paid from the Company’s general assets and, thus the Plan is considered unfunded for tax purposes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Title I of ERISA.</w:t>
      </w:r>
    </w:p>
    <w:p>
      <w:pPr>
        <w:spacing w:after="0" w:line="121" w:lineRule="exact"/>
        <w:rPr>
          <w:sz w:val="20"/>
          <w:szCs w:val="20"/>
          <w:color w:val="auto"/>
        </w:rPr>
      </w:pPr>
    </w:p>
    <w:p>
      <w:pPr>
        <w:ind w:left="220" w:right="459"/>
        <w:spacing w:after="0" w:line="286" w:lineRule="auto"/>
        <w:rPr>
          <w:sz w:val="20"/>
          <w:szCs w:val="20"/>
          <w:color w:val="auto"/>
        </w:rPr>
      </w:pPr>
      <w:r>
        <w:rPr>
          <w:rFonts w:ascii="Times New Roman" w:cs="Times New Roman" w:eastAsia="Times New Roman" w:hAnsi="Times New Roman"/>
          <w:sz w:val="14"/>
          <w:szCs w:val="14"/>
          <w:i w:val="1"/>
          <w:iCs w:val="1"/>
          <w:color w:val="auto"/>
        </w:rPr>
        <w:t>ERISA Rights</w:t>
      </w:r>
      <w:r>
        <w:rPr>
          <w:rFonts w:ascii="Times New Roman" w:cs="Times New Roman" w:eastAsia="Times New Roman" w:hAnsi="Times New Roman"/>
          <w:sz w:val="14"/>
          <w:szCs w:val="14"/>
          <w:color w:val="auto"/>
        </w:rPr>
        <w:t>: The Plan is subject to ERISA. As a Covered Executive, you are entitled to certain rights and protections under ERISA. Under ERISA,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you are entitled to:</w:t>
      </w:r>
    </w:p>
    <w:p>
      <w:pPr>
        <w:spacing w:after="0" w:line="49" w:lineRule="exact"/>
        <w:rPr>
          <w:sz w:val="20"/>
          <w:szCs w:val="20"/>
          <w:color w:val="auto"/>
        </w:rPr>
      </w:pPr>
    </w:p>
    <w:p>
      <w:pPr>
        <w:ind w:left="980" w:right="439" w:hanging="345"/>
        <w:spacing w:after="0" w:line="283" w:lineRule="auto"/>
        <w:tabs>
          <w:tab w:leader="none" w:pos="98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Examine, without charge at the Plan Administrator’s office, all official Plan documents (including insurance contracts) and copies of all documents filed with the U.S. Department of Labor, such as detailed Summary Annual Reports.</w:t>
      </w:r>
    </w:p>
    <w:p>
      <w:pPr>
        <w:spacing w:after="0" w:line="51" w:lineRule="exact"/>
        <w:rPr>
          <w:rFonts w:ascii="Times New Roman" w:cs="Times New Roman" w:eastAsia="Times New Roman" w:hAnsi="Times New Roman"/>
          <w:sz w:val="14"/>
          <w:szCs w:val="14"/>
          <w:color w:val="auto"/>
        </w:rPr>
      </w:pPr>
    </w:p>
    <w:p>
      <w:pPr>
        <w:ind w:left="980" w:right="839" w:hanging="345"/>
        <w:spacing w:after="0" w:line="283" w:lineRule="auto"/>
        <w:tabs>
          <w:tab w:leader="none" w:pos="98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copies of all official Plan documents and other Plan information upon written request to the Plan Administrator. The Plan Administrator may charge a reasonable fee for the copies.</w:t>
      </w:r>
    </w:p>
    <w:p>
      <w:pPr>
        <w:spacing w:after="0" w:line="51" w:lineRule="exact"/>
        <w:rPr>
          <w:rFonts w:ascii="Times New Roman" w:cs="Times New Roman" w:eastAsia="Times New Roman" w:hAnsi="Times New Roman"/>
          <w:sz w:val="14"/>
          <w:szCs w:val="14"/>
          <w:color w:val="auto"/>
        </w:rPr>
      </w:pPr>
    </w:p>
    <w:p>
      <w:pPr>
        <w:ind w:left="980" w:right="299" w:hanging="345"/>
        <w:spacing w:after="0" w:line="283" w:lineRule="auto"/>
        <w:tabs>
          <w:tab w:leader="none" w:pos="98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 summary of the Plan’s annual financial report. The Plan Administrator is required to furnish each participant with a copy of this Summary Annual Report.</w:t>
      </w:r>
    </w:p>
    <w:p>
      <w:pPr>
        <w:spacing w:after="0" w:line="125" w:lineRule="exact"/>
        <w:rPr>
          <w:sz w:val="20"/>
          <w:szCs w:val="20"/>
          <w:color w:val="auto"/>
        </w:rPr>
      </w:pPr>
    </w:p>
    <w:p>
      <w:pPr>
        <w:ind w:left="220" w:right="279"/>
        <w:spacing w:after="0" w:line="261" w:lineRule="auto"/>
        <w:rPr>
          <w:sz w:val="20"/>
          <w:szCs w:val="20"/>
          <w:color w:val="auto"/>
        </w:rPr>
      </w:pPr>
      <w:r>
        <w:rPr>
          <w:rFonts w:ascii="Times New Roman" w:cs="Times New Roman" w:eastAsia="Times New Roman" w:hAnsi="Times New Roman"/>
          <w:sz w:val="14"/>
          <w:szCs w:val="14"/>
          <w:color w:val="auto"/>
        </w:rPr>
        <w:t>You also have the right to expect “fiduciaries,” the people who are responsible for the management of the Plan, to act prudently and to act in the interest of you and other Plan participants and beneficiaries. Another one of your ERISA-guaranteed rights means that no one – including the Company or any other person – may fire you or otherwise discriminate against you in any way to prevent you from obtaining a Plan benefit or exercising your rights under ERISA.</w:t>
      </w:r>
    </w:p>
    <w:p>
      <w:pPr>
        <w:spacing w:after="0" w:line="141" w:lineRule="exact"/>
        <w:rPr>
          <w:sz w:val="20"/>
          <w:szCs w:val="20"/>
          <w:color w:val="auto"/>
        </w:rPr>
      </w:pPr>
    </w:p>
    <w:p>
      <w:pPr>
        <w:ind w:left="220" w:right="259"/>
        <w:spacing w:after="0" w:line="254" w:lineRule="auto"/>
        <w:rPr>
          <w:sz w:val="20"/>
          <w:szCs w:val="20"/>
          <w:color w:val="auto"/>
        </w:rPr>
      </w:pPr>
      <w:r>
        <w:rPr>
          <w:rFonts w:ascii="Times New Roman" w:cs="Times New Roman" w:eastAsia="Times New Roman" w:hAnsi="Times New Roman"/>
          <w:sz w:val="14"/>
          <w:szCs w:val="14"/>
          <w:color w:val="auto"/>
        </w:rPr>
        <w:t>ERISA also guarantees your rights to written notice if any part of a claim is denied or ignored, in whole or in part. Because your rights under ERISA are protected by law, you also can file suit if a right is denied. For example, if you request certain Plan-related materials from the Plan Administrator and do not receive them within 30 days, you may file suit in a federal court. In such a case, the court may require the Plan Administrator to provide the materials and pay a fine of up to $110 a day until you receive the materials, unless the materials were not sent because of reasons beyond the control of the Plan Administrator. You may file suit in a federal court if you have a claim for benefits under the Plan that is denied or ignored, in whole or in part. You also can seek assistance from the U.S. Department of Labor or file suit in a federal court if a Plan fiduciary has misused Plan funds or if you are discriminated against for asserting your rights. The court will decide who should pay court costs and legal fees. If you are successful, the court may order the person you have sued to pay these costs and fees. If you lose because, for example, the court finds your claim frivolous, you may be ordered to pay all these costs and fees on your own, including any court costs and attorney fees.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- 15 -</w:t>
      </w:r>
    </w:p>
    <w:p>
      <w:pPr>
        <w:sectPr>
          <w:pgSz w:w="11900" w:h="16838" w:orient="portrait"/>
          <w:cols w:equalWidth="0" w:num="1">
            <w:col w:w="9019"/>
          </w:cols>
          <w:pgMar w:left="1440" w:top="238" w:right="1440" w:bottom="1440" w:gutter="0" w:footer="0" w:header="0"/>
        </w:sectPr>
      </w:pPr>
    </w:p>
    <w:bookmarkStart w:id="441" w:name="page442"/>
    <w:bookmarkEnd w:id="441"/>
    <w:p>
      <w:pPr>
        <w:ind w:left="22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 N.W., Washington, D.C. 20210. You may also obtain certain publications about your rights and responsibilities under ERISA by calling the Employee Benefits Security Administration’s publications hotline at 1-866-444-3272.</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- 16 -</w:t>
      </w:r>
    </w:p>
    <w:p>
      <w:pPr>
        <w:sectPr>
          <w:pgSz w:w="11900" w:h="16838" w:orient="portrait"/>
          <w:cols w:equalWidth="0" w:num="1">
            <w:col w:w="9019"/>
          </w:cols>
          <w:pgMar w:left="1440" w:top="241" w:right="1440" w:bottom="1440" w:gutter="0" w:footer="0" w:header="0"/>
        </w:sectPr>
      </w:pPr>
    </w:p>
    <w:bookmarkStart w:id="442" w:name="page443"/>
    <w:bookmarkEnd w:id="44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Tier 2 Executives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Chief Medical Officer &amp; President, Clinical Development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Chief Scientific Officer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General Counsel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- 17 -</w:t>
      </w:r>
    </w:p>
    <w:p>
      <w:pPr>
        <w:sectPr>
          <w:pgSz w:w="11900" w:h="16838" w:orient="portrait"/>
          <w:cols w:equalWidth="0" w:num="1">
            <w:col w:w="9019"/>
          </w:cols>
          <w:pgMar w:left="1440" w:top="238" w:right="1440" w:bottom="1440" w:gutter="0" w:footer="0" w:header="0"/>
        </w:sectPr>
      </w:pPr>
    </w:p>
    <w:bookmarkStart w:id="443" w:name="page444"/>
    <w:bookmarkEnd w:id="44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10.8</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161" w:lineRule="exact"/>
        <w:rPr>
          <w:sz w:val="20"/>
          <w:szCs w:val="20"/>
          <w:color w:val="auto"/>
        </w:rPr>
      </w:pPr>
    </w:p>
    <w:p>
      <w:pPr>
        <w:ind w:left="220" w:right="339"/>
        <w:spacing w:after="0" w:line="256" w:lineRule="auto"/>
        <w:rPr>
          <w:sz w:val="20"/>
          <w:szCs w:val="20"/>
          <w:color w:val="auto"/>
        </w:rPr>
      </w:pPr>
      <w:r>
        <w:rPr>
          <w:rFonts w:ascii="Times New Roman" w:cs="Times New Roman" w:eastAsia="Times New Roman" w:hAnsi="Times New Roman"/>
          <w:sz w:val="14"/>
          <w:szCs w:val="14"/>
          <w:color w:val="auto"/>
        </w:rPr>
        <w:t>The purpose of this Non-Employee Director Compensation Policy (the “Policy”) of Seaport Therapeutics, Inc. (the “Company”) is to provide a total compensation package that enables the Company to attract and retain, on a long-term basis, high-caliber directors who are not employees or officers of the Company or its subsidiaries (“Outside Directors”). This Policy will become effective as of the effective time of the registration statement for the Company’s initial public offering of its equity securities (the “Effective Date”). Unless otherwise determined by the Board of Directors, Outside Directors who are employees of, or otherwise affiliated with, an institutional investor in the Company shall not be eligible to receive compensation under this Policy. In furtherance of the purpose stated above, all Outside Directors shall be paid compensation for services provided to the Company as Outside Directors as set forth below:</w:t>
      </w:r>
    </w:p>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Cash Retainers</w:t>
      </w:r>
    </w:p>
    <w:p>
      <w:pPr>
        <w:spacing w:after="0" w:line="93" w:lineRule="exact"/>
        <w:rPr>
          <w:sz w:val="20"/>
          <w:szCs w:val="20"/>
          <w:color w:val="auto"/>
        </w:rPr>
      </w:pPr>
    </w:p>
    <w:p>
      <w:pPr>
        <w:ind w:left="220" w:right="239"/>
        <w:spacing w:after="0" w:line="267" w:lineRule="auto"/>
        <w:rPr>
          <w:sz w:val="20"/>
          <w:szCs w:val="20"/>
          <w:color w:val="auto"/>
        </w:rPr>
      </w:pPr>
      <w:r>
        <w:rPr>
          <w:rFonts w:ascii="Times New Roman" w:cs="Times New Roman" w:eastAsia="Times New Roman" w:hAnsi="Times New Roman"/>
          <w:sz w:val="14"/>
          <w:szCs w:val="14"/>
          <w:u w:val="single" w:color="auto"/>
          <w:color w:val="auto"/>
        </w:rPr>
        <w:t>Annual Retainer for Board Membership</w:t>
      </w:r>
      <w:r>
        <w:rPr>
          <w:rFonts w:ascii="Times New Roman" w:cs="Times New Roman" w:eastAsia="Times New Roman" w:hAnsi="Times New Roman"/>
          <w:sz w:val="14"/>
          <w:szCs w:val="14"/>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47" w:lineRule="exact"/>
        <w:rPr>
          <w:sz w:val="20"/>
          <w:szCs w:val="20"/>
          <w:color w:val="auto"/>
        </w:rPr>
      </w:pPr>
    </w:p>
    <w:tbl>
      <w:tblPr>
        <w:tblLayout w:type="fixed"/>
        <w:tblInd w:w="160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Annual Retainer for Non-Executive Chairperson: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35,000</w:t>
            </w:r>
          </w:p>
        </w:tc>
      </w:tr>
      <w:tr>
        <w:trPr>
          <w:trHeight w:val="128"/>
        </w:trPr>
        <w:tc>
          <w:tcPr>
            <w:tcW w:w="20" w:type="dxa"/>
            <w:vAlign w:val="bottom"/>
            <w:tcBorders>
              <w:top w:val="single" w:sz="8" w:color="auto"/>
            </w:tcBorders>
          </w:tcPr>
          <w:p>
            <w:pPr>
              <w:spacing w:after="0"/>
              <w:rPr>
                <w:sz w:val="11"/>
                <w:szCs w:val="11"/>
                <w:color w:val="auto"/>
              </w:rPr>
            </w:pPr>
          </w:p>
        </w:tc>
        <w:tc>
          <w:tcPr>
            <w:tcW w:w="33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Additional Annual Retainers for Committee Membership:</w:t>
            </w:r>
          </w:p>
        </w:tc>
        <w:tc>
          <w:tcPr>
            <w:tcW w:w="112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r>
      <w:tr>
        <w:trPr>
          <w:trHeight w:val="180"/>
        </w:trPr>
        <w:tc>
          <w:tcPr>
            <w:tcW w:w="2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Committee Chairperson:</w:t>
            </w:r>
          </w:p>
        </w:tc>
        <w:tc>
          <w:tcPr>
            <w:tcW w:w="1260" w:type="dxa"/>
            <w:vAlign w:val="bottom"/>
            <w:gridSpan w:val="2"/>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20,000</w:t>
            </w:r>
          </w:p>
        </w:tc>
      </w:tr>
      <w:tr>
        <w:trPr>
          <w:trHeight w:val="168"/>
        </w:trPr>
        <w:tc>
          <w:tcPr>
            <w:tcW w:w="20" w:type="dxa"/>
            <w:vAlign w:val="bottom"/>
          </w:tcPr>
          <w:p>
            <w:pPr>
              <w:spacing w:after="0"/>
              <w:rPr>
                <w:sz w:val="14"/>
                <w:szCs w:val="1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Audit Committee member: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10,000</w:t>
            </w:r>
          </w:p>
        </w:tc>
      </w:tr>
      <w:tr>
        <w:trPr>
          <w:trHeight w:val="168"/>
        </w:trPr>
        <w:tc>
          <w:tcPr>
            <w:tcW w:w="20" w:type="dxa"/>
            <w:vAlign w:val="bottom"/>
          </w:tcPr>
          <w:p>
            <w:pPr>
              <w:spacing w:after="0"/>
              <w:rPr>
                <w:sz w:val="14"/>
                <w:szCs w:val="14"/>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Committee Chairperson: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15,000</w:t>
            </w:r>
          </w:p>
        </w:tc>
      </w:tr>
      <w:tr>
        <w:trPr>
          <w:trHeight w:val="168"/>
        </w:trPr>
        <w:tc>
          <w:tcPr>
            <w:tcW w:w="20" w:type="dxa"/>
            <w:vAlign w:val="bottom"/>
          </w:tcPr>
          <w:p>
            <w:pPr>
              <w:spacing w:after="0"/>
              <w:rPr>
                <w:sz w:val="14"/>
                <w:szCs w:val="1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Compensation Committee member: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168"/>
        </w:trPr>
        <w:tc>
          <w:tcPr>
            <w:tcW w:w="20" w:type="dxa"/>
            <w:vAlign w:val="bottom"/>
          </w:tcPr>
          <w:p>
            <w:pPr>
              <w:spacing w:after="0"/>
              <w:rPr>
                <w:sz w:val="14"/>
                <w:szCs w:val="14"/>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Nominating and Corporate Governance Committee Chairperson: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15,000</w:t>
            </w:r>
          </w:p>
        </w:tc>
      </w:tr>
      <w:tr>
        <w:trPr>
          <w:trHeight w:val="168"/>
        </w:trPr>
        <w:tc>
          <w:tcPr>
            <w:tcW w:w="20" w:type="dxa"/>
            <w:vAlign w:val="bottom"/>
          </w:tcPr>
          <w:p>
            <w:pPr>
              <w:spacing w:after="0"/>
              <w:rPr>
                <w:sz w:val="14"/>
                <w:szCs w:val="1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Nominating and Corporate Governance Committee member: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168"/>
        </w:trPr>
        <w:tc>
          <w:tcPr>
            <w:tcW w:w="20" w:type="dxa"/>
            <w:vAlign w:val="bottom"/>
          </w:tcPr>
          <w:p>
            <w:pPr>
              <w:spacing w:after="0"/>
              <w:rPr>
                <w:sz w:val="14"/>
                <w:szCs w:val="14"/>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Science and Technology Committee Chairperson: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15,000</w:t>
            </w:r>
          </w:p>
        </w:tc>
      </w:tr>
      <w:tr>
        <w:trPr>
          <w:trHeight w:val="183"/>
        </w:trPr>
        <w:tc>
          <w:tcPr>
            <w:tcW w:w="20" w:type="dxa"/>
            <w:vAlign w:val="bottom"/>
          </w:tcPr>
          <w:p>
            <w:pPr>
              <w:spacing w:after="0"/>
              <w:rPr>
                <w:sz w:val="15"/>
                <w:szCs w:val="15"/>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Science and Technology Committee member: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r>
    </w:tbl>
    <w:p>
      <w:pPr>
        <w:sectPr>
          <w:pgSz w:w="11900" w:h="16838" w:orient="portrait"/>
          <w:cols w:equalWidth="0" w:num="1">
            <w:col w:w="9019"/>
          </w:cols>
          <w:pgMar w:left="1440" w:top="123" w:right="1440" w:bottom="1440" w:gutter="0" w:footer="0" w:header="0"/>
        </w:sectPr>
      </w:pPr>
    </w:p>
    <w:bookmarkStart w:id="444" w:name="page445"/>
    <w:bookmarkEnd w:id="444"/>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Equity Retainers</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All grants of equity retainer awards to Outside Directors pursuant to this Policy will be made in accordance with the following provisions:</w:t>
      </w:r>
    </w:p>
    <w:p>
      <w:pPr>
        <w:spacing w:after="0" w:line="91" w:lineRule="exact"/>
        <w:rPr>
          <w:sz w:val="20"/>
          <w:szCs w:val="20"/>
          <w:color w:val="auto"/>
        </w:rPr>
      </w:pPr>
    </w:p>
    <w:p>
      <w:pPr>
        <w:ind w:left="220" w:right="219"/>
        <w:spacing w:after="0" w:line="256" w:lineRule="auto"/>
        <w:rPr>
          <w:sz w:val="20"/>
          <w:szCs w:val="20"/>
          <w:color w:val="auto"/>
        </w:rPr>
      </w:pPr>
      <w:r>
        <w:rPr>
          <w:rFonts w:ascii="Times New Roman" w:cs="Times New Roman" w:eastAsia="Times New Roman" w:hAnsi="Times New Roman"/>
          <w:sz w:val="14"/>
          <w:szCs w:val="14"/>
          <w:u w:val="single" w:color="auto"/>
          <w:color w:val="auto"/>
        </w:rPr>
        <w:t>Initial Award</w:t>
      </w:r>
      <w:r>
        <w:rPr>
          <w:rFonts w:ascii="Times New Roman" w:cs="Times New Roman" w:eastAsia="Times New Roman" w:hAnsi="Times New Roman"/>
          <w:sz w:val="14"/>
          <w:szCs w:val="14"/>
          <w:color w:val="auto"/>
        </w:rPr>
        <w:t>: Upon his or her initial election to the Board of Directors, each Outside Director will receive an initial, one-time stock option award (the “Initial Award”) to purchase 154,000 shares, which shall vest in equal monthly installments over three years from the date of grant, provided, however, that all vesting shall cease if the director resigns from the Board of Directors or otherwise ceases to serve as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2026 Stock Option and Incentive Plan) of the Company’s common stock on the date of grant. This Initial Award applies only to Outside Directors who are first elected to the Board of Directors subsequent to the Effective Date.</w:t>
      </w:r>
    </w:p>
    <w:p>
      <w:pPr>
        <w:spacing w:after="0" w:line="144" w:lineRule="exact"/>
        <w:rPr>
          <w:sz w:val="20"/>
          <w:szCs w:val="20"/>
          <w:color w:val="auto"/>
        </w:rPr>
      </w:pPr>
    </w:p>
    <w:p>
      <w:pPr>
        <w:ind w:left="220" w:right="319"/>
        <w:spacing w:after="0" w:line="256" w:lineRule="auto"/>
        <w:rPr>
          <w:sz w:val="20"/>
          <w:szCs w:val="20"/>
          <w:color w:val="auto"/>
        </w:rPr>
      </w:pPr>
      <w:r>
        <w:rPr>
          <w:rFonts w:ascii="Times New Roman" w:cs="Times New Roman" w:eastAsia="Times New Roman" w:hAnsi="Times New Roman"/>
          <w:sz w:val="14"/>
          <w:szCs w:val="14"/>
          <w:u w:val="single" w:color="auto"/>
          <w:color w:val="auto"/>
        </w:rPr>
        <w:t>Annual Award</w:t>
      </w:r>
      <w:r>
        <w:rPr>
          <w:rFonts w:ascii="Times New Roman" w:cs="Times New Roman" w:eastAsia="Times New Roman" w:hAnsi="Times New Roman"/>
          <w:sz w:val="14"/>
          <w:szCs w:val="14"/>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77,000 shares,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Such Annual Award shall expire ten years from the date of grant, and shall have a per share exercise price equal to the Fair Market Value of the Company’s common stock on the date of grant.</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Expenses</w:t>
      </w:r>
    </w:p>
    <w:p>
      <w:pPr>
        <w:spacing w:after="0" w:line="93" w:lineRule="exact"/>
        <w:rPr>
          <w:sz w:val="20"/>
          <w:szCs w:val="20"/>
          <w:color w:val="auto"/>
        </w:rPr>
      </w:pPr>
    </w:p>
    <w:p>
      <w:pPr>
        <w:ind w:left="220" w:right="239"/>
        <w:spacing w:after="0" w:line="283" w:lineRule="auto"/>
        <w:rPr>
          <w:sz w:val="20"/>
          <w:szCs w:val="20"/>
          <w:color w:val="auto"/>
        </w:rPr>
      </w:pPr>
      <w:r>
        <w:rPr>
          <w:rFonts w:ascii="Times New Roman" w:cs="Times New Roman" w:eastAsia="Times New Roman" w:hAnsi="Times New Roman"/>
          <w:sz w:val="14"/>
          <w:szCs w:val="14"/>
          <w:color w:val="auto"/>
        </w:rPr>
        <w:t>The Company will reimburse all reasonable out-of-pocket expenses incurred by Outside Directors in attending meetings of the Board of Directors or any committee thereof.</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Maximum Annual Compensation</w:t>
      </w:r>
    </w:p>
    <w:p>
      <w:pPr>
        <w:spacing w:after="0" w:line="93" w:lineRule="exact"/>
        <w:rPr>
          <w:sz w:val="20"/>
          <w:szCs w:val="20"/>
          <w:color w:val="auto"/>
        </w:rPr>
      </w:pPr>
    </w:p>
    <w:p>
      <w:pPr>
        <w:ind w:left="220" w:right="299"/>
        <w:spacing w:after="0" w:line="258" w:lineRule="auto"/>
        <w:rPr>
          <w:sz w:val="20"/>
          <w:szCs w:val="20"/>
          <w:color w:val="auto"/>
        </w:rPr>
      </w:pPr>
      <w:r>
        <w:rPr>
          <w:rFonts w:ascii="Times New Roman" w:cs="Times New Roman" w:eastAsia="Times New Roman" w:hAnsi="Times New Roman"/>
          <w:sz w:val="14"/>
          <w:szCs w:val="14"/>
          <w:color w:val="auto"/>
        </w:rPr>
        <w:t>The aggregate amount of compensation, including both equity compensation and cash compensation, paid by the Company to any Outside Director in a calendar year for services as an Outside Director shall not exceed $750,000 (or such other limit as may be set forth in Section 3(b) of the Company’s 2026 Stock Option and Incentive Plan, as amended from time to time, or any similar provision of a successor plan); provided, however, that in the first calendar year in which an individual becomes an Outside Director, the aggregate amount of all equity compensation awarded and all other cash compensation paid by the Company to such Outside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445" w:name="page446"/>
    <w:bookmarkEnd w:id="445"/>
    <w:p>
      <w:pPr>
        <w:jc w:val="both"/>
        <w:ind w:left="220" w:right="2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Director for services as an Outside Director shall not exceed $1,000,000 (or such other limit as may be set forth in Section 3(b) of the Company’s 2026 Stock Option and Incentive Plan, as amended from time to time,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Adopted April 7, 2026, subject to effectiveness of the Company’s Registration Statement on Form S-1.</w:t>
      </w:r>
    </w:p>
    <w:p>
      <w:pPr>
        <w:spacing w:after="0" w:line="1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46" w:name="page447"/>
    <w:bookmarkEnd w:id="44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10.9</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RECOVERY POLICY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Adopted as of April 7, 2026, subject to effectiveness of the Company’s Registration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on Form S-1 for its initial public offering.</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Seaport Therapeutics, Inc., a Delaware corporation (the “Company”), has adopted a Compensation Recovery Policy (this “Policy”) as described below.</w:t>
      </w:r>
    </w:p>
    <w:p>
      <w:pPr>
        <w:spacing w:after="0" w:line="289" w:lineRule="exact"/>
        <w:rPr>
          <w:sz w:val="20"/>
          <w:szCs w:val="20"/>
          <w:color w:val="auto"/>
        </w:rPr>
      </w:pPr>
    </w:p>
    <w:p>
      <w:pPr>
        <w:ind w:left="560" w:hanging="345"/>
        <w:spacing w:after="0"/>
        <w:tabs>
          <w:tab w:leader="none" w:pos="560" w:val="left"/>
        </w:tabs>
        <w:numPr>
          <w:ilvl w:val="0"/>
          <w:numId w:val="3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220" w:right="259"/>
        <w:spacing w:after="0" w:line="261" w:lineRule="auto"/>
        <w:rPr>
          <w:sz w:val="20"/>
          <w:szCs w:val="20"/>
          <w:color w:val="auto"/>
        </w:rPr>
      </w:pPr>
      <w:r>
        <w:rPr>
          <w:rFonts w:ascii="Times New Roman" w:cs="Times New Roman" w:eastAsia="Times New Roman" w:hAnsi="Times New Roman"/>
          <w:sz w:val="14"/>
          <w:szCs w:val="14"/>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Global Market. Capitalized terms used and not otherwise defined herein shall have the meanings given in Section 3 below.</w:t>
      </w:r>
    </w:p>
    <w:p>
      <w:pPr>
        <w:spacing w:after="0" w:line="254" w:lineRule="exact"/>
        <w:rPr>
          <w:sz w:val="20"/>
          <w:szCs w:val="20"/>
          <w:color w:val="auto"/>
        </w:rPr>
      </w:pPr>
    </w:p>
    <w:p>
      <w:pPr>
        <w:ind w:left="560" w:hanging="345"/>
        <w:spacing w:after="0"/>
        <w:tabs>
          <w:tab w:leader="none" w:pos="560" w:val="left"/>
        </w:tabs>
        <w:numPr>
          <w:ilvl w:val="0"/>
          <w:numId w:val="3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Compensation Recovery Requirement</w:t>
      </w:r>
    </w:p>
    <w:p>
      <w:pPr>
        <w:spacing w:after="0" w:line="93" w:lineRule="exact"/>
        <w:rPr>
          <w:sz w:val="20"/>
          <w:szCs w:val="20"/>
          <w:color w:val="auto"/>
        </w:rPr>
      </w:pPr>
    </w:p>
    <w:p>
      <w:pPr>
        <w:ind w:left="220" w:right="539"/>
        <w:spacing w:after="0" w:line="283" w:lineRule="auto"/>
        <w:rPr>
          <w:sz w:val="20"/>
          <w:szCs w:val="20"/>
          <w:color w:val="auto"/>
        </w:rPr>
      </w:pPr>
      <w:r>
        <w:rPr>
          <w:rFonts w:ascii="Times New Roman" w:cs="Times New Roman" w:eastAsia="Times New Roman" w:hAnsi="Times New Roman"/>
          <w:sz w:val="14"/>
          <w:szCs w:val="14"/>
          <w:color w:val="auto"/>
        </w:rPr>
        <w:t>In the event the Company is required to prepare a Financial Restatement, the Company shall recover reasonably promptly all Erroneously Awarded Compensation with respect to such Financial Restatement.</w:t>
      </w:r>
    </w:p>
    <w:p>
      <w:pPr>
        <w:spacing w:after="0" w:line="239" w:lineRule="exact"/>
        <w:rPr>
          <w:sz w:val="20"/>
          <w:szCs w:val="20"/>
          <w:color w:val="auto"/>
        </w:rPr>
      </w:pPr>
    </w:p>
    <w:p>
      <w:pPr>
        <w:ind w:left="560" w:hanging="345"/>
        <w:spacing w:after="0"/>
        <w:tabs>
          <w:tab w:leader="none" w:pos="560" w:val="left"/>
        </w:tabs>
        <w:numPr>
          <w:ilvl w:val="0"/>
          <w:numId w:val="3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03" w:lineRule="exact"/>
        <w:rPr>
          <w:rFonts w:ascii="Times New Roman" w:cs="Times New Roman" w:eastAsia="Times New Roman" w:hAnsi="Times New Roman"/>
          <w:sz w:val="14"/>
          <w:szCs w:val="14"/>
          <w:b w:val="1"/>
          <w:bCs w:val="1"/>
          <w:color w:val="auto"/>
        </w:rPr>
      </w:pPr>
    </w:p>
    <w:p>
      <w:pPr>
        <w:ind w:left="980" w:right="279" w:hanging="429"/>
        <w:spacing w:after="0" w:line="261" w:lineRule="auto"/>
        <w:tabs>
          <w:tab w:leader="none" w:pos="9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67" w:lineRule="exact"/>
        <w:rPr>
          <w:rFonts w:ascii="Times New Roman" w:cs="Times New Roman" w:eastAsia="Times New Roman" w:hAnsi="Times New Roman"/>
          <w:sz w:val="14"/>
          <w:szCs w:val="14"/>
          <w:color w:val="auto"/>
        </w:rPr>
      </w:pPr>
    </w:p>
    <w:p>
      <w:pPr>
        <w:ind w:left="980" w:right="539" w:hanging="429"/>
        <w:spacing w:after="0" w:line="283" w:lineRule="auto"/>
        <w:tabs>
          <w:tab w:leader="none" w:pos="9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Rules” means any rules or regulations adopted by the Exchange pursuant to Rule 10D-1 under the Exchange Act and any applicable rules or regulations adopted by the SEC pursuant to Section 10D of the Exchange Act.</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means the Board of Directors of the Company.</w:t>
      </w:r>
    </w:p>
    <w:p>
      <w:pPr>
        <w:spacing w:after="0" w:line="101" w:lineRule="exact"/>
        <w:rPr>
          <w:rFonts w:ascii="Times New Roman" w:cs="Times New Roman" w:eastAsia="Times New Roman" w:hAnsi="Times New Roman"/>
          <w:sz w:val="14"/>
          <w:szCs w:val="14"/>
          <w:color w:val="auto"/>
        </w:rPr>
      </w:pPr>
    </w:p>
    <w:p>
      <w:pPr>
        <w:ind w:left="980" w:right="339" w:hanging="429"/>
        <w:spacing w:after="0" w:line="283" w:lineRule="auto"/>
        <w:tabs>
          <w:tab w:leader="none" w:pos="980"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means the Compensation Committee of the Board or, in the absence of such committee, a majority of independent directors serving on the Board.</w:t>
      </w:r>
    </w:p>
    <w:p>
      <w:pPr>
        <w:sectPr>
          <w:pgSz w:w="11900" w:h="16838" w:orient="portrait"/>
          <w:cols w:equalWidth="0" w:num="1">
            <w:col w:w="9019"/>
          </w:cols>
          <w:pgMar w:left="1440" w:top="123" w:right="1440" w:bottom="1440" w:gutter="0" w:footer="0" w:header="0"/>
        </w:sectPr>
      </w:pPr>
    </w:p>
    <w:bookmarkStart w:id="447" w:name="page448"/>
    <w:bookmarkEnd w:id="447"/>
    <w:p>
      <w:pPr>
        <w:ind w:left="980" w:right="299" w:hanging="429"/>
        <w:spacing w:after="0" w:line="256" w:lineRule="auto"/>
        <w:tabs>
          <w:tab w:leader="none" w:pos="98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69"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Date” means the date of effectiveness of the Company’s Registration Statement on Form S-1 for its initial public offering.</w:t>
      </w:r>
    </w:p>
    <w:p>
      <w:pPr>
        <w:spacing w:after="0" w:line="101" w:lineRule="exact"/>
        <w:rPr>
          <w:rFonts w:ascii="Times New Roman" w:cs="Times New Roman" w:eastAsia="Times New Roman" w:hAnsi="Times New Roman"/>
          <w:sz w:val="14"/>
          <w:szCs w:val="14"/>
          <w:color w:val="auto"/>
        </w:rPr>
      </w:pPr>
    </w:p>
    <w:p>
      <w:pPr>
        <w:ind w:left="980" w:right="219" w:hanging="429"/>
        <w:spacing w:after="0" w:line="254" w:lineRule="auto"/>
        <w:tabs>
          <w:tab w:leader="none" w:pos="98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72"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means the Nasdaq Global Market.</w:t>
      </w:r>
    </w:p>
    <w:p>
      <w:pPr>
        <w:spacing w:after="0" w:line="101" w:lineRule="exact"/>
        <w:rPr>
          <w:rFonts w:ascii="Times New Roman" w:cs="Times New Roman" w:eastAsia="Times New Roman" w:hAnsi="Times New Roman"/>
          <w:sz w:val="14"/>
          <w:szCs w:val="14"/>
          <w:color w:val="auto"/>
        </w:rPr>
      </w:pPr>
    </w:p>
    <w:p>
      <w:pPr>
        <w:ind w:left="980" w:right="239" w:hanging="429"/>
        <w:spacing w:after="0" w:line="278" w:lineRule="auto"/>
        <w:tabs>
          <w:tab w:leader="none" w:pos="980" w:val="left"/>
        </w:tabs>
        <w:numPr>
          <w:ilvl w:val="0"/>
          <w:numId w:val="3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448" w:name="page449"/>
    <w:bookmarkEnd w:id="448"/>
    <w:p>
      <w:pPr>
        <w:ind w:left="980" w:right="219" w:hanging="429"/>
        <w:spacing w:after="0" w:line="267" w:lineRule="auto"/>
        <w:tabs>
          <w:tab w:leader="none" w:pos="98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61" w:lineRule="exact"/>
        <w:rPr>
          <w:rFonts w:ascii="Times New Roman" w:cs="Times New Roman" w:eastAsia="Times New Roman" w:hAnsi="Times New Roman"/>
          <w:sz w:val="14"/>
          <w:szCs w:val="14"/>
          <w:color w:val="auto"/>
        </w:rPr>
      </w:pPr>
    </w:p>
    <w:p>
      <w:pPr>
        <w:ind w:left="980" w:right="339" w:hanging="429"/>
        <w:spacing w:after="0" w:line="261" w:lineRule="auto"/>
        <w:tabs>
          <w:tab w:leader="none" w:pos="98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67" w:lineRule="exact"/>
        <w:rPr>
          <w:rFonts w:ascii="Times New Roman" w:cs="Times New Roman" w:eastAsia="Times New Roman" w:hAnsi="Times New Roman"/>
          <w:sz w:val="14"/>
          <w:szCs w:val="14"/>
          <w:color w:val="auto"/>
        </w:rPr>
      </w:pPr>
    </w:p>
    <w:p>
      <w:pPr>
        <w:ind w:left="980" w:right="279" w:hanging="429"/>
        <w:spacing w:after="0" w:line="258" w:lineRule="auto"/>
        <w:tabs>
          <w:tab w:leader="none" w:pos="98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“Incentive-Based Compensation” means any compensation provided, directly or indirectly, by the Company or any of its subsidiaries that is granted, earned or vested based, in whole or in part, upon the attainment of a Financial Reporting Measure. For avoidance of doubt, Incentive-Based Compensation is “received” for purposes of this Policy in the fiscal period during which the Financial Reporting Measure specified in the Incentive-Based Compensation award is attained, even if the payment or grant of such Incentive-Based Compensation occurs after the end of that period.</w:t>
      </w:r>
    </w:p>
    <w:p>
      <w:pPr>
        <w:spacing w:after="0" w:line="70" w:lineRule="exact"/>
        <w:rPr>
          <w:rFonts w:ascii="Times New Roman" w:cs="Times New Roman" w:eastAsia="Times New Roman" w:hAnsi="Times New Roman"/>
          <w:sz w:val="14"/>
          <w:szCs w:val="14"/>
          <w:color w:val="auto"/>
        </w:rPr>
      </w:pPr>
    </w:p>
    <w:p>
      <w:pPr>
        <w:jc w:val="both"/>
        <w:ind w:left="980" w:right="259" w:hanging="429"/>
        <w:spacing w:after="0" w:line="267" w:lineRule="auto"/>
        <w:tabs>
          <w:tab w:leader="none" w:pos="98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249" w:lineRule="exact"/>
        <w:rPr>
          <w:sz w:val="20"/>
          <w:szCs w:val="20"/>
          <w:color w:val="auto"/>
        </w:rPr>
      </w:pPr>
    </w:p>
    <w:p>
      <w:pPr>
        <w:ind w:left="560" w:hanging="345"/>
        <w:spacing w:after="0"/>
        <w:tabs>
          <w:tab w:leader="none" w:pos="560" w:val="left"/>
        </w:tabs>
        <w:numPr>
          <w:ilvl w:val="0"/>
          <w:numId w:val="3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Exception to Compensation Recovery Requirement</w:t>
      </w:r>
    </w:p>
    <w:p>
      <w:pPr>
        <w:spacing w:after="0" w:line="93" w:lineRule="exact"/>
        <w:rPr>
          <w:sz w:val="20"/>
          <w:szCs w:val="20"/>
          <w:color w:val="auto"/>
        </w:rPr>
      </w:pPr>
    </w:p>
    <w:p>
      <w:pPr>
        <w:ind w:left="220" w:right="259"/>
        <w:spacing w:after="0" w:line="258" w:lineRule="auto"/>
        <w:rPr>
          <w:sz w:val="20"/>
          <w:szCs w:val="20"/>
          <w:color w:val="auto"/>
        </w:rPr>
      </w:pPr>
      <w:r>
        <w:rPr>
          <w:rFonts w:ascii="Times New Roman" w:cs="Times New Roman" w:eastAsia="Times New Roman" w:hAnsi="Times New Roman"/>
          <w:sz w:val="14"/>
          <w:szCs w:val="14"/>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449" w:name="page450"/>
    <w:bookmarkEnd w:id="449"/>
    <w:p>
      <w:pPr>
        <w:ind w:left="560" w:hanging="345"/>
        <w:spacing w:after="0"/>
        <w:tabs>
          <w:tab w:leader="none" w:pos="56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Tax Considerations</w:t>
      </w:r>
    </w:p>
    <w:p>
      <w:pPr>
        <w:spacing w:after="0" w:line="93" w:lineRule="exact"/>
        <w:rPr>
          <w:sz w:val="20"/>
          <w:szCs w:val="20"/>
          <w:color w:val="auto"/>
        </w:rPr>
      </w:pPr>
    </w:p>
    <w:p>
      <w:pPr>
        <w:ind w:left="220" w:right="239"/>
        <w:spacing w:after="0" w:line="267" w:lineRule="auto"/>
        <w:rPr>
          <w:sz w:val="20"/>
          <w:szCs w:val="20"/>
          <w:color w:val="auto"/>
        </w:rPr>
      </w:pPr>
      <w:r>
        <w:rPr>
          <w:rFonts w:ascii="Times New Roman" w:cs="Times New Roman" w:eastAsia="Times New Roman" w:hAnsi="Times New Roman"/>
          <w:sz w:val="14"/>
          <w:szCs w:val="14"/>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249" w:lineRule="exact"/>
        <w:rPr>
          <w:sz w:val="20"/>
          <w:szCs w:val="20"/>
          <w:color w:val="auto"/>
        </w:rPr>
      </w:pPr>
    </w:p>
    <w:p>
      <w:pPr>
        <w:ind w:left="560" w:hanging="345"/>
        <w:spacing w:after="0"/>
        <w:tabs>
          <w:tab w:leader="none" w:pos="560" w:val="left"/>
        </w:tabs>
        <w:numPr>
          <w:ilvl w:val="0"/>
          <w:numId w:val="3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Method of Compensation Recovery</w:t>
      </w:r>
    </w:p>
    <w:p>
      <w:pPr>
        <w:spacing w:after="0" w:line="93" w:lineRule="exact"/>
        <w:rPr>
          <w:sz w:val="20"/>
          <w:szCs w:val="20"/>
          <w:color w:val="auto"/>
        </w:rPr>
      </w:pPr>
    </w:p>
    <w:p>
      <w:pPr>
        <w:ind w:left="220" w:right="459"/>
        <w:spacing w:after="0" w:line="283" w:lineRule="auto"/>
        <w:rPr>
          <w:sz w:val="20"/>
          <w:szCs w:val="20"/>
          <w:color w:val="auto"/>
        </w:rPr>
      </w:pPr>
      <w:r>
        <w:rPr>
          <w:rFonts w:ascii="Times New Roman" w:cs="Times New Roman" w:eastAsia="Times New Roman" w:hAnsi="Times New Roman"/>
          <w:sz w:val="14"/>
          <w:szCs w:val="14"/>
          <w:color w:val="auto"/>
        </w:rPr>
        <w:t>The Committee shall determine, in its sole discretion, the method for recovering Erroneously Awarded Compensation hereunder, which may include, without limitation, any one or more of the following:</w:t>
      </w:r>
    </w:p>
    <w:p>
      <w:pPr>
        <w:spacing w:after="0" w:line="51" w:lineRule="exact"/>
        <w:rPr>
          <w:sz w:val="20"/>
          <w:szCs w:val="20"/>
          <w:color w:val="auto"/>
        </w:rPr>
      </w:pPr>
    </w:p>
    <w:p>
      <w:pPr>
        <w:ind w:left="980" w:hanging="429"/>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reimbursement of cash Incentive-Based Compensation previously paid;</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recovery of any gain realized on the vesting, exercise, settlement, sale, transfer or other disposition of any equity-based awards;</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cancelling or rescinding some or all outstanding vested or unvested equity-based awards;</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adjusting or withholding from unpaid compensation or other set-off;</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cancelling or offsetting against planned future grants of equity-based awards; and/or</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 or contract.</w:t>
      </w:r>
    </w:p>
    <w:p>
      <w:pPr>
        <w:spacing w:after="0" w:line="175" w:lineRule="exact"/>
        <w:rPr>
          <w:sz w:val="20"/>
          <w:szCs w:val="20"/>
          <w:color w:val="auto"/>
        </w:rPr>
      </w:pPr>
    </w:p>
    <w:p>
      <w:pPr>
        <w:ind w:left="220" w:right="1099"/>
        <w:spacing w:after="0" w:line="283" w:lineRule="auto"/>
        <w:rPr>
          <w:sz w:val="20"/>
          <w:szCs w:val="20"/>
          <w:color w:val="auto"/>
        </w:rPr>
      </w:pPr>
      <w:r>
        <w:rPr>
          <w:rFonts w:ascii="Times New Roman" w:cs="Times New Roman" w:eastAsia="Times New Roman" w:hAnsi="Times New Roman"/>
          <w:sz w:val="14"/>
          <w:szCs w:val="14"/>
          <w:color w:val="auto"/>
        </w:rPr>
        <w:t>The Committee need not utilize the same method of recovery for all Covered Persons or with respect to all types of Erroneously Awarded Compensation.</w:t>
      </w:r>
    </w:p>
    <w:p>
      <w:pPr>
        <w:spacing w:after="0" w:line="125" w:lineRule="exact"/>
        <w:rPr>
          <w:sz w:val="20"/>
          <w:szCs w:val="20"/>
          <w:color w:val="auto"/>
        </w:rPr>
      </w:pPr>
    </w:p>
    <w:p>
      <w:pPr>
        <w:ind w:left="220" w:right="399"/>
        <w:spacing w:after="0" w:line="267" w:lineRule="auto"/>
        <w:rPr>
          <w:sz w:val="20"/>
          <w:szCs w:val="20"/>
          <w:color w:val="auto"/>
        </w:rPr>
      </w:pPr>
      <w:r>
        <w:rPr>
          <w:rFonts w:ascii="Times New Roman" w:cs="Times New Roman" w:eastAsia="Times New Roman" w:hAnsi="Times New Roman"/>
          <w:sz w:val="14"/>
          <w:szCs w:val="14"/>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36" w:lineRule="exact"/>
        <w:rPr>
          <w:sz w:val="20"/>
          <w:szCs w:val="20"/>
          <w:color w:val="auto"/>
        </w:rPr>
      </w:pPr>
    </w:p>
    <w:p>
      <w:pPr>
        <w:jc w:val="both"/>
        <w:ind w:left="220" w:right="739"/>
        <w:spacing w:after="0" w:line="267" w:lineRule="auto"/>
        <w:rPr>
          <w:sz w:val="20"/>
          <w:szCs w:val="20"/>
          <w:color w:val="auto"/>
        </w:rPr>
      </w:pPr>
      <w:r>
        <w:rPr>
          <w:rFonts w:ascii="Times New Roman" w:cs="Times New Roman" w:eastAsia="Times New Roman" w:hAnsi="Times New Roman"/>
          <w:sz w:val="14"/>
          <w:szCs w:val="14"/>
          <w:color w:val="auto"/>
        </w:rPr>
        <w:t>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w:t>
      </w:r>
    </w:p>
    <w:p>
      <w:pPr>
        <w:spacing w:after="0" w:line="249" w:lineRule="exact"/>
        <w:rPr>
          <w:sz w:val="20"/>
          <w:szCs w:val="20"/>
          <w:color w:val="auto"/>
        </w:rPr>
      </w:pPr>
    </w:p>
    <w:p>
      <w:pPr>
        <w:ind w:left="560" w:hanging="345"/>
        <w:spacing w:after="0"/>
        <w:tabs>
          <w:tab w:leader="none" w:pos="560" w:val="left"/>
        </w:tabs>
        <w:numPr>
          <w:ilvl w:val="0"/>
          <w:numId w:val="3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Policy Interpretation</w:t>
      </w:r>
    </w:p>
    <w:p>
      <w:pPr>
        <w:spacing w:after="0" w:line="93" w:lineRule="exact"/>
        <w:rPr>
          <w:sz w:val="20"/>
          <w:szCs w:val="20"/>
          <w:color w:val="auto"/>
        </w:rPr>
      </w:pPr>
    </w:p>
    <w:p>
      <w:pPr>
        <w:ind w:left="220" w:right="239"/>
        <w:spacing w:after="0" w:line="258" w:lineRule="auto"/>
        <w:rPr>
          <w:sz w:val="20"/>
          <w:szCs w:val="20"/>
          <w:color w:val="auto"/>
        </w:rPr>
      </w:pPr>
      <w:r>
        <w:rPr>
          <w:rFonts w:ascii="Times New Roman" w:cs="Times New Roman" w:eastAsia="Times New Roman" w:hAnsi="Times New Roman"/>
          <w:sz w:val="14"/>
          <w:szCs w:val="14"/>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450" w:name="page451"/>
    <w:bookmarkEnd w:id="450"/>
    <w:p>
      <w:pPr>
        <w:ind w:left="560" w:hanging="345"/>
        <w:spacing w:after="0"/>
        <w:tabs>
          <w:tab w:leader="none" w:pos="560" w:val="left"/>
        </w:tabs>
        <w:numPr>
          <w:ilvl w:val="0"/>
          <w:numId w:val="3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Policy Administration</w:t>
      </w:r>
    </w:p>
    <w:p>
      <w:pPr>
        <w:spacing w:after="0" w:line="93" w:lineRule="exact"/>
        <w:rPr>
          <w:sz w:val="20"/>
          <w:szCs w:val="20"/>
          <w:color w:val="auto"/>
        </w:rPr>
      </w:pPr>
    </w:p>
    <w:p>
      <w:pPr>
        <w:ind w:left="220" w:right="239"/>
        <w:spacing w:after="0" w:line="255" w:lineRule="auto"/>
        <w:rPr>
          <w:sz w:val="20"/>
          <w:szCs w:val="20"/>
          <w:color w:val="auto"/>
        </w:rPr>
      </w:pPr>
      <w:r>
        <w:rPr>
          <w:rFonts w:ascii="Times New Roman" w:cs="Times New Roman" w:eastAsia="Times New Roman" w:hAnsi="Times New Roman"/>
          <w:sz w:val="14"/>
          <w:szCs w:val="14"/>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259" w:lineRule="exact"/>
        <w:rPr>
          <w:sz w:val="20"/>
          <w:szCs w:val="20"/>
          <w:color w:val="auto"/>
        </w:rPr>
      </w:pPr>
    </w:p>
    <w:p>
      <w:pPr>
        <w:ind w:left="560" w:hanging="345"/>
        <w:spacing w:after="0"/>
        <w:tabs>
          <w:tab w:leader="none" w:pos="560" w:val="left"/>
        </w:tabs>
        <w:numPr>
          <w:ilvl w:val="0"/>
          <w:numId w:val="3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Compensation Recovery Repayments not Subject to Indemnification</w:t>
      </w:r>
    </w:p>
    <w:p>
      <w:pPr>
        <w:spacing w:after="0" w:line="93" w:lineRule="exact"/>
        <w:rPr>
          <w:sz w:val="20"/>
          <w:szCs w:val="20"/>
          <w:color w:val="auto"/>
        </w:rPr>
      </w:pPr>
    </w:p>
    <w:p>
      <w:pPr>
        <w:ind w:left="220" w:right="419"/>
        <w:spacing w:after="0" w:line="267" w:lineRule="auto"/>
        <w:rPr>
          <w:sz w:val="20"/>
          <w:szCs w:val="20"/>
          <w:color w:val="auto"/>
        </w:rPr>
      </w:pPr>
      <w:r>
        <w:rPr>
          <w:rFonts w:ascii="Times New Roman" w:cs="Times New Roman" w:eastAsia="Times New Roman" w:hAnsi="Times New Roman"/>
          <w:sz w:val="14"/>
          <w:szCs w:val="14"/>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249" w:lineRule="exact"/>
        <w:rPr>
          <w:sz w:val="20"/>
          <w:szCs w:val="20"/>
          <w:color w:val="auto"/>
        </w:rPr>
      </w:pPr>
    </w:p>
    <w:p>
      <w:pPr>
        <w:ind w:left="560" w:hanging="345"/>
        <w:spacing w:after="0"/>
        <w:tabs>
          <w:tab w:leader="none" w:pos="560" w:val="left"/>
        </w:tabs>
        <w:numPr>
          <w:ilvl w:val="0"/>
          <w:numId w:val="3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 Impairment of Other Remedies</w:t>
      </w:r>
    </w:p>
    <w:p>
      <w:pPr>
        <w:spacing w:after="0" w:line="93" w:lineRule="exact"/>
        <w:rPr>
          <w:sz w:val="20"/>
          <w:szCs w:val="20"/>
          <w:color w:val="auto"/>
        </w:rPr>
      </w:pPr>
    </w:p>
    <w:p>
      <w:pPr>
        <w:ind w:left="220" w:right="339"/>
        <w:spacing w:after="0" w:line="276" w:lineRule="auto"/>
        <w:rPr>
          <w:sz w:val="20"/>
          <w:szCs w:val="20"/>
          <w:color w:val="auto"/>
        </w:rPr>
      </w:pPr>
      <w:r>
        <w:rPr>
          <w:rFonts w:ascii="Times New Roman" w:cs="Times New Roman" w:eastAsia="Times New Roman" w:hAnsi="Times New Roman"/>
          <w:sz w:val="13"/>
          <w:szCs w:val="13"/>
          <w:color w:val="auto"/>
        </w:rPr>
        <w:t>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451" w:name="page452"/>
    <w:bookmarkEnd w:id="451"/>
    <w:p>
      <w:pPr>
        <w:ind w:left="560" w:hanging="345"/>
        <w:spacing w:after="0"/>
        <w:tabs>
          <w:tab w:leader="none" w:pos="560" w:val="left"/>
        </w:tabs>
        <w:numPr>
          <w:ilvl w:val="0"/>
          <w:numId w:val="3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Recovery Requirement Shall not Constitute “Good Reason” Under Employment or Other Compensation Agreements</w:t>
      </w:r>
    </w:p>
    <w:p>
      <w:pPr>
        <w:spacing w:after="0" w:line="93" w:lineRule="exact"/>
        <w:rPr>
          <w:sz w:val="20"/>
          <w:szCs w:val="20"/>
          <w:color w:val="auto"/>
        </w:rPr>
      </w:pPr>
    </w:p>
    <w:p>
      <w:pPr>
        <w:ind w:left="220" w:right="339"/>
        <w:spacing w:after="0" w:line="261" w:lineRule="auto"/>
        <w:rPr>
          <w:sz w:val="20"/>
          <w:szCs w:val="20"/>
          <w:color w:val="auto"/>
        </w:rPr>
      </w:pPr>
      <w:r>
        <w:rPr>
          <w:rFonts w:ascii="Times New Roman" w:cs="Times New Roman" w:eastAsia="Times New Roman" w:hAnsi="Times New Roman"/>
          <w:sz w:val="14"/>
          <w:szCs w:val="14"/>
          <w:color w:val="auto"/>
        </w:rPr>
        <w:t>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w:t>
      </w:r>
    </w:p>
    <w:p>
      <w:pPr>
        <w:spacing w:after="0" w:line="254" w:lineRule="exact"/>
        <w:rPr>
          <w:sz w:val="20"/>
          <w:szCs w:val="20"/>
          <w:color w:val="auto"/>
        </w:rPr>
      </w:pPr>
    </w:p>
    <w:p>
      <w:pPr>
        <w:ind w:left="560" w:hanging="345"/>
        <w:spacing w:after="0"/>
        <w:tabs>
          <w:tab w:leader="none" w:pos="560" w:val="left"/>
        </w:tabs>
        <w:numPr>
          <w:ilvl w:val="0"/>
          <w:numId w:val="3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 Termination</w:t>
      </w:r>
    </w:p>
    <w:p>
      <w:pPr>
        <w:spacing w:after="0" w:line="93" w:lineRule="exact"/>
        <w:rPr>
          <w:sz w:val="20"/>
          <w:szCs w:val="20"/>
          <w:color w:val="auto"/>
        </w:rPr>
      </w:pPr>
    </w:p>
    <w:p>
      <w:pPr>
        <w:ind w:left="220" w:right="319"/>
        <w:spacing w:after="0" w:line="258" w:lineRule="auto"/>
        <w:rPr>
          <w:sz w:val="20"/>
          <w:szCs w:val="20"/>
          <w:color w:val="auto"/>
        </w:rPr>
      </w:pPr>
      <w:r>
        <w:rPr>
          <w:rFonts w:ascii="Times New Roman" w:cs="Times New Roman" w:eastAsia="Times New Roman" w:hAnsi="Times New Roman"/>
          <w:sz w:val="14"/>
          <w:szCs w:val="14"/>
          <w:color w:val="auto"/>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258" w:lineRule="exact"/>
        <w:rPr>
          <w:sz w:val="20"/>
          <w:szCs w:val="20"/>
          <w:color w:val="auto"/>
        </w:rPr>
      </w:pPr>
    </w:p>
    <w:p>
      <w:pPr>
        <w:ind w:left="560" w:hanging="345"/>
        <w:spacing w:after="0"/>
        <w:tabs>
          <w:tab w:leader="none" w:pos="560" w:val="left"/>
        </w:tabs>
        <w:numPr>
          <w:ilvl w:val="0"/>
          <w:numId w:val="3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Successors</w:t>
      </w:r>
    </w:p>
    <w:p>
      <w:pPr>
        <w:spacing w:after="0" w:line="93" w:lineRule="exact"/>
        <w:rPr>
          <w:sz w:val="20"/>
          <w:szCs w:val="20"/>
          <w:color w:val="auto"/>
        </w:rPr>
      </w:pPr>
    </w:p>
    <w:p>
      <w:pPr>
        <w:ind w:left="220" w:right="259"/>
        <w:spacing w:after="0" w:line="283" w:lineRule="auto"/>
        <w:rPr>
          <w:sz w:val="20"/>
          <w:szCs w:val="20"/>
          <w:color w:val="auto"/>
        </w:rPr>
      </w:pPr>
      <w:r>
        <w:rPr>
          <w:rFonts w:ascii="Times New Roman" w:cs="Times New Roman" w:eastAsia="Times New Roman" w:hAnsi="Times New Roman"/>
          <w:sz w:val="14"/>
          <w:szCs w:val="14"/>
          <w:color w:val="auto"/>
        </w:rPr>
        <w:t>This Policy shall be binding and enforceable against all Covered Executives and their successors, beneficiaries, heirs, executors, administrators, or other legal representatives.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452" w:name="page453"/>
    <w:bookmarkEnd w:id="452"/>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ACKNOWLEDGMENT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(to be signed by all Covered Persons)</w:t>
      </w:r>
    </w:p>
    <w:p>
      <w:pPr>
        <w:spacing w:after="0" w:line="177" w:lineRule="exact"/>
        <w:rPr>
          <w:sz w:val="20"/>
          <w:szCs w:val="20"/>
          <w:color w:val="auto"/>
        </w:rPr>
      </w:pPr>
    </w:p>
    <w:p>
      <w:pPr>
        <w:ind w:left="220" w:right="239"/>
        <w:spacing w:after="0" w:line="257" w:lineRule="auto"/>
        <w:rPr>
          <w:sz w:val="20"/>
          <w:szCs w:val="20"/>
          <w:color w:val="auto"/>
        </w:rPr>
      </w:pPr>
      <w:r>
        <w:rPr>
          <w:rFonts w:ascii="Times New Roman" w:cs="Times New Roman" w:eastAsia="Times New Roman" w:hAnsi="Times New Roman"/>
          <w:sz w:val="14"/>
          <w:szCs w:val="14"/>
          <w:color w:val="auto"/>
        </w:rPr>
        <w:t>I, the undersigned, agree and acknowledge that I am fully bound by, and subject to, all of the terms and conditions of the Seaport Therapeutics, Inc. Compensation Recovery Policy (as may be amended, restated, supplemented or otherwise modified from time to time, the “Policy”)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120015</wp:posOffset>
            </wp:positionV>
            <wp:extent cx="217614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53" w:name="page454"/>
    <w:bookmarkEnd w:id="45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 Tide Street, Suite 400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Boston, Massachusetts 02210</w:t>
      </w:r>
    </w:p>
    <w:p>
      <w:pPr>
        <w:spacing w:after="0" w:line="16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April 8, 2024</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Daphne Zohar</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Daphne:</w:t>
      </w:r>
    </w:p>
    <w:p>
      <w:pPr>
        <w:spacing w:after="0" w:line="91"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On behalf of Seaport Therapeutics, Inc. (“</w:t>
      </w:r>
      <w:r>
        <w:rPr>
          <w:rFonts w:ascii="Times New Roman" w:cs="Times New Roman" w:eastAsia="Times New Roman" w:hAnsi="Times New Roman"/>
          <w:sz w:val="14"/>
          <w:szCs w:val="14"/>
          <w:u w:val="single" w:color="auto"/>
          <w:color w:val="auto"/>
        </w:rPr>
        <w:t>Seaport</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 am pleased to set forth the terms of your employment with the Company. Subject to your acceptance of this offer, this Agreement and your employment with the Company will commence on May 1, 2024, or such other date as the Company shall determine (the “</w:t>
      </w:r>
      <w:r>
        <w:rPr>
          <w:rFonts w:ascii="Times New Roman" w:cs="Times New Roman" w:eastAsia="Times New Roman" w:hAnsi="Times New Roman"/>
          <w:sz w:val="14"/>
          <w:szCs w:val="14"/>
          <w:u w:val="single" w:color="auto"/>
          <w:color w:val="auto"/>
        </w:rPr>
        <w:t>Start Date</w:t>
      </w:r>
      <w:r>
        <w:rPr>
          <w:rFonts w:ascii="Times New Roman" w:cs="Times New Roman" w:eastAsia="Times New Roman" w:hAnsi="Times New Roman"/>
          <w:sz w:val="14"/>
          <w:szCs w:val="14"/>
          <w:color w:val="auto"/>
        </w:rPr>
        <w:t>”). It is understood that during the period commencing on the date hereof and continuing until the Start Date, you will provide services to Seaport as an employee of PureTech Management, Inc. (“</w:t>
      </w:r>
      <w:r>
        <w:rPr>
          <w:rFonts w:ascii="Times New Roman" w:cs="Times New Roman" w:eastAsia="Times New Roman" w:hAnsi="Times New Roman"/>
          <w:sz w:val="14"/>
          <w:szCs w:val="14"/>
          <w:u w:val="single" w:color="auto"/>
          <w:color w:val="auto"/>
        </w:rPr>
        <w:t>PureTech</w:t>
      </w:r>
      <w:r>
        <w:rPr>
          <w:rFonts w:ascii="Times New Roman" w:cs="Times New Roman" w:eastAsia="Times New Roman" w:hAnsi="Times New Roman"/>
          <w:sz w:val="14"/>
          <w:szCs w:val="14"/>
          <w:color w:val="auto"/>
        </w:rPr>
        <w:t>”) under the transition services agreement to which the Company is a party with PureTech, and this offer is contingent on your remaining employed by PureTech on the date immediately preceding the Start Date.</w:t>
      </w:r>
    </w:p>
    <w:p>
      <w:pPr>
        <w:spacing w:after="0" w:line="143" w:lineRule="exact"/>
        <w:rPr>
          <w:sz w:val="20"/>
          <w:szCs w:val="20"/>
          <w:color w:val="auto"/>
        </w:rPr>
      </w:pPr>
    </w:p>
    <w:p>
      <w:pPr>
        <w:ind w:left="220" w:right="259" w:firstLine="338"/>
        <w:spacing w:after="0" w:line="272" w:lineRule="auto"/>
        <w:tabs>
          <w:tab w:leader="none" w:pos="703" w:val="left"/>
        </w:tabs>
        <w:numPr>
          <w:ilvl w:val="1"/>
          <w:numId w:val="3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Position</w:t>
      </w:r>
      <w:r>
        <w:rPr>
          <w:rFonts w:ascii="Times New Roman" w:cs="Times New Roman" w:eastAsia="Times New Roman" w:hAnsi="Times New Roman"/>
          <w:sz w:val="13"/>
          <w:szCs w:val="13"/>
          <w:color w:val="auto"/>
        </w:rPr>
        <w:t>. During your employment with the Company, you will serve as the Chief Executive Officer of Seaport. You will be employed on an at-will basis, which means that you may resign and the Company may terminate your employment at any time for any reason or for no reason. You will commence employment with the Company on the Start Date. You shall perform those duties generally required of persons in the position of Chief Executive Officer as well as such other duties, not inconsistent with this Agreement, as the Board of Directors of Seaport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may from time to time reasonably direct. You shall also serve as a member of the Board for no additional compensation. You agree to devote your entire business time, attention, skills and best efforts to the performance of your duties hereunder following the Start Date and agree that you will not, following the Start Date and for the duration of your employment hereunder, without the approval of the Board, be employed by or otherwise engaged in any other business activity requiring any of your business time; provided that, notwithstanding the foregoing (i) if you notify the Board of your intention to serve on the board of directors of a for profit company that does not compete with Seaport or otherwise interfere with your duties hereunder or breach the terms and conditions of any agreement between you and Seaport, the Board will not unreasonably withhold or delay its approval, (ii) you may provide services to charitable, community or nonprofit organizations without further approval of the Board and (iii) you may perform the obligations and responsibilities in connection with the activities set forth in Schedule A hereto without further approval of the Board; provided further that in all cases under clauses (i),</w:t>
      </w:r>
    </w:p>
    <w:p>
      <w:pPr>
        <w:ind w:left="220" w:right="379" w:hanging="5"/>
        <w:spacing w:after="0" w:line="256" w:lineRule="auto"/>
        <w:tabs>
          <w:tab w:leader="none" w:pos="426"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(iii) you do not compete with Seaport or otherwise interfere with your duties hereunder or breach the terms of any agreement between you and Seaport. Your primary place of work shall be the Company’s headquarters in Boston, Massachusetts, but you may be required to travel as may be reasonably required in connection with the performance of your duties.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O</w:t>
      </w:r>
      <w:r>
        <w:rPr>
          <w:rFonts w:ascii="Times New Roman" w:cs="Times New Roman" w:eastAsia="Times New Roman" w:hAnsi="Times New Roman"/>
          <w:sz w:val="11"/>
          <w:szCs w:val="11"/>
          <w:color w:val="auto"/>
        </w:rPr>
        <w:t>FFER</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ETTER</w:t>
      </w:r>
    </w:p>
    <w:p>
      <w:pPr>
        <w:sectPr>
          <w:pgSz w:w="11900" w:h="16838" w:orient="portrait"/>
          <w:cols w:equalWidth="0" w:num="1">
            <w:col w:w="9019"/>
          </w:cols>
          <w:pgMar w:left="1440" w:top="123" w:right="1440" w:bottom="1440" w:gutter="0" w:footer="0" w:header="0"/>
        </w:sectPr>
      </w:pPr>
    </w:p>
    <w:bookmarkStart w:id="454" w:name="page455"/>
    <w:bookmarkEnd w:id="454"/>
    <w:p>
      <w:pPr>
        <w:ind w:left="700" w:hanging="142"/>
        <w:spacing w:after="0"/>
        <w:tabs>
          <w:tab w:leader="none" w:pos="700"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Compensation</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220" w:right="239" w:firstLine="767"/>
        <w:spacing w:after="0" w:line="261" w:lineRule="auto"/>
        <w:tabs>
          <w:tab w:leader="none" w:pos="1163"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Salary</w:t>
      </w:r>
      <w:r>
        <w:rPr>
          <w:rFonts w:ascii="Times New Roman" w:cs="Times New Roman" w:eastAsia="Times New Roman" w:hAnsi="Times New Roman"/>
          <w:sz w:val="14"/>
          <w:szCs w:val="14"/>
          <w:color w:val="auto"/>
        </w:rPr>
        <w:t>. During your employment, the Company will pay you a base salary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at the rate of $30,954.98 per regular semi-monthly pay period (annualized rate of $742,919.50 per year), payable in accordance with the regular payroll practices of the Company and subject to applicable deductions and withholdings. This salary will be reviewed annually for merit increases as determined by the Board in its sole and absolute discretion.</w:t>
      </w:r>
    </w:p>
    <w:p>
      <w:pPr>
        <w:spacing w:after="0" w:line="140" w:lineRule="exact"/>
        <w:rPr>
          <w:rFonts w:ascii="Times New Roman" w:cs="Times New Roman" w:eastAsia="Times New Roman" w:hAnsi="Times New Roman"/>
          <w:sz w:val="14"/>
          <w:szCs w:val="14"/>
          <w:color w:val="auto"/>
        </w:rPr>
      </w:pPr>
    </w:p>
    <w:p>
      <w:pPr>
        <w:ind w:left="220" w:right="239" w:firstLine="767"/>
        <w:spacing w:after="0" w:line="256" w:lineRule="auto"/>
        <w:tabs>
          <w:tab w:leader="none" w:pos="1155"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Bonus</w:t>
      </w:r>
      <w:r>
        <w:rPr>
          <w:rFonts w:ascii="Times New Roman" w:cs="Times New Roman" w:eastAsia="Times New Roman" w:hAnsi="Times New Roman"/>
          <w:sz w:val="14"/>
          <w:szCs w:val="14"/>
          <w:color w:val="auto"/>
        </w:rPr>
        <w:t>. Beginning with the 2024 calendar year and for each calendar year thereafter during which you are employed by the Company, you will be eligible to receive, in the sole discretion of the Board, an annual performance bonus based on your performance and Seaport’s performance against annually established goals and objectives (as determined by the Board or a committee thereof), with the bonus targeted at 50% of your Base Salary for achievement of “target” goals (your “</w:t>
      </w:r>
      <w:r>
        <w:rPr>
          <w:rFonts w:ascii="Times New Roman" w:cs="Times New Roman" w:eastAsia="Times New Roman" w:hAnsi="Times New Roman"/>
          <w:sz w:val="14"/>
          <w:szCs w:val="14"/>
          <w:u w:val="single" w:color="auto"/>
          <w:color w:val="auto"/>
        </w:rPr>
        <w:t>Target Bonus</w:t>
      </w:r>
      <w:r>
        <w:rPr>
          <w:rFonts w:ascii="Times New Roman" w:cs="Times New Roman" w:eastAsia="Times New Roman" w:hAnsi="Times New Roman"/>
          <w:sz w:val="14"/>
          <w:szCs w:val="14"/>
          <w:color w:val="auto"/>
        </w:rPr>
        <w:t>”) and objectives and up to 100% of your Base Salary for achievement of</w:t>
      </w:r>
    </w:p>
    <w:p>
      <w:pPr>
        <w:spacing w:after="0" w:line="1" w:lineRule="exact"/>
        <w:rPr>
          <w:sz w:val="20"/>
          <w:szCs w:val="20"/>
          <w:color w:val="auto"/>
        </w:rPr>
      </w:pPr>
    </w:p>
    <w:p>
      <w:pPr>
        <w:ind w:left="220" w:right="319"/>
        <w:spacing w:after="0" w:line="252" w:lineRule="auto"/>
        <w:rPr>
          <w:sz w:val="20"/>
          <w:szCs w:val="20"/>
          <w:color w:val="auto"/>
        </w:rPr>
      </w:pPr>
      <w:r>
        <w:rPr>
          <w:rFonts w:ascii="Times New Roman" w:cs="Times New Roman" w:eastAsia="Times New Roman" w:hAnsi="Times New Roman"/>
          <w:sz w:val="14"/>
          <w:szCs w:val="14"/>
          <w:color w:val="auto"/>
        </w:rPr>
        <w:t>“stretch” goals and objectives.  In recognition of services you rendered for the benefit of the Company prior to the Start Date the bonus for 2024 will not be prorated and will be calculated as though you began providing services as of January 1, 2024. Except as set forth in this Section 2B or Section 6, no payment will be made under any annual cash bonus scheme if, on or before the payment date, (i) you have given Seaport notice of your intention to terminate your employment with Seaport other than for Good Reason (as defined below) or (ii) you are no longer employed by the Company. Any such bonus is entirely discretionary in nature. Any performance bonus with respect to a calendar year shall be paid between January 1 and March 15 of the immediately following calendar year.</w:t>
      </w:r>
    </w:p>
    <w:p>
      <w:pPr>
        <w:spacing w:after="0" w:line="149" w:lineRule="exact"/>
        <w:rPr>
          <w:sz w:val="20"/>
          <w:szCs w:val="20"/>
          <w:color w:val="auto"/>
        </w:rPr>
      </w:pPr>
    </w:p>
    <w:p>
      <w:pPr>
        <w:ind w:left="1160" w:hanging="173"/>
        <w:spacing w:after="0"/>
        <w:tabs>
          <w:tab w:leader="none" w:pos="1160"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Equity</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1740" w:right="239" w:hanging="411"/>
        <w:spacing w:after="0" w:line="253" w:lineRule="auto"/>
        <w:tabs>
          <w:tab w:leader="none" w:pos="1740"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Seaport shall grant to you under the Company’s 2024 Equity Incentive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at your request, either a stock option or an award of restricted stock (with such form of equity grant to be discussed with the Company in good faith prior to grant) with respect to a number of shares of common stock of Seaport which shall initially be equal to 7.5% of the Fully Diluted capitalization of Seaport (the “</w:t>
      </w:r>
      <w:r>
        <w:rPr>
          <w:rFonts w:ascii="Times New Roman" w:cs="Times New Roman" w:eastAsia="Times New Roman" w:hAnsi="Times New Roman"/>
          <w:sz w:val="14"/>
          <w:szCs w:val="14"/>
          <w:u w:val="single" w:color="auto"/>
          <w:color w:val="auto"/>
        </w:rPr>
        <w:t>Initial Equity Grants</w:t>
      </w:r>
      <w:r>
        <w:rPr>
          <w:rFonts w:ascii="Times New Roman" w:cs="Times New Roman" w:eastAsia="Times New Roman" w:hAnsi="Times New Roman"/>
          <w:sz w:val="14"/>
          <w:szCs w:val="14"/>
          <w:color w:val="auto"/>
        </w:rPr>
        <w:t>”). The Initial Equity Grant (in whatever form of award) shall vest as to 1/18th of the shares on April 16, 2024 and as to the balance of the shares in equal monthly installments over the thirty-four (34) month period commencing April 16, 2024; provided that you continue to have a service relationship with the Company on such dates, subject to the Acceleration Terms (as defined below); and provided further that (i) 50% of the then unvested Initial Equity Grant shall accelerate and become fully vested upon the first closing of a Series B Preferred Stock financing where the Company receives gross proceeds of at least $98,000,000; and (ii) if accelerated vesting has already occurred pursuant to subsection (i) of this paragraph, then 50% of the remaining unvested Initial Equity Grant shall accelerate and become fully vested upon the closing of the initial public offering of the Company’s Common Stock (the “IPO”), provided further that in the case of (i) and (ii), you must continue to serve as the Chief Executive Officer of Seaport at the time the event triggering such vesting acceleration occurs, and following such vesting acceleration events, the remaining unvested Initial Equity Grant shall continue to vest in</w:t>
      </w:r>
    </w:p>
    <w:p>
      <w:pPr>
        <w:spacing w:after="0" w:line="94"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0" w:right="1440" w:bottom="1440" w:gutter="0" w:footer="0" w:header="0"/>
        </w:sectPr>
      </w:pPr>
    </w:p>
    <w:bookmarkStart w:id="455" w:name="page456"/>
    <w:bookmarkEnd w:id="455"/>
    <w:p>
      <w:pPr>
        <w:ind w:left="174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accordance with the existing vesting schedule (with the number of shares vesting on a vesting date being appropriately adjusted). On a percentage basis, the Company shall ensure, including without limitation through additional grants to you (either in the form of restricted stock or stock options, to be determined by you at the time of grant) as set forth below, that your stock ownership shall not be diluted below 7.5% on a Fully Diluted basis at any time up to and including closing of an IPO excluding any shares issued pursuant to any over-allotment option. Any stock options shall have an exercise price equal to the fair market value of Seaport’s common stock on the date of grant. All equity grants other than the Initial Shares shall be subject to the provisions set forth in the Plan and Seaport’s Form of Restricted Stock Agreement and/or Form of Stock Option Agreement, as applicable, all as approved by the Board (collectively the “</w:t>
      </w:r>
      <w:r>
        <w:rPr>
          <w:rFonts w:ascii="Times New Roman" w:cs="Times New Roman" w:eastAsia="Times New Roman" w:hAnsi="Times New Roman"/>
          <w:sz w:val="14"/>
          <w:szCs w:val="14"/>
          <w:u w:val="single" w:color="auto"/>
          <w:color w:val="auto"/>
        </w:rPr>
        <w:t>Equity Documents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220" w:right="279" w:firstLine="1110"/>
        <w:spacing w:after="0" w:line="254" w:lineRule="auto"/>
        <w:tabs>
          <w:tab w:leader="none" w:pos="1495"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while you continue to be the Chief Executive Officer of Seaport up to and including closing of an IPO, excluding any shares issued pursuant to any over-allotment option, your Fully Diluted share ownership in Seaport is less than the threshold set forth in the preceding paragraph, Seaport will promptly grant to you an additional equity grant (each an “</w:t>
      </w:r>
      <w:r>
        <w:rPr>
          <w:rFonts w:ascii="Times New Roman" w:cs="Times New Roman" w:eastAsia="Times New Roman" w:hAnsi="Times New Roman"/>
          <w:sz w:val="14"/>
          <w:szCs w:val="14"/>
          <w:u w:val="single" w:color="auto"/>
          <w:color w:val="auto"/>
        </w:rPr>
        <w:t>Additional Equity Grant</w:t>
      </w:r>
      <w:r>
        <w:rPr>
          <w:rFonts w:ascii="Times New Roman" w:cs="Times New Roman" w:eastAsia="Times New Roman" w:hAnsi="Times New Roman"/>
          <w:sz w:val="14"/>
          <w:szCs w:val="14"/>
          <w:color w:val="auto"/>
        </w:rPr>
        <w:t>”), with respect to a number of shares of Common Stock under the Plan such that your Fully Diluted share ownership shall be equal to the applicable threshold set forth above, and the Company agrees that it shall not terminate your employment as the Chief Executive Officer in order to avoid the requirement for any Additional Equity Grants hereunder. Each Additional Equity Grant shall vest, including any Acceleration Terms, on the same schedule as (and concurrently with) the Initial Equity Grant, provided that you continue to serve as the Chief Executive Officer of Seaport on each such vesting date, subject to the Acceleration Terms herein. Each Additional Equity Grant shall have a purchase price/exercise price equal to the fair market value of Seaport’s common stock on the date of grant and shall be subject to the provisions set forth in the Equity Documents (subject to any modifications consistent with the terms of this Agreement and mutually acceptable to the Board and you).</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of this Section 2:</w:t>
      </w:r>
    </w:p>
    <w:p>
      <w:pPr>
        <w:spacing w:after="0" w:line="91" w:lineRule="exact"/>
        <w:rPr>
          <w:sz w:val="20"/>
          <w:szCs w:val="20"/>
          <w:color w:val="auto"/>
        </w:rPr>
      </w:pPr>
    </w:p>
    <w:p>
      <w:pPr>
        <w:ind w:left="560" w:right="319" w:firstLine="327"/>
        <w:spacing w:after="0" w:line="261" w:lineRule="auto"/>
        <w:tabs>
          <w:tab w:leader="none" w:pos="1057"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Fully Diluted</w:t>
      </w:r>
      <w:r>
        <w:rPr>
          <w:rFonts w:ascii="Times New Roman" w:cs="Times New Roman" w:eastAsia="Times New Roman" w:hAnsi="Times New Roman"/>
          <w:sz w:val="14"/>
          <w:szCs w:val="14"/>
          <w:color w:val="auto"/>
        </w:rPr>
        <w:t>” share ownership shall mean the total number of shares of common stock of the Seaport counting not only shares that are currently issued or outstanding but also shares that could be claimed through the conversion of convertible preferred stock, convertible debt, or through the exercise of outstanding options and warrants and shall also include for this purpose any authorized but unissued shares under any equity plan of Seaport.</w:t>
      </w:r>
    </w:p>
    <w:p>
      <w:pPr>
        <w:spacing w:after="0" w:line="56" w:lineRule="exact"/>
        <w:rPr>
          <w:rFonts w:ascii="Times New Roman" w:cs="Times New Roman" w:eastAsia="Times New Roman" w:hAnsi="Times New Roman"/>
          <w:sz w:val="14"/>
          <w:szCs w:val="14"/>
          <w:color w:val="auto"/>
        </w:rPr>
      </w:pPr>
    </w:p>
    <w:p>
      <w:pPr>
        <w:ind w:left="560" w:right="279" w:firstLine="327"/>
        <w:spacing w:after="0" w:line="261" w:lineRule="auto"/>
        <w:tabs>
          <w:tab w:leader="none" w:pos="1095"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Acceleration Terms</w:t>
      </w:r>
      <w:r>
        <w:rPr>
          <w:rFonts w:ascii="Times New Roman" w:cs="Times New Roman" w:eastAsia="Times New Roman" w:hAnsi="Times New Roman"/>
          <w:sz w:val="14"/>
          <w:szCs w:val="14"/>
          <w:color w:val="auto"/>
        </w:rPr>
        <w:t>” shall mean that, notwithstanding anything to the contrary in this Agreement, the Equity Documents or otherwise, all of your outstanding equity grants (including the Initial Equity Grant and each Additional Equity Grant) that vest based solely on the passage of time shall accelerate and become fully vested upon either: (x) a Sale Event or (y) a termination of your employment by the Company without Cause or by you with Good Reason.</w:t>
      </w:r>
    </w:p>
    <w:p>
      <w:pPr>
        <w:spacing w:after="0" w:line="8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0" w:right="1440" w:bottom="1440" w:gutter="0" w:footer="0" w:header="0"/>
        </w:sectPr>
      </w:pPr>
    </w:p>
    <w:bookmarkStart w:id="456" w:name="page457"/>
    <w:bookmarkEnd w:id="456"/>
    <w:p>
      <w:pPr>
        <w:ind w:left="560" w:right="279" w:firstLine="327"/>
        <w:spacing w:after="0" w:line="256" w:lineRule="auto"/>
        <w:tabs>
          <w:tab w:leader="none" w:pos="1134" w:val="left"/>
        </w:tabs>
        <w:numPr>
          <w:ilvl w:val="1"/>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Sale Event</w:t>
      </w:r>
      <w:r>
        <w:rPr>
          <w:rFonts w:ascii="Times New Roman" w:cs="Times New Roman" w:eastAsia="Times New Roman" w:hAnsi="Times New Roman"/>
          <w:sz w:val="14"/>
          <w:szCs w:val="14"/>
          <w:color w:val="auto"/>
        </w:rPr>
        <w:t>” means the consummation of (i) the dissolution or liquidation of Seaport, (ii) the sale of all or substantially all of the assets of Seaport on a consolidated basis to an unrelated person or entity, (iii) a merger, reorganization or consolidation pursuant to which the holders of Seaport’s outstanding voting power immediately prior to such transaction do not own a majority of the outstanding voting power of the surviving or resulting entity (or its ultimate parent, if applicable), (iv) the acquisition of all or a majority of the outstanding voting stock of Seaport in a single transaction or a series of related transactions by a party or group of parties, or (v) any other acquisition of the business of Seaport, as determined by the Board; provided, however, that Seaport’s initial public offering, any subsequent public offering or another capital raising event, or a merger effected solely to change Seaport’s domicile shall not constitute a “Sale Event”.</w:t>
      </w:r>
    </w:p>
    <w:p>
      <w:pPr>
        <w:spacing w:after="0" w:line="143" w:lineRule="exact"/>
        <w:rPr>
          <w:rFonts w:ascii="Times New Roman" w:cs="Times New Roman" w:eastAsia="Times New Roman" w:hAnsi="Times New Roman"/>
          <w:sz w:val="14"/>
          <w:szCs w:val="14"/>
          <w:color w:val="auto"/>
        </w:rPr>
      </w:pPr>
    </w:p>
    <w:p>
      <w:pPr>
        <w:ind w:left="220" w:right="319" w:firstLine="338"/>
        <w:spacing w:after="0" w:line="261" w:lineRule="auto"/>
        <w:tabs>
          <w:tab w:leader="none" w:pos="70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 Reimbursement</w:t>
      </w:r>
      <w:r>
        <w:rPr>
          <w:rFonts w:ascii="Times New Roman" w:cs="Times New Roman" w:eastAsia="Times New Roman" w:hAnsi="Times New Roman"/>
          <w:sz w:val="14"/>
          <w:szCs w:val="14"/>
          <w:color w:val="auto"/>
        </w:rPr>
        <w:t>. In accordance with the Company’s policies and procedures, you will be entitled to reimbursement of all reasonable and properly documented expenses incurred by you in the performance of your duties that are approved by Seaport. In addition, the Company agrees to pay or reimburse you for your reasonable legal fees in connection with the execution of this Agreement and related matters up to $10,000 in the aggregate.</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58" w:lineRule="auto"/>
        <w:tabs>
          <w:tab w:leader="none" w:pos="70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w:t>
      </w:r>
      <w:r>
        <w:rPr>
          <w:rFonts w:ascii="Times New Roman" w:cs="Times New Roman" w:eastAsia="Times New Roman" w:hAnsi="Times New Roman"/>
          <w:sz w:val="14"/>
          <w:szCs w:val="14"/>
          <w:color w:val="auto"/>
        </w:rPr>
        <w:t>. During your employment with the Company, you will be entitled to the benefits of such group medical, dental, disability and retirement benefits, if any, as the Company or its designee, which at the Start Date may be PureTech, shall make generally available from time to time to employees providing services to Seaport (the “Benefits”), provided you are eligible under (and subject to all provisions of) the plan documents governing those programs. The Benefits made available to you, and the rules, terms and conditions for participation in such benefit plans, may be changed at any time without advance notice.</w:t>
      </w:r>
    </w:p>
    <w:p>
      <w:pPr>
        <w:spacing w:after="0" w:line="143" w:lineRule="exact"/>
        <w:rPr>
          <w:rFonts w:ascii="Times New Roman" w:cs="Times New Roman" w:eastAsia="Times New Roman" w:hAnsi="Times New Roman"/>
          <w:sz w:val="14"/>
          <w:szCs w:val="14"/>
          <w:color w:val="auto"/>
        </w:rPr>
      </w:pPr>
    </w:p>
    <w:p>
      <w:pPr>
        <w:jc w:val="both"/>
        <w:ind w:left="220" w:right="239" w:firstLine="338"/>
        <w:spacing w:after="0" w:line="267" w:lineRule="auto"/>
        <w:tabs>
          <w:tab w:leader="none" w:pos="70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Vacation</w:t>
      </w:r>
      <w:r>
        <w:rPr>
          <w:rFonts w:ascii="Times New Roman" w:cs="Times New Roman" w:eastAsia="Times New Roman" w:hAnsi="Times New Roman"/>
          <w:sz w:val="14"/>
          <w:szCs w:val="14"/>
          <w:color w:val="auto"/>
        </w:rPr>
        <w:t>. In addition to holidays on which the Company’s offices are closed, you will be entitled to twenty (20) days paid vacation or sick leave each calendar year during your employment, accruing ratably each month. A maximum of five (5) days of unused vacation may be carried forward from year to year; provided that in no event may any vacation days be carried forward for more than one year.</w:t>
      </w:r>
    </w:p>
    <w:p>
      <w:pPr>
        <w:spacing w:after="0" w:line="135"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39" w:firstLine="772"/>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Notice Upon Termination of Employment</w:t>
      </w:r>
      <w:r>
        <w:rPr>
          <w:rFonts w:ascii="Times New Roman" w:cs="Times New Roman" w:eastAsia="Times New Roman" w:hAnsi="Times New Roman"/>
          <w:sz w:val="14"/>
          <w:szCs w:val="14"/>
          <w:color w:val="auto"/>
        </w:rPr>
        <w:t>. You shall provide the Company with sixty (60) days prior written notice of any election by you to terminate your employment with the Company other in the case of a termination for Good Reason for which you shall be required to comply with the Good Reason Process as defined below. In the event your employment with the Company terminates for any reason, the Company shall reimburse you for any reimbursable expenses you incur through the date of termination, and provide you with all amounts, equity awards or benefits due to you through the date of termination under this Agreement or under applicable law, including any Base Salary or vacation days accrued but unpaid as of the date of termination. In addition, upon termination of your employment by the Company without Cause (as defined below) or by you with Good Reason, contingent upon your execution and delivery to the Company within sixty (60) days of such termination of a general release reasonably satisfactory to the Company releasing Seaport, its officers, agents, stockholders and any affiliates of Seaport from any and all liability for any matter other than your rights to indemnity as an officer or director of the Company or for payments, awards or benefits due to you under this Section 6, and such release becoming effective no later than seven days after your execution thereof, you shall receive the following severance payments and benefits:</w:t>
      </w:r>
    </w:p>
    <w:p>
      <w:pPr>
        <w:spacing w:after="0" w:line="93"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9019"/>
          </w:cols>
          <w:pgMar w:left="1440" w:top="241" w:right="1440" w:bottom="1440" w:gutter="0" w:footer="0" w:header="0"/>
        </w:sectPr>
      </w:pPr>
    </w:p>
    <w:bookmarkStart w:id="457" w:name="page458"/>
    <w:bookmarkEnd w:id="457"/>
    <w:p>
      <w:pPr>
        <w:ind w:left="220" w:right="219" w:firstLine="772"/>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 the Company shall continue to pay to you for a period of twelve (12) months (the “</w:t>
      </w:r>
      <w:r>
        <w:rPr>
          <w:rFonts w:ascii="Times New Roman" w:cs="Times New Roman" w:eastAsia="Times New Roman" w:hAnsi="Times New Roman"/>
          <w:sz w:val="14"/>
          <w:szCs w:val="14"/>
          <w:u w:val="single" w:color="auto"/>
          <w:color w:val="auto"/>
        </w:rPr>
        <w:t>Severance Period</w:t>
      </w:r>
      <w:r>
        <w:rPr>
          <w:rFonts w:ascii="Times New Roman" w:cs="Times New Roman" w:eastAsia="Times New Roman" w:hAnsi="Times New Roman"/>
          <w:sz w:val="14"/>
          <w:szCs w:val="14"/>
          <w:color w:val="auto"/>
        </w:rPr>
        <w:t>”) your Base Salary then in effect consistent with the Company’s normal payroll schedule, with such first payment thereof payable on the first regular payroll date of the Company that is at least seven days after the effective date of your release (with such first installment including any installment payments that would have otherwise been made prior to such date).</w:t>
      </w:r>
    </w:p>
    <w:p>
      <w:pPr>
        <w:spacing w:after="0" w:line="141" w:lineRule="exact"/>
        <w:rPr>
          <w:sz w:val="20"/>
          <w:szCs w:val="20"/>
          <w:color w:val="auto"/>
        </w:rPr>
      </w:pPr>
    </w:p>
    <w:p>
      <w:pPr>
        <w:ind w:left="220" w:right="359" w:firstLine="772"/>
        <w:spacing w:after="0" w:line="255" w:lineRule="auto"/>
        <w:rPr>
          <w:sz w:val="20"/>
          <w:szCs w:val="20"/>
          <w:color w:val="auto"/>
        </w:rPr>
      </w:pPr>
      <w:r>
        <w:rPr>
          <w:rFonts w:ascii="Times New Roman" w:cs="Times New Roman" w:eastAsia="Times New Roman" w:hAnsi="Times New Roman"/>
          <w:sz w:val="14"/>
          <w:szCs w:val="14"/>
          <w:color w:val="auto"/>
        </w:rPr>
        <w:t>(2). provided you are eligible for and timely elect to continue receiving group medical insurance pursuant to the “COBRA” law, the Company shall continue to pay the share of the premium for health coverage that is paid by the Company for active and similarly-situated employees who receive the same type of coverage until the earlier of (i) the last day of the Severance Period, or (ii) the date on which you become eligible for healthcare insurance with a subsequent employer. Notwithstanding the foregoing, if the Company determines, in its sole discretion, that it cannot pay such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for the remainder of the Severance Period.</w:t>
      </w:r>
    </w:p>
    <w:p>
      <w:pPr>
        <w:spacing w:after="0" w:line="145" w:lineRule="exact"/>
        <w:rPr>
          <w:sz w:val="20"/>
          <w:szCs w:val="20"/>
          <w:color w:val="auto"/>
        </w:rPr>
      </w:pPr>
    </w:p>
    <w:p>
      <w:pPr>
        <w:ind w:left="220" w:right="399"/>
        <w:spacing w:after="0" w:line="257" w:lineRule="auto"/>
        <w:rPr>
          <w:sz w:val="20"/>
          <w:szCs w:val="20"/>
          <w:color w:val="auto"/>
        </w:rPr>
      </w:pPr>
      <w:r>
        <w:rPr>
          <w:rFonts w:ascii="Times New Roman" w:cs="Times New Roman" w:eastAsia="Times New Roman" w:hAnsi="Times New Roman"/>
          <w:sz w:val="14"/>
          <w:szCs w:val="14"/>
          <w:color w:val="auto"/>
        </w:rPr>
        <w:t>For purposes hereof, “Cause” shall mean the good faith determination of the Board that any one or more of the following events has occurred to or by you: (i) conviction of any felony, (ii) deliberate neglect of, willful misconduct in connection with the performance of, or refusal to perform duties reasonably assigned to you pursuant to the terms hereof after being notified of the conduct and having an opportunity to cure such conduct (if such conduct is curable), (iii) breach of any of the provisions of this Agreement or the Related Agreements (as defined below) after being notified of the breach and having an opportunity to cure such breach (if such breach is curable) or (iv) any fraudulent or grossly negligent conduct, any action in bad faith, or willful misconduct otherwise materially detrimental to the reputation, goodwill or best interests of Seaport.</w:t>
      </w:r>
    </w:p>
    <w:p>
      <w:pPr>
        <w:spacing w:after="0" w:line="143" w:lineRule="exact"/>
        <w:rPr>
          <w:sz w:val="20"/>
          <w:szCs w:val="20"/>
          <w:color w:val="auto"/>
        </w:rPr>
      </w:pPr>
    </w:p>
    <w:p>
      <w:pPr>
        <w:ind w:left="220" w:right="239"/>
        <w:spacing w:after="0" w:line="253" w:lineRule="auto"/>
        <w:rPr>
          <w:sz w:val="20"/>
          <w:szCs w:val="20"/>
          <w:color w:val="auto"/>
        </w:rPr>
      </w:pPr>
      <w:r>
        <w:rPr>
          <w:rFonts w:ascii="Times New Roman" w:cs="Times New Roman" w:eastAsia="Times New Roman" w:hAnsi="Times New Roman"/>
          <w:sz w:val="14"/>
          <w:szCs w:val="14"/>
          <w:color w:val="auto"/>
        </w:rPr>
        <w:t>For purposes hereof, “Good Reason” shall mean one of the following conditions after Good Reason Process (as defined below): (i) a breach of this Agreement by the Company in any material respect, (ii) a material adverse change in your title or responsibilities, including your removal from, or failure to be elected to, the Board, or (iii) a material reduction in your Base Salary or material reduction in bonus opportunity. “Good Reason Process” means that: (a) you have reasonably determined in good faith that a “Good Reason” condition has occurred, (b) within ninety (90) days of becoming aware of the first occurrence of such condition, you have notified the Company in writing of the first occurrence of the Good Reason condition and your right to terminate your employment for Good Reason if such condition is not cured, (c) you have cooperated in good faith with the Company’s efforts, for a period of thirty (30) days following such notice (the “Cure Period”), to remedy the condition (to the extent capable of being cured or remedied), (d) notwithstanding such efforts, the Good Reason condition continues to exist, and (e) you terminate your employment within sixty (60) days after the end of the Cure Period (or, if no Cure Period applies, the date on which you gave notice to the Company of the occurrence of such Good Reason) by providing written notice to the Company of the termination of your employment during such sixty (60) day period, which termination shall be effective upon the date specified in your notice of termination. If the Company cures the Good Reason condition during the Cure Period (if applicable), Good Reason shall be deemed not to have occurred.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41" w:right="1440" w:bottom="1440" w:gutter="0" w:footer="0" w:header="0"/>
        </w:sectPr>
      </w:pPr>
    </w:p>
    <w:bookmarkStart w:id="458" w:name="page459"/>
    <w:bookmarkEnd w:id="458"/>
    <w:p>
      <w:pPr>
        <w:ind w:left="220" w:right="259" w:firstLine="772"/>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 In the event of your death or permanent disability (as defined below) while you are employed by the Company, your employment hereunder shall immediately and automatically terminate and the Company shall pay to you or your personal representative or designated beneficiary or, if no beneficiary has been designated by you, to your estate, any earned and unpaid Base Salary, pro-rated through the date of your death or permanent disability. For purposes of this Agreement, “permanent disability” shall mean your inability, due to physical or mental illness or disease, to perform the functions then performed by you for one hundred eighty (180) consecutive days, accompanied by the likelihood, in the opinion of a physician chosen by the Company and reasonably acceptable to you, that you will be unable to perform such functions within the reasonably foreseeable future; provided that the foregoing definition shall not include a disability for which the Company is required to provide reasonable accommodation pursuant to the Americans with Disabilities Act or other similar statute or regulation.</w:t>
      </w:r>
    </w:p>
    <w:p>
      <w:pPr>
        <w:spacing w:after="0" w:line="145" w:lineRule="exact"/>
        <w:rPr>
          <w:sz w:val="20"/>
          <w:szCs w:val="20"/>
          <w:color w:val="auto"/>
        </w:rPr>
      </w:pPr>
    </w:p>
    <w:p>
      <w:pPr>
        <w:ind w:left="220" w:right="379" w:firstLine="772"/>
        <w:spacing w:after="0" w:line="261"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Section 280G</w:t>
      </w:r>
      <w:r>
        <w:rPr>
          <w:rFonts w:ascii="Times New Roman" w:cs="Times New Roman" w:eastAsia="Times New Roman" w:hAnsi="Times New Roman"/>
          <w:sz w:val="14"/>
          <w:szCs w:val="14"/>
          <w:color w:val="auto"/>
        </w:rPr>
        <w:t>. In connection with a Sale Event, Seaport agrees to give due consideration to obtaining such vote by disinterested shareholders (and/or members) as may be necessary such that Section 280G of the Internal Revenue Code of 1986, as amended (the “Code”) and the applicable IRS regulations thereunder, will not apply to any compensation, payment or distribution by the Seaport to you in connection with such Sale Event, and you agree to cooperate with Seaport in connection with any such shareholder vote.</w:t>
      </w:r>
    </w:p>
    <w:p>
      <w:pPr>
        <w:spacing w:after="0" w:line="141" w:lineRule="exact"/>
        <w:rPr>
          <w:sz w:val="20"/>
          <w:szCs w:val="20"/>
          <w:color w:val="auto"/>
        </w:rPr>
      </w:pPr>
    </w:p>
    <w:p>
      <w:pPr>
        <w:ind w:left="220" w:right="319" w:firstLine="772"/>
        <w:spacing w:after="0" w:line="261" w:lineRule="auto"/>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Additional Severance Benefits</w:t>
      </w:r>
      <w:r>
        <w:rPr>
          <w:rFonts w:ascii="Times New Roman" w:cs="Times New Roman" w:eastAsia="Times New Roman" w:hAnsi="Times New Roman"/>
          <w:sz w:val="14"/>
          <w:szCs w:val="14"/>
          <w:color w:val="auto"/>
        </w:rPr>
        <w:t>. The Company agrees that in the event that it agrees in any employment agreement with any executive officer of the Company to provide severance or other benefits in connection with termination of employment that are more favorable to the executive officer than the severance and other benefits provided to you under this Section 6, it shall seek to amend this Agreement to provide you with such more favorable severance and other benefits.</w:t>
      </w:r>
    </w:p>
    <w:p>
      <w:pPr>
        <w:spacing w:after="0" w:line="141" w:lineRule="exact"/>
        <w:rPr>
          <w:sz w:val="20"/>
          <w:szCs w:val="20"/>
          <w:color w:val="auto"/>
        </w:rPr>
      </w:pPr>
    </w:p>
    <w:p>
      <w:pPr>
        <w:ind w:left="220" w:right="319"/>
        <w:spacing w:after="0" w:line="261" w:lineRule="auto"/>
        <w:rPr>
          <w:sz w:val="20"/>
          <w:szCs w:val="20"/>
          <w:color w:val="auto"/>
        </w:rPr>
      </w:pPr>
      <w:r>
        <w:rPr>
          <w:rFonts w:ascii="Times New Roman" w:cs="Times New Roman" w:eastAsia="Times New Roman" w:hAnsi="Times New Roman"/>
          <w:sz w:val="14"/>
          <w:szCs w:val="14"/>
          <w:color w:val="auto"/>
        </w:rPr>
        <w:t>Except as set forth in this Section 6, nothing in this Agreement shall be construed as an agreement, either express or implied, to pay you any compensation or grant you any benefit beyond the end of your employment with the Company. Unless otherwise determined by the Board, upon termination of your employment with the Company for any reason, you shall be deemed to have resigned from all offices and directorships, if any, then held with the Company or any of its subsidiaries, as of the date of termination.</w:t>
      </w:r>
    </w:p>
    <w:p>
      <w:pPr>
        <w:spacing w:after="0" w:line="141" w:lineRule="exact"/>
        <w:rPr>
          <w:sz w:val="20"/>
          <w:szCs w:val="20"/>
          <w:color w:val="auto"/>
        </w:rPr>
      </w:pPr>
    </w:p>
    <w:p>
      <w:pPr>
        <w:ind w:left="220" w:right="419" w:firstLine="338"/>
        <w:spacing w:after="0" w:line="283" w:lineRule="auto"/>
        <w:tabs>
          <w:tab w:leader="none" w:pos="703"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Related Agreements</w:t>
      </w:r>
      <w:r>
        <w:rPr>
          <w:rFonts w:ascii="Times New Roman" w:cs="Times New Roman" w:eastAsia="Times New Roman" w:hAnsi="Times New Roman"/>
          <w:sz w:val="14"/>
          <w:szCs w:val="14"/>
          <w:color w:val="auto"/>
        </w:rPr>
        <w:t>. As a condition to your employment with the Company, you are required to execute on the date hereof a Nonsolicitation Agreement and an Invention and Non-Disclosure Agreement (the “</w:t>
      </w:r>
      <w:r>
        <w:rPr>
          <w:rFonts w:ascii="Times New Roman" w:cs="Times New Roman" w:eastAsia="Times New Roman" w:hAnsi="Times New Roman"/>
          <w:sz w:val="14"/>
          <w:szCs w:val="14"/>
          <w:u w:val="single" w:color="auto"/>
          <w:color w:val="auto"/>
        </w:rPr>
        <w:t>Related Agreements</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220" w:right="479" w:firstLine="338"/>
        <w:spacing w:after="0" w:line="258" w:lineRule="auto"/>
        <w:tabs>
          <w:tab w:leader="none" w:pos="703"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w:t>
      </w:r>
      <w:r>
        <w:rPr>
          <w:rFonts w:ascii="Times New Roman" w:cs="Times New Roman" w:eastAsia="Times New Roman" w:hAnsi="Times New Roman"/>
          <w:sz w:val="14"/>
          <w:szCs w:val="14"/>
          <w:color w:val="auto"/>
        </w:rPr>
        <w:t>. Notwithstanding any other provisions in this Agreement to the contrary, any incentive-based compensation, or any other compensation or benefits paid to you pursuant to this Agreement or any other agreement or arrangement with the Company which is required to be recovered under any applicable law, government regulation, stock exchange listing requirement or Company policy to which you are subject, will be subject to such deductions and clawback as may be required to be made pursuant to such law, government regulation or stock exchange listing requirement or Company policy.</w:t>
      </w:r>
    </w:p>
    <w:p>
      <w:pPr>
        <w:spacing w:after="0" w:line="91"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9019"/>
          </w:cols>
          <w:pgMar w:left="1440" w:top="240" w:right="1440" w:bottom="1440" w:gutter="0" w:footer="0" w:header="0"/>
        </w:sectPr>
      </w:pPr>
    </w:p>
    <w:bookmarkStart w:id="459" w:name="page460"/>
    <w:bookmarkEnd w:id="459"/>
    <w:p>
      <w:pPr>
        <w:ind w:left="220" w:right="499" w:firstLine="338"/>
        <w:spacing w:after="0" w:line="296" w:lineRule="auto"/>
        <w:tabs>
          <w:tab w:leader="none" w:pos="703" w:val="left"/>
        </w:tabs>
        <w:numPr>
          <w:ilvl w:val="0"/>
          <w:numId w:val="3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Conflicts</w:t>
      </w:r>
      <w:r>
        <w:rPr>
          <w:rFonts w:ascii="Times New Roman" w:cs="Times New Roman" w:eastAsia="Times New Roman" w:hAnsi="Times New Roman"/>
          <w:sz w:val="13"/>
          <w:szCs w:val="13"/>
          <w:color w:val="auto"/>
        </w:rPr>
        <w:t>. You hereby represent that, except as disclosed to the Company prior to your Start Date, you are not subject to any agreement, understanding or other duty that would restrict or hinder the performance of your duties as an employee of the Company providing services to the Company, including, but not limited to any noncompetition, nonsolicitation of employee or nonsolicitation of customer agreement or understanding.</w:t>
      </w:r>
    </w:p>
    <w:p>
      <w:pPr>
        <w:spacing w:after="0" w:line="119" w:lineRule="exact"/>
        <w:rPr>
          <w:rFonts w:ascii="Times New Roman" w:cs="Times New Roman" w:eastAsia="Times New Roman" w:hAnsi="Times New Roman"/>
          <w:sz w:val="13"/>
          <w:szCs w:val="13"/>
          <w:color w:val="auto"/>
        </w:rPr>
      </w:pPr>
    </w:p>
    <w:p>
      <w:pPr>
        <w:ind w:left="220" w:right="219" w:firstLine="338"/>
        <w:spacing w:after="0" w:line="252" w:lineRule="auto"/>
        <w:tabs>
          <w:tab w:leader="none" w:pos="773"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 Matters</w:t>
      </w:r>
      <w:r>
        <w:rPr>
          <w:rFonts w:ascii="Times New Roman" w:cs="Times New Roman" w:eastAsia="Times New Roman" w:hAnsi="Times New Roman"/>
          <w:sz w:val="14"/>
          <w:szCs w:val="14"/>
          <w:color w:val="auto"/>
        </w:rPr>
        <w:t>. It is intended that all of the severance benefits and other payments payable under this Agreement satisfy, to the greatest extent possible, an exemption from the application of Section 409A of the Code and this Agreement will be construed to the greatest extent possible as consistent with such intent, and to the extent not so exempt, this Agreement (and any definitions hereunder) will be construed in a manner that complies with Section 409A of the Code. For purposes of Section 409A of the Code (including, without limitation, for purposes of Treasury Regulation Section 1.409A 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To the extent that any payments or benefits under this Agreement are “non-qualified deferred compensation” subject to Section 409A of the Code and are payable upon your “termination of employment” such payments and benefits shall not be paid or commence to be paid until your “separation from service” (as defined in Treasury Regulation Section 1.409A-1(h)) (“Separation from Service”).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w:t>
      </w:r>
    </w:p>
    <w:p>
      <w:pPr>
        <w:spacing w:after="0" w:line="3" w:lineRule="exact"/>
        <w:rPr>
          <w:rFonts w:ascii="Times New Roman" w:cs="Times New Roman" w:eastAsia="Times New Roman" w:hAnsi="Times New Roman"/>
          <w:sz w:val="14"/>
          <w:szCs w:val="14"/>
          <w:color w:val="auto"/>
        </w:rPr>
      </w:pPr>
    </w:p>
    <w:p>
      <w:pPr>
        <w:ind w:left="220" w:right="27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Section shall be paid in a lump sum to you, and any remaining payments due shall be paid as otherwise provided herein or in the applicable agreement. No interest shall be due on any amounts so deferred. To the extent that the payments or benefits under this Agreement are “non-qualified deferred compensation” subject to Section 409A of the Code, if the period during which you may deliver the release referenced in Section 6.A., above spans two calendar years, the payment of your severance shall commence on the later of (a) the first day of the second calendar year, or (b) the first regularly-scheduled payroll date that is at least seven days after the Separation Agreement becomes effective.</w:t>
      </w:r>
    </w:p>
    <w:p>
      <w:pPr>
        <w:spacing w:after="0" w:line="146" w:lineRule="exact"/>
        <w:rPr>
          <w:rFonts w:ascii="Times New Roman" w:cs="Times New Roman" w:eastAsia="Times New Roman" w:hAnsi="Times New Roman"/>
          <w:sz w:val="14"/>
          <w:szCs w:val="14"/>
          <w:color w:val="auto"/>
        </w:rPr>
      </w:pPr>
    </w:p>
    <w:p>
      <w:pPr>
        <w:jc w:val="both"/>
        <w:ind w:left="220" w:right="239" w:firstLine="338"/>
        <w:spacing w:after="0" w:line="258" w:lineRule="auto"/>
        <w:tabs>
          <w:tab w:leader="none" w:pos="768"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 This Agreement shall not be construed as an agreement, either expressed or implied, to employ you for any stated term, and shall in no way alter the at will nature of your employment, under which, subject to Section 6, both you and the Company remain free to terminate the employment relationship, with or without cause, at any time, with or without notice. This Agreement shall be construed and enforced in accordance with and governed by the laws of the Commonwealth of Massachusetts (without giving effect to any conflicts or choice of laws provisions thereof that would cause the application of the domestic substantive laws of any other jurisdiction). You and the Company</w:t>
      </w:r>
    </w:p>
    <w:p>
      <w:pPr>
        <w:spacing w:after="0" w:line="91"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ectPr>
          <w:pgSz w:w="11900" w:h="16838" w:orient="portrait"/>
          <w:cols w:equalWidth="0" w:num="1">
            <w:col w:w="9019"/>
          </w:cols>
          <w:pgMar w:left="1440" w:top="241" w:right="1440" w:bottom="1440" w:gutter="0" w:footer="0" w:header="0"/>
        </w:sectPr>
      </w:pPr>
    </w:p>
    <w:bookmarkStart w:id="460" w:name="page461"/>
    <w:bookmarkEnd w:id="460"/>
    <w:p>
      <w:pPr>
        <w:ind w:left="220" w:right="2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each hereby irrevocably waive any right to a trial by jury in any action, suit or other legal proceeding arising under or relating to any provision of this Agreement. The terms and conditions of your proposed employment with the Company in this Agreement supersede any and all prior written and verbal discussions concerning conditions of employment. This Agreement may be executed in two or more counterparts, each of which shall be deemed an original, and all of which together shall constitute one and the same instrument. Any provision hereof requiring written consent, confirmation, or other similar communication may be satisfied through electronic communication, including the use of electronic signatures for execution of this Agreement. This Agreement shall be binding upon and inure to the benefit of you and the Company and each of your and the Company’s respective successors and assigns, including any corporation with which or into which the Company may be merged or which may succeed to its assets or business; provided, however, that your obligations are personal and shall not be assigned by you.</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ectPr>
          <w:pgSz w:w="11900" w:h="16838" w:orient="portrait"/>
          <w:cols w:equalWidth="0" w:num="1">
            <w:col w:w="9019"/>
          </w:cols>
          <w:pgMar w:left="1440" w:top="240" w:right="1440" w:bottom="1440" w:gutter="0" w:footer="0" w:header="0"/>
        </w:sectPr>
      </w:pPr>
    </w:p>
    <w:bookmarkStart w:id="461" w:name="page462"/>
    <w:bookmarkEnd w:id="461"/>
    <w:tbl>
      <w:tblPr>
        <w:tblLayout w:type="fixed"/>
        <w:tblInd w:w="220" w:type="dxa"/>
        <w:tblCellMar>
          <w:top w:w="0" w:type="dxa"/>
          <w:left w:w="0" w:type="dxa"/>
          <w:bottom w:w="0" w:type="dxa"/>
          <w:right w:w="0" w:type="dxa"/>
        </w:tblCellMar>
      </w:tblPr>
      <w:tr>
        <w:trPr>
          <w:trHeight w:val="183"/>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Very truly yours,</w:t>
            </w:r>
          </w:p>
        </w:tc>
        <w:tc>
          <w:tcPr>
            <w:tcW w:w="4500" w:type="dxa"/>
            <w:vAlign w:val="bottom"/>
          </w:tcPr>
          <w:p>
            <w:pPr>
              <w:spacing w:after="0"/>
              <w:rPr>
                <w:sz w:val="15"/>
                <w:szCs w:val="15"/>
                <w:color w:val="auto"/>
              </w:rPr>
            </w:pPr>
          </w:p>
        </w:tc>
      </w:tr>
      <w:tr>
        <w:trPr>
          <w:trHeight w:val="336"/>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SEAPORT THERAPEUTICS, INC.</w:t>
            </w:r>
          </w:p>
        </w:tc>
        <w:tc>
          <w:tcPr>
            <w:tcW w:w="4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ACKNOWLEDGED AND AGREED:</w:t>
            </w:r>
          </w:p>
        </w:tc>
      </w:tr>
      <w:tr>
        <w:trPr>
          <w:trHeight w:val="33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 Charles Sherwood</w:t>
            </w:r>
          </w:p>
        </w:tc>
        <w:tc>
          <w:tcPr>
            <w:tcW w:w="4500" w:type="dxa"/>
            <w:vAlign w:val="bottom"/>
          </w:tcPr>
          <w:p>
            <w:pPr>
              <w:spacing w:after="0"/>
              <w:rPr>
                <w:sz w:val="24"/>
                <w:szCs w:val="24"/>
                <w:color w:val="auto"/>
              </w:rPr>
            </w:pP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300" w:type="dxa"/>
            <w:vAlign w:val="bottom"/>
            <w:tcBorders>
              <w:top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Charles Sherwood</w:t>
            </w:r>
          </w:p>
        </w:tc>
        <w:tc>
          <w:tcPr>
            <w:tcW w:w="360" w:type="dxa"/>
            <w:vAlign w:val="bottom"/>
          </w:tcPr>
          <w:p>
            <w:pPr>
              <w:spacing w:after="0"/>
              <w:rPr>
                <w:sz w:val="12"/>
                <w:szCs w:val="12"/>
                <w:color w:val="auto"/>
              </w:rPr>
            </w:pPr>
          </w:p>
        </w:tc>
        <w:tc>
          <w:tcPr>
            <w:tcW w:w="4500" w:type="dxa"/>
            <w:vAlign w:val="bottom"/>
            <w:tcBorders>
              <w:top w:val="single" w:sz="8" w:color="auto"/>
            </w:tcBorders>
          </w:tcPr>
          <w:p>
            <w:pPr>
              <w:ind w:left="40"/>
              <w:spacing w:after="0" w:line="144" w:lineRule="exact"/>
              <w:rPr>
                <w:sz w:val="20"/>
                <w:szCs w:val="20"/>
                <w:color w:val="auto"/>
              </w:rPr>
            </w:pPr>
            <w:r>
              <w:rPr>
                <w:rFonts w:ascii="Times New Roman" w:cs="Times New Roman" w:eastAsia="Times New Roman" w:hAnsi="Times New Roman"/>
                <w:sz w:val="14"/>
                <w:szCs w:val="14"/>
                <w:color w:val="auto"/>
              </w:rPr>
              <w:t>Daphne Zohar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Board Member</w:t>
            </w:r>
          </w:p>
        </w:tc>
        <w:tc>
          <w:tcPr>
            <w:tcW w:w="4500" w:type="dxa"/>
            <w:vAlign w:val="bottom"/>
          </w:tcPr>
          <w:p>
            <w:pPr>
              <w:spacing w:after="0"/>
              <w:rPr>
                <w:sz w:val="15"/>
                <w:szCs w:val="15"/>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O</w:t>
      </w:r>
      <w:r>
        <w:rPr>
          <w:rFonts w:ascii="Times New Roman" w:cs="Times New Roman" w:eastAsia="Times New Roman" w:hAnsi="Times New Roman"/>
          <w:sz w:val="11"/>
          <w:szCs w:val="11"/>
          <w:color w:val="auto"/>
        </w:rPr>
        <w:t>FFER</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ETTER</w:t>
      </w:r>
    </w:p>
    <w:p>
      <w:pPr>
        <w:sectPr>
          <w:pgSz w:w="11900" w:h="16838" w:orient="portrait"/>
          <w:cols w:equalWidth="0" w:num="1">
            <w:col w:w="9019"/>
          </w:cols>
          <w:pgMar w:left="1440" w:top="241" w:right="1440" w:bottom="1440" w:gutter="0" w:footer="0" w:header="0"/>
        </w:sectPr>
      </w:pPr>
    </w:p>
    <w:bookmarkStart w:id="462" w:name="page463"/>
    <w:bookmarkEnd w:id="462"/>
    <w:tbl>
      <w:tblPr>
        <w:tblLayout w:type="fixed"/>
        <w:tblInd w:w="220" w:type="dxa"/>
        <w:tblCellMar>
          <w:top w:w="0" w:type="dxa"/>
          <w:left w:w="0" w:type="dxa"/>
          <w:bottom w:w="0" w:type="dxa"/>
          <w:right w:w="0" w:type="dxa"/>
        </w:tblCellMar>
      </w:tblPr>
      <w:tr>
        <w:trPr>
          <w:trHeight w:val="183"/>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Very truly yours,</w:t>
            </w:r>
          </w:p>
        </w:tc>
        <w:tc>
          <w:tcPr>
            <w:tcW w:w="4500" w:type="dxa"/>
            <w:vAlign w:val="bottom"/>
          </w:tcPr>
          <w:p>
            <w:pPr>
              <w:spacing w:after="0"/>
              <w:rPr>
                <w:sz w:val="15"/>
                <w:szCs w:val="15"/>
                <w:color w:val="auto"/>
              </w:rPr>
            </w:pPr>
          </w:p>
        </w:tc>
      </w:tr>
      <w:tr>
        <w:trPr>
          <w:trHeight w:val="336"/>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SEAPORT THERAPEUTICS, INC.</w:t>
            </w:r>
          </w:p>
        </w:tc>
        <w:tc>
          <w:tcPr>
            <w:tcW w:w="4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ACKNOWLEDGED AND AGREED:</w:t>
            </w:r>
          </w:p>
        </w:tc>
      </w:tr>
      <w:tr>
        <w:trPr>
          <w:trHeight w:val="33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3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Daphne Zohar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30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Charles Sherwood</w:t>
            </w:r>
          </w:p>
        </w:tc>
        <w:tc>
          <w:tcPr>
            <w:tcW w:w="360" w:type="dxa"/>
            <w:vAlign w:val="bottom"/>
          </w:tcPr>
          <w:p>
            <w:pPr>
              <w:spacing w:after="0"/>
              <w:rPr>
                <w:sz w:val="12"/>
                <w:szCs w:val="12"/>
                <w:color w:val="auto"/>
              </w:rPr>
            </w:pPr>
          </w:p>
        </w:tc>
        <w:tc>
          <w:tcPr>
            <w:tcW w:w="450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Daphne Zohar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Board Member</w:t>
            </w:r>
          </w:p>
        </w:tc>
        <w:tc>
          <w:tcPr>
            <w:tcW w:w="4500" w:type="dxa"/>
            <w:vAlign w:val="bottom"/>
          </w:tcPr>
          <w:p>
            <w:pPr>
              <w:spacing w:after="0"/>
              <w:rPr>
                <w:sz w:val="15"/>
                <w:szCs w:val="15"/>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4"/>
          <w:szCs w:val="14"/>
          <w:color w:val="auto"/>
        </w:rPr>
        <w:t xml:space="preserve"> O</w:t>
      </w:r>
      <w:r>
        <w:rPr>
          <w:rFonts w:ascii="Times New Roman" w:cs="Times New Roman" w:eastAsia="Times New Roman" w:hAnsi="Times New Roman"/>
          <w:sz w:val="11"/>
          <w:szCs w:val="11"/>
          <w:color w:val="auto"/>
        </w:rPr>
        <w:t>FFER</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ETTER</w:t>
      </w:r>
    </w:p>
    <w:p>
      <w:pPr>
        <w:sectPr>
          <w:pgSz w:w="11900" w:h="16838" w:orient="portrait"/>
          <w:cols w:equalWidth="0" w:num="1">
            <w:col w:w="9019"/>
          </w:cols>
          <w:pgMar w:left="1440" w:top="240" w:right="1440" w:bottom="1440" w:gutter="0" w:footer="0" w:header="0"/>
        </w:sectPr>
      </w:pPr>
    </w:p>
    <w:bookmarkStart w:id="463" w:name="page464"/>
    <w:bookmarkEnd w:id="463"/>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A</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Board of Directors of BIO</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Biotech Hangout Host/Founder</w:t>
      </w:r>
    </w:p>
    <w:p>
      <w:pPr>
        <w:sectPr>
          <w:pgSz w:w="11900" w:h="16838" w:orient="portrait"/>
          <w:cols w:equalWidth="0" w:num="1">
            <w:col w:w="9019"/>
          </w:cols>
          <w:pgMar w:left="1440" w:top="241" w:right="1440" w:bottom="1440" w:gutter="0" w:footer="0" w:header="0"/>
        </w:sectPr>
      </w:pPr>
    </w:p>
    <w:bookmarkStart w:id="464" w:name="page465"/>
    <w:bookmarkEnd w:id="464"/>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 Tide Street, Suite 400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Boston, Massachusetts 02210</w:t>
      </w:r>
    </w:p>
    <w:p>
      <w:pPr>
        <w:spacing w:after="0" w:line="16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April 29, 2024</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Michael Chen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Michael:</w:t>
      </w:r>
    </w:p>
    <w:p>
      <w:pPr>
        <w:spacing w:after="0" w:line="91"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On behalf of Seaport Therapeutics, Inc. (“</w:t>
      </w:r>
      <w:r>
        <w:rPr>
          <w:rFonts w:ascii="Times New Roman" w:cs="Times New Roman" w:eastAsia="Times New Roman" w:hAnsi="Times New Roman"/>
          <w:sz w:val="14"/>
          <w:szCs w:val="14"/>
          <w:u w:val="single" w:color="auto"/>
          <w:color w:val="auto"/>
        </w:rPr>
        <w:t>Seaport</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 am pleased to set forth the terms of your employment with the Company. Subject to your acceptance of this offer, this Agreement and your employment with the Company will commence on May 1, 2024, or such other date as the Company shall determine (the “</w:t>
      </w:r>
      <w:r>
        <w:rPr>
          <w:rFonts w:ascii="Times New Roman" w:cs="Times New Roman" w:eastAsia="Times New Roman" w:hAnsi="Times New Roman"/>
          <w:sz w:val="14"/>
          <w:szCs w:val="14"/>
          <w:u w:val="single" w:color="auto"/>
          <w:color w:val="auto"/>
        </w:rPr>
        <w:t>Start Date</w:t>
      </w:r>
      <w:r>
        <w:rPr>
          <w:rFonts w:ascii="Times New Roman" w:cs="Times New Roman" w:eastAsia="Times New Roman" w:hAnsi="Times New Roman"/>
          <w:sz w:val="14"/>
          <w:szCs w:val="14"/>
          <w:color w:val="auto"/>
        </w:rPr>
        <w:t>”). It is understood that during the period commencing on the date hereof and continuing until the Start Date, you will provide services to Seaport as an employee of PureTech Management, Inc. (“</w:t>
      </w:r>
      <w:r>
        <w:rPr>
          <w:rFonts w:ascii="Times New Roman" w:cs="Times New Roman" w:eastAsia="Times New Roman" w:hAnsi="Times New Roman"/>
          <w:sz w:val="14"/>
          <w:szCs w:val="14"/>
          <w:u w:val="single" w:color="auto"/>
          <w:color w:val="auto"/>
        </w:rPr>
        <w:t>PureTech</w:t>
      </w:r>
      <w:r>
        <w:rPr>
          <w:rFonts w:ascii="Times New Roman" w:cs="Times New Roman" w:eastAsia="Times New Roman" w:hAnsi="Times New Roman"/>
          <w:sz w:val="14"/>
          <w:szCs w:val="14"/>
          <w:color w:val="auto"/>
        </w:rPr>
        <w:t>”) under the transition services agreement to which the Company is a party with PureTech, and this offer is contingent on your remaining employed by PureTech on the date immediately preceding the Start Date.</w:t>
      </w:r>
    </w:p>
    <w:p>
      <w:pPr>
        <w:spacing w:after="0" w:line="143" w:lineRule="exact"/>
        <w:rPr>
          <w:sz w:val="20"/>
          <w:szCs w:val="20"/>
          <w:color w:val="auto"/>
        </w:rPr>
      </w:pPr>
    </w:p>
    <w:p>
      <w:pPr>
        <w:ind w:left="220" w:right="239" w:firstLine="338"/>
        <w:spacing w:after="0" w:line="252" w:lineRule="auto"/>
        <w:tabs>
          <w:tab w:leader="none" w:pos="703"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During your employment with the Company, you will serve as the Chief Scientific Officer of Seaport and report to the Chief Executive Officer of Seaport. You will be employed on an at-will basis, which means that you may resign and the Company may terminate your employment at any time for any reason or for no reason, subject to Section 6 below. You will commence employment in this capacity on the Start Date. You shall perform those duties generally required of persons in the position of Chief Scientific Officer as well as such other duties, not inconsistent with this letter agreement, as the Chief Executive Officer may from time to time reasonably direct. You agree to devote your entire business time, attention, skills and best efforts to the performance of your duties hereunder following the Start Date and agree that you will not, following the Start Date and for the duration of your employment hereunder, without the approval of the Chief Executive Officer, be employed by or otherwise engaged in any other business activity requiring any of your business time; provided that, notwithstanding the foregoing (i) you may serve on the board of directors of up to one (1) for profit company that does not compete with Seaport, subject to the prior approval of the Chief Executive Officer, which approval will not be unreasonably withheld or delayed, (ii) you may provide services to charitable, community or nonprofit organizations without approval of the Chief Executive Officer, and (iii) you may continue to perform the obligations and responsibilities in connection with those activities set forth in Schedule A hereto without further approval by the Chief Executive Officer; provided further that in all cases under clauses (i), (ii) and (iii) you do not compete with Seaport and such activities do not otherwise interfere with your performance of your duties hereunder or breach the terms of any agreement between you and Seaport. Your primary place of work shall be the Company’s headquarters in Boston, Massachusetts, but you are permitted to work some percentage of your time from your home office in the Boston, Massachusetts area as reasonably determined by the Chief Executive Officer. You may be required to travel as may be reasonably required in connection with the performance of your duties.</w:t>
      </w:r>
    </w:p>
    <w:p>
      <w:pPr>
        <w:sectPr>
          <w:pgSz w:w="11900" w:h="16838" w:orient="portrait"/>
          <w:cols w:equalWidth="0" w:num="1">
            <w:col w:w="9019"/>
          </w:cols>
          <w:pgMar w:left="1440" w:top="123" w:right="1440" w:bottom="1440" w:gutter="0" w:footer="0" w:header="0"/>
        </w:sectPr>
      </w:pPr>
    </w:p>
    <w:bookmarkStart w:id="465" w:name="page466"/>
    <w:bookmarkEnd w:id="465"/>
    <w:p>
      <w:pPr>
        <w:ind w:left="700" w:hanging="142"/>
        <w:spacing w:after="0"/>
        <w:tabs>
          <w:tab w:leader="none" w:pos="700" w:val="left"/>
        </w:tabs>
        <w:numPr>
          <w:ilvl w:val="1"/>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Compensation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19" w:firstLine="767"/>
        <w:spacing w:after="0" w:line="257" w:lineRule="auto"/>
        <w:tabs>
          <w:tab w:leader="none" w:pos="1163" w:val="left"/>
        </w:tabs>
        <w:numPr>
          <w:ilvl w:val="2"/>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Salary</w:t>
      </w:r>
      <w:r>
        <w:rPr>
          <w:rFonts w:ascii="Times New Roman" w:cs="Times New Roman" w:eastAsia="Times New Roman" w:hAnsi="Times New Roman"/>
          <w:sz w:val="14"/>
          <w:szCs w:val="14"/>
          <w:color w:val="auto"/>
        </w:rPr>
        <w:t>. During your employment, the Company will pay you a base salary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at the rate of $16,666.67 per regular semi-monthly pay period (annualized rate of $400,000 per year), payable in accordance with the regular payroll practices of the Company and subject to applicable deductions and withholdings. This salary will be reviewed annually for merit increases as determined by the Board of Directors of Seaport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in its sole and absolute discretion. In addition, in recognition of your services to Seaport as an employee of PureTech from April 9, 2024 to the Start Date, the Company will pay you within thirty days of the Start Date a one-time payment of $5,225.60, subject to applicable deductions and withholdings.</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5" w:lineRule="auto"/>
        <w:tabs>
          <w:tab w:leader="none" w:pos="1155" w:val="left"/>
        </w:tabs>
        <w:numPr>
          <w:ilvl w:val="2"/>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Bonus</w:t>
      </w:r>
      <w:r>
        <w:rPr>
          <w:rFonts w:ascii="Times New Roman" w:cs="Times New Roman" w:eastAsia="Times New Roman" w:hAnsi="Times New Roman"/>
          <w:sz w:val="14"/>
          <w:szCs w:val="14"/>
          <w:color w:val="auto"/>
        </w:rPr>
        <w:t>. Beginning with the 2024 calendar year and for each calendar year thereafter during which you are employed by the Company, you will be eligible to receive, in the sole discretion of the Board, an annual performance bonus based on your performance and Seaport’s performance against annually established goals and objectives (as determined by the Board or a committee thereof), with the bonus targeted at 35% of your Base Salary for achievement of “target” goals and objectives. For avoidance of doubt, you will be eligible to receive the full (i.e., not pro-rated) annual bonus amount for calendar year 2024. No annual bonus will be paid if, on or before the payment date, (i) you have given Seaport notice of your intention to terminate your employment with Seaport other than for Good Reason (as defined below) or (ii) you are no longer employed by the Company. Any performance bonus is entirely discretionary in nature. Any performance bonus with respect to a calendar year shall be paid between January 1 and March 15 of the immediately following calendar year.</w:t>
      </w:r>
    </w:p>
    <w:p>
      <w:pPr>
        <w:spacing w:after="0" w:line="145" w:lineRule="exact"/>
        <w:rPr>
          <w:rFonts w:ascii="Times New Roman" w:cs="Times New Roman" w:eastAsia="Times New Roman" w:hAnsi="Times New Roman"/>
          <w:sz w:val="14"/>
          <w:szCs w:val="14"/>
          <w:color w:val="auto"/>
        </w:rPr>
      </w:pPr>
    </w:p>
    <w:p>
      <w:pPr>
        <w:ind w:left="220" w:right="419" w:firstLine="767"/>
        <w:spacing w:after="0" w:line="277" w:lineRule="auto"/>
        <w:tabs>
          <w:tab w:leader="none" w:pos="1155" w:val="left"/>
        </w:tabs>
        <w:numPr>
          <w:ilvl w:val="2"/>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Equity</w:t>
      </w:r>
      <w:r>
        <w:rPr>
          <w:rFonts w:ascii="Times New Roman" w:cs="Times New Roman" w:eastAsia="Times New Roman" w:hAnsi="Times New Roman"/>
          <w:sz w:val="13"/>
          <w:szCs w:val="13"/>
          <w:color w:val="auto"/>
        </w:rPr>
        <w:t>. Subject to Board approval, Seaport shall grant to you under the Company’s 2024 Equity Incentive Plan (the “</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stock options to purchase a total of 1,258,222 shares of the Company’s common stock (the “</w:t>
      </w:r>
      <w:r>
        <w:rPr>
          <w:rFonts w:ascii="Times New Roman" w:cs="Times New Roman" w:eastAsia="Times New Roman" w:hAnsi="Times New Roman"/>
          <w:sz w:val="13"/>
          <w:szCs w:val="13"/>
          <w:u w:val="single" w:color="auto"/>
          <w:color w:val="auto"/>
        </w:rPr>
        <w:t>Options</w:t>
      </w:r>
      <w:r>
        <w:rPr>
          <w:rFonts w:ascii="Times New Roman" w:cs="Times New Roman" w:eastAsia="Times New Roman" w:hAnsi="Times New Roman"/>
          <w:sz w:val="13"/>
          <w:szCs w:val="13"/>
          <w:color w:val="auto"/>
        </w:rPr>
        <w:t>”). The Options shall vest and become exercisable as to 25% of the underlying shares on April 9, 2025 and with respect to the balance of the underlying shares in equal monthly installments over thirty six</w:t>
      </w:r>
    </w:p>
    <w:p>
      <w:pPr>
        <w:spacing w:after="0" w:line="1" w:lineRule="exact"/>
        <w:rPr>
          <w:rFonts w:ascii="Times New Roman" w:cs="Times New Roman" w:eastAsia="Times New Roman" w:hAnsi="Times New Roman"/>
          <w:sz w:val="13"/>
          <w:szCs w:val="13"/>
          <w:color w:val="auto"/>
        </w:rPr>
      </w:pPr>
    </w:p>
    <w:p>
      <w:pPr>
        <w:ind w:left="220" w:right="379" w:hanging="5"/>
        <w:spacing w:after="0" w:line="300" w:lineRule="auto"/>
        <w:tabs>
          <w:tab w:leader="none" w:pos="488" w:val="left"/>
        </w:tabs>
        <w:numPr>
          <w:ilvl w:val="0"/>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thereafter, shall have an exercise price equal to the fair market value of Seaport’s common stock on the date of grant as determined by the Board and shall be subject to the provisions set forth in the Plan and Seaport’s Form of Stock Option Agreement to which you will become a party.</w:t>
      </w:r>
    </w:p>
    <w:p>
      <w:pPr>
        <w:spacing w:after="0" w:line="116" w:lineRule="exact"/>
        <w:rPr>
          <w:rFonts w:ascii="Times New Roman" w:cs="Times New Roman" w:eastAsia="Times New Roman" w:hAnsi="Times New Roman"/>
          <w:sz w:val="13"/>
          <w:szCs w:val="13"/>
          <w:color w:val="auto"/>
        </w:rPr>
      </w:pPr>
    </w:p>
    <w:p>
      <w:pPr>
        <w:jc w:val="both"/>
        <w:ind w:left="220" w:right="399" w:firstLine="338"/>
        <w:spacing w:after="0" w:line="261" w:lineRule="auto"/>
        <w:tabs>
          <w:tab w:leader="none" w:pos="703"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 Reimbursement</w:t>
      </w:r>
      <w:r>
        <w:rPr>
          <w:rFonts w:ascii="Times New Roman" w:cs="Times New Roman" w:eastAsia="Times New Roman" w:hAnsi="Times New Roman"/>
          <w:sz w:val="14"/>
          <w:szCs w:val="14"/>
          <w:color w:val="auto"/>
        </w:rPr>
        <w:t>. In accordance with the Company’s policies and procedures, you will be entitled to reimbursement of all reasonable and properly documented expenses incurred by you in the performance of your duties that are approved by Seaport. The Company will reimburse you for up to $5,000 of reasonable legal fees incurred in the negotiation and drafting of this letter agreement following your submission of reasonable documentation evidencing such fees.</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57" w:lineRule="auto"/>
        <w:tabs>
          <w:tab w:leader="none" w:pos="703"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w:t>
      </w:r>
      <w:r>
        <w:rPr>
          <w:rFonts w:ascii="Times New Roman" w:cs="Times New Roman" w:eastAsia="Times New Roman" w:hAnsi="Times New Roman"/>
          <w:sz w:val="14"/>
          <w:szCs w:val="14"/>
          <w:color w:val="auto"/>
        </w:rPr>
        <w:t>. During your employment with the Company, you will be entitled to the benefits of such group medical, dental, disability and retirement benefits, if any, as the Company or its designee, which at the Start Date may be PureTech, shall make generally available from time to time to similarly situated employees providing services to Seaport (the “</w:t>
      </w:r>
      <w:r>
        <w:rPr>
          <w:rFonts w:ascii="Times New Roman" w:cs="Times New Roman" w:eastAsia="Times New Roman" w:hAnsi="Times New Roman"/>
          <w:sz w:val="14"/>
          <w:szCs w:val="14"/>
          <w:u w:val="single" w:color="auto"/>
          <w:color w:val="auto"/>
        </w:rPr>
        <w:t>Benefits</w:t>
      </w:r>
      <w:r>
        <w:rPr>
          <w:rFonts w:ascii="Times New Roman" w:cs="Times New Roman" w:eastAsia="Times New Roman" w:hAnsi="Times New Roman"/>
          <w:sz w:val="14"/>
          <w:szCs w:val="14"/>
          <w:color w:val="auto"/>
        </w:rPr>
        <w:t>”), provided you are eligible under (and subject to all provisions of) the plan documents governing those programs. The Benefits made available to you, and the rules, terms and conditions for participation in such benefit plans, may be changed at any time without advance notice in the discretion of the Company, subject to applicable law and only to the extent such changes are generally applicable to similarly situated employees.</w:t>
      </w:r>
    </w:p>
    <w:p>
      <w:pPr>
        <w:spacing w:after="0" w:line="90"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0" w:right="1440" w:bottom="1440" w:gutter="0" w:footer="0" w:header="0"/>
        </w:sectPr>
      </w:pPr>
    </w:p>
    <w:bookmarkStart w:id="466" w:name="page467"/>
    <w:bookmarkEnd w:id="466"/>
    <w:p>
      <w:pPr>
        <w:jc w:val="both"/>
        <w:ind w:left="220" w:right="239" w:firstLine="338"/>
        <w:spacing w:after="0" w:line="261" w:lineRule="auto"/>
        <w:tabs>
          <w:tab w:leader="none" w:pos="703"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Vacation</w:t>
      </w:r>
      <w:r>
        <w:rPr>
          <w:rFonts w:ascii="Times New Roman" w:cs="Times New Roman" w:eastAsia="Times New Roman" w:hAnsi="Times New Roman"/>
          <w:sz w:val="14"/>
          <w:szCs w:val="14"/>
          <w:color w:val="auto"/>
        </w:rPr>
        <w:t>. In addition to holidays on which the Company’s offices are closed, you will be entitled to twenty (20) days paid vacation or sick leave each calendar year during your employment, accruing ratably each month. For calendar year 2024, you will be deemed to have begun accruing vacation days on January 1, 2024. A maximum of five (5) days of unused vacation may be carried forward from year to year; provided that in no event may any vacation days be carried forward for more than one year.</w:t>
      </w:r>
    </w:p>
    <w:p>
      <w:pPr>
        <w:spacing w:after="0" w:line="140"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39" w:firstLine="767"/>
        <w:spacing w:after="0" w:line="255" w:lineRule="auto"/>
        <w:tabs>
          <w:tab w:leader="none" w:pos="1163"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Upon Termination of Employment; Final Pay</w:t>
      </w:r>
      <w:r>
        <w:rPr>
          <w:rFonts w:ascii="Times New Roman" w:cs="Times New Roman" w:eastAsia="Times New Roman" w:hAnsi="Times New Roman"/>
          <w:sz w:val="14"/>
          <w:szCs w:val="14"/>
          <w:color w:val="auto"/>
        </w:rPr>
        <w:t>. You shall provide the Company with sixty (60) days prior written notice of any election by you to terminate your employment with the Company other in the case of a termination for Good Reason for which you shall be required to comply with the Good Reason Process as defined below; provided, however, that the Company may, in its sole discretion, require that you cease reporting to and/or performing work, and/or may disable your access to any Company systems, during such notice period, in which case the Company will continue to pay your Base Salary and provide you with the Benefits as if you were actively employed during such notice period. In the event your employment with the Company terminates for any reason, the Company shall reimburse you for any reimbursable expenses you incur through the date of termination, and provide you with all amounts, equity awards or benefits due to you through the date of termination under this Agreement or under applicable law, including any Base Salary or vacation days accrued but unpaid as of the date of termination (the “</w:t>
      </w:r>
      <w:r>
        <w:rPr>
          <w:rFonts w:ascii="Times New Roman" w:cs="Times New Roman" w:eastAsia="Times New Roman" w:hAnsi="Times New Roman"/>
          <w:sz w:val="14"/>
          <w:szCs w:val="14"/>
          <w:u w:val="single" w:color="auto"/>
          <w:color w:val="auto"/>
        </w:rPr>
        <w:t>Accrued Benefits</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220" w:right="219" w:firstLine="767"/>
        <w:spacing w:after="0" w:line="256" w:lineRule="auto"/>
        <w:tabs>
          <w:tab w:leader="none" w:pos="1155"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Severance Benefits Following a Non-Change in Control Qualifying Termination</w:t>
      </w:r>
      <w:r>
        <w:rPr>
          <w:rFonts w:ascii="Times New Roman" w:cs="Times New Roman" w:eastAsia="Times New Roman" w:hAnsi="Times New Roman"/>
          <w:sz w:val="14"/>
          <w:szCs w:val="14"/>
          <w:color w:val="auto"/>
        </w:rPr>
        <w:t>. In addition to the Accrued Benefits, if your employment is terminated by the Company without Cause (as defined below) or by you with Good Reason (as defined below) (each, a “</w:t>
      </w:r>
      <w:r>
        <w:rPr>
          <w:rFonts w:ascii="Times New Roman" w:cs="Times New Roman" w:eastAsia="Times New Roman" w:hAnsi="Times New Roman"/>
          <w:sz w:val="14"/>
          <w:szCs w:val="14"/>
          <w:u w:val="single" w:color="auto"/>
          <w:color w:val="auto"/>
        </w:rPr>
        <w:t>Qualifying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prior to, or more than twelve (12) months following, a Change in Control (as defined below), and contingent upon your execution and delivery to the Company within thirty (30) days of such termination (or such shorter period as may be directed by the Company) of a general release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reasonably satisfactory to the Company releasing Seaport, its officers, agents, stockholders and any affiliates of Seaport from any and all liability for any matter other than your rights to indemnity as an officer of the Company or the Accrued Benefits, and such Release becoming effective no later than seven days after your execution thereof (the “</w:t>
      </w:r>
      <w:r>
        <w:rPr>
          <w:rFonts w:ascii="Times New Roman" w:cs="Times New Roman" w:eastAsia="Times New Roman" w:hAnsi="Times New Roman"/>
          <w:sz w:val="14"/>
          <w:szCs w:val="14"/>
          <w:u w:val="single" w:color="auto"/>
          <w:color w:val="auto"/>
        </w:rPr>
        <w:t>Release Condition</w:t>
      </w:r>
      <w:r>
        <w:rPr>
          <w:rFonts w:ascii="Times New Roman" w:cs="Times New Roman" w:eastAsia="Times New Roman" w:hAnsi="Times New Roman"/>
          <w:sz w:val="14"/>
          <w:szCs w:val="14"/>
          <w:color w:val="auto"/>
        </w:rPr>
        <w:t>”), you shall receive the following severance payments and benefits:</w:t>
      </w:r>
    </w:p>
    <w:p>
      <w:pPr>
        <w:spacing w:after="0" w:line="59" w:lineRule="exact"/>
        <w:rPr>
          <w:rFonts w:ascii="Times New Roman" w:cs="Times New Roman" w:eastAsia="Times New Roman" w:hAnsi="Times New Roman"/>
          <w:sz w:val="14"/>
          <w:szCs w:val="14"/>
          <w:color w:val="auto"/>
        </w:rPr>
      </w:pPr>
    </w:p>
    <w:p>
      <w:pPr>
        <w:ind w:left="220" w:right="239" w:firstLine="1110"/>
        <w:spacing w:after="0" w:line="261" w:lineRule="auto"/>
        <w:tabs>
          <w:tab w:leader="none" w:pos="1502" w:val="left"/>
        </w:tabs>
        <w:numPr>
          <w:ilvl w:val="2"/>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continue to pay to you for a period of six (6) months (the “</w:t>
      </w:r>
      <w:r>
        <w:rPr>
          <w:rFonts w:ascii="Times New Roman" w:cs="Times New Roman" w:eastAsia="Times New Roman" w:hAnsi="Times New Roman"/>
          <w:sz w:val="14"/>
          <w:szCs w:val="14"/>
          <w:u w:val="single" w:color="auto"/>
          <w:color w:val="auto"/>
        </w:rPr>
        <w:t>Non-CIC Severance Period</w:t>
      </w:r>
      <w:r>
        <w:rPr>
          <w:rFonts w:ascii="Times New Roman" w:cs="Times New Roman" w:eastAsia="Times New Roman" w:hAnsi="Times New Roman"/>
          <w:sz w:val="14"/>
          <w:szCs w:val="14"/>
          <w:color w:val="auto"/>
        </w:rPr>
        <w:t>”) your Base Salary then in effect consistent with the Company’s normal payroll schedule, with such first payment thereof payable on the first regular payroll date of the Company that is at least seven days after the effective date of the Release (with such first installment including any installment payments that would have otherwise been made prior to such date).</w:t>
      </w:r>
    </w:p>
    <w:p>
      <w:pPr>
        <w:spacing w:after="0" w:line="8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1" w:right="1440" w:bottom="1440" w:gutter="0" w:footer="0" w:header="0"/>
        </w:sectPr>
      </w:pPr>
    </w:p>
    <w:bookmarkStart w:id="467" w:name="page468"/>
    <w:bookmarkEnd w:id="467"/>
    <w:p>
      <w:pPr>
        <w:ind w:left="220" w:right="279" w:firstLine="1110"/>
        <w:spacing w:after="0" w:line="255" w:lineRule="auto"/>
        <w:tabs>
          <w:tab w:leader="none" w:pos="1541"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provided you are eligible for and timely elect to continue receiving group medical insurance pursuant to the “COBRA” law, the Company shall continue to pay the share of the premium for health coverage that is paid by the Company for active and similarly-situated employees who receive the same type of coverage until the earlier of (i) the last day of the Non-CIC Severance Period, or (ii) the date on which you become eligible for healthcare insurance with a subsequent employer. Notwithstanding the foregoing, if the Company determines, in its sole discretion, that it cannot pay such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for the remainder of the Non-CIC Severance Period.</w:t>
      </w:r>
    </w:p>
    <w:p>
      <w:pPr>
        <w:spacing w:after="0" w:line="145" w:lineRule="exact"/>
        <w:rPr>
          <w:rFonts w:ascii="Times New Roman" w:cs="Times New Roman" w:eastAsia="Times New Roman" w:hAnsi="Times New Roman"/>
          <w:sz w:val="14"/>
          <w:szCs w:val="14"/>
          <w:color w:val="auto"/>
        </w:rPr>
      </w:pPr>
    </w:p>
    <w:p>
      <w:pPr>
        <w:ind w:left="220" w:right="259" w:firstLine="1110"/>
        <w:spacing w:after="0" w:line="267" w:lineRule="auto"/>
        <w:tabs>
          <w:tab w:leader="none" w:pos="1580"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Qualifying Termination precedes April 9, 2025, the vesting of the Options shall be accelerated such that as of the effective date of the Release you will vest in such number of shares that would have vested on April 9, 2025 had you remained employed by the Company on such date.</w:t>
      </w:r>
    </w:p>
    <w:p>
      <w:pPr>
        <w:spacing w:after="0" w:line="135" w:lineRule="exact"/>
        <w:rPr>
          <w:rFonts w:ascii="Times New Roman" w:cs="Times New Roman" w:eastAsia="Times New Roman" w:hAnsi="Times New Roman"/>
          <w:sz w:val="14"/>
          <w:szCs w:val="14"/>
          <w:color w:val="auto"/>
        </w:rPr>
      </w:pPr>
    </w:p>
    <w:p>
      <w:pPr>
        <w:ind w:left="220" w:right="239" w:firstLine="772"/>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Severance Benefits Following a Change in Control Qualifying Termination</w:t>
      </w:r>
      <w:r>
        <w:rPr>
          <w:rFonts w:ascii="Times New Roman" w:cs="Times New Roman" w:eastAsia="Times New Roman" w:hAnsi="Times New Roman"/>
          <w:sz w:val="14"/>
          <w:szCs w:val="14"/>
          <w:color w:val="auto"/>
        </w:rPr>
        <w:t>. In addition to the Accrued Benefits, if a Qualifying Termination occurs on or within twelve (12) months following a Change in Control, and contingent upon your satisfaction of the Release Condition, you shall receive the following severance payments and benefits:</w:t>
      </w:r>
    </w:p>
    <w:p>
      <w:pPr>
        <w:spacing w:after="0" w:line="51" w:lineRule="exact"/>
        <w:rPr>
          <w:rFonts w:ascii="Times New Roman" w:cs="Times New Roman" w:eastAsia="Times New Roman" w:hAnsi="Times New Roman"/>
          <w:sz w:val="14"/>
          <w:szCs w:val="14"/>
          <w:color w:val="auto"/>
        </w:rPr>
      </w:pPr>
    </w:p>
    <w:p>
      <w:pPr>
        <w:jc w:val="both"/>
        <w:ind w:left="220" w:right="459" w:firstLine="1110"/>
        <w:spacing w:after="0" w:line="261" w:lineRule="auto"/>
        <w:tabs>
          <w:tab w:leader="none" w:pos="1502"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continue to pay to you, for a period of twelve (12) months (the “</w:t>
      </w:r>
      <w:r>
        <w:rPr>
          <w:rFonts w:ascii="Times New Roman" w:cs="Times New Roman" w:eastAsia="Times New Roman" w:hAnsi="Times New Roman"/>
          <w:sz w:val="14"/>
          <w:szCs w:val="14"/>
          <w:u w:val="single" w:color="auto"/>
          <w:color w:val="auto"/>
        </w:rPr>
        <w:t>CIC Severance Period</w:t>
      </w:r>
      <w:r>
        <w:rPr>
          <w:rFonts w:ascii="Times New Roman" w:cs="Times New Roman" w:eastAsia="Times New Roman" w:hAnsi="Times New Roman"/>
          <w:sz w:val="14"/>
          <w:szCs w:val="14"/>
          <w:color w:val="auto"/>
        </w:rPr>
        <w:t>”), your Base Salary then in effect, consistent with the Company’s normal payroll schedule, with such first payment thereof payable on the first regular payroll date of the Company that is at least seven days after the effective date of the Release (with such first installment including any installment payments that would have otherwise been made prior to such date).</w:t>
      </w:r>
    </w:p>
    <w:p>
      <w:pPr>
        <w:spacing w:after="0" w:line="140" w:lineRule="exact"/>
        <w:rPr>
          <w:rFonts w:ascii="Times New Roman" w:cs="Times New Roman" w:eastAsia="Times New Roman" w:hAnsi="Times New Roman"/>
          <w:sz w:val="14"/>
          <w:szCs w:val="14"/>
          <w:color w:val="auto"/>
        </w:rPr>
      </w:pPr>
    </w:p>
    <w:p>
      <w:pPr>
        <w:ind w:left="220" w:right="319" w:firstLine="1110"/>
        <w:spacing w:after="0" w:line="255" w:lineRule="auto"/>
        <w:tabs>
          <w:tab w:leader="none" w:pos="1541"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you are eligible for and timely elect to continue receiving group medical insurance pursuant to the “COBRA” law, the Company shall continue to pay the share of the premium for health coverage that is paid by the Company for active and similarly-situated employees who receive the same type of coverage until the earlier of (i) the last day of the CIC Severance Period, or (ii) the date on which you become eligible for healthcare insurance with a subsequent employer. Notwithstanding the foregoing, if the Company determines, in its sole discretion, that it cannot pay such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for the remainder of the CIC Severance Period.</w:t>
      </w:r>
    </w:p>
    <w:p>
      <w:pPr>
        <w:spacing w:after="0" w:line="145" w:lineRule="exact"/>
        <w:rPr>
          <w:rFonts w:ascii="Times New Roman" w:cs="Times New Roman" w:eastAsia="Times New Roman" w:hAnsi="Times New Roman"/>
          <w:sz w:val="14"/>
          <w:szCs w:val="14"/>
          <w:color w:val="auto"/>
        </w:rPr>
      </w:pPr>
    </w:p>
    <w:p>
      <w:pPr>
        <w:ind w:left="1580" w:hanging="250"/>
        <w:spacing w:after="0"/>
        <w:tabs>
          <w:tab w:leader="none" w:pos="1580"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of the Options shall be accelerated, such that such Options shall vest in full and become fully exercisable or</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non-forfeitable as of the effective date of the Release.</w:t>
      </w:r>
    </w:p>
    <w:p>
      <w:pPr>
        <w:spacing w:after="0" w:line="161" w:lineRule="exact"/>
        <w:rPr>
          <w:sz w:val="20"/>
          <w:szCs w:val="20"/>
          <w:color w:val="auto"/>
        </w:rPr>
      </w:pPr>
    </w:p>
    <w:p>
      <w:pPr>
        <w:ind w:left="1160" w:hanging="173"/>
        <w:spacing w:after="0"/>
        <w:tabs>
          <w:tab w:leader="none" w:pos="116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For purposes hereof, “</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mean the good faith determination of the Board that any one or more of the following events has occurred to or by you: (i) conviction of any felony, (ii) deliberate neglect of, willful misconduct in connection with the performance of, or refusal to perform duties reasonably assigned to you pursuant to the terms hereof after being notified in writing of the conduct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40" w:right="1440" w:bottom="1440" w:gutter="0" w:footer="0" w:header="0"/>
        </w:sectPr>
      </w:pPr>
    </w:p>
    <w:bookmarkStart w:id="468" w:name="page469"/>
    <w:bookmarkEnd w:id="468"/>
    <w:p>
      <w:pPr>
        <w:ind w:left="220" w:right="2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and having thirty (30) days after your receipt of such written notice to cure such conduct (if such conduct is curable), (iii) breach of any of the provisions of this letter agreement in any material respect or of the Related Agreements (as defined below) after being notified in writing of the breach and having thirty (30) days after your receipt of such written notice to cure such breach (if such breach is curable) or (iv) any fraudulent or grossly negligent conduct, action in bad faith, or willful misconduct that is materially detrimental to the reputation, goodwill or best interests of Seaport.</w:t>
      </w:r>
    </w:p>
    <w:p>
      <w:pPr>
        <w:spacing w:after="0" w:line="141" w:lineRule="exact"/>
        <w:rPr>
          <w:sz w:val="20"/>
          <w:szCs w:val="20"/>
          <w:color w:val="auto"/>
        </w:rPr>
      </w:pPr>
    </w:p>
    <w:p>
      <w:pPr>
        <w:ind w:left="220" w:right="219" w:firstLine="343"/>
        <w:spacing w:after="0" w:line="253" w:lineRule="auto"/>
        <w:rPr>
          <w:sz w:val="20"/>
          <w:szCs w:val="20"/>
          <w:color w:val="auto"/>
        </w:rPr>
      </w:pPr>
      <w:r>
        <w:rPr>
          <w:rFonts w:ascii="Times New Roman" w:cs="Times New Roman" w:eastAsia="Times New Roman" w:hAnsi="Times New Roman"/>
          <w:sz w:val="14"/>
          <w:szCs w:val="14"/>
          <w:color w:val="auto"/>
        </w:rPr>
        <w:t>For purposes hereof, “</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shall mean one of the following conditions after Good Reason Process (as defined below): (i) a breach of this letter agreement by the Company in any material respect, (ii) a material adverse change in your duties, authority and responsibilities, including but not limited to a material adverse change in your reporting relationships, (iii) a relocation of your principal place of employment that increases your one-way commute by more than thirty-five (35) miles; or (iv) a material reduction in your Base Salary or material reduction in bonus opportunity. “</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Process</w:t>
      </w:r>
      <w:r>
        <w:rPr>
          <w:rFonts w:ascii="Times New Roman" w:cs="Times New Roman" w:eastAsia="Times New Roman" w:hAnsi="Times New Roman"/>
          <w:sz w:val="14"/>
          <w:szCs w:val="14"/>
          <w:color w:val="auto"/>
        </w:rPr>
        <w:t>” means that: (a) you have reasonably determined in good faith that a “</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condition has occurred, (b) within ninety (90) days of becoming aware of the first occurrence of such condition, you have notified the Company in writing of the first occurrence of the Good Reason condition and your right to terminate your employment for Good Reason if such condition is not cured, (c) you have cooperated in good faith with the Company’s efforts, for a period of thirty (30) days following such notice (the “</w:t>
      </w:r>
      <w:r>
        <w:rPr>
          <w:rFonts w:ascii="Times New Roman" w:cs="Times New Roman" w:eastAsia="Times New Roman" w:hAnsi="Times New Roman"/>
          <w:sz w:val="14"/>
          <w:szCs w:val="14"/>
          <w:u w:val="single" w:color="auto"/>
          <w:color w:val="auto"/>
        </w:rPr>
        <w:t>Cure Period</w:t>
      </w:r>
      <w:r>
        <w:rPr>
          <w:rFonts w:ascii="Times New Roman" w:cs="Times New Roman" w:eastAsia="Times New Roman" w:hAnsi="Times New Roman"/>
          <w:sz w:val="14"/>
          <w:szCs w:val="14"/>
          <w:color w:val="auto"/>
        </w:rPr>
        <w:t>”), to remedy the condition (to the extent capable of being cured or remedied), (d) notwithstanding such efforts, the Good Reason condition continues to exist, and (e) you terminate your employment within sixty</w:t>
      </w:r>
    </w:p>
    <w:p>
      <w:pPr>
        <w:spacing w:after="0" w:line="1" w:lineRule="exact"/>
        <w:rPr>
          <w:sz w:val="20"/>
          <w:szCs w:val="20"/>
          <w:color w:val="auto"/>
        </w:rPr>
      </w:pPr>
    </w:p>
    <w:p>
      <w:pPr>
        <w:ind w:left="220" w:right="299" w:hanging="5"/>
        <w:spacing w:after="0" w:line="254" w:lineRule="auto"/>
        <w:tabs>
          <w:tab w:leader="none" w:pos="488"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end of the Cure Period (or, if no Cure Period applies, the date on which you gave notice to the Company of the occurrence of such Good Reason) by providing written notice to the Company of the termination of your employment during such sixty (60) day period, which termination shall be effective upon the date specified in your notice of termination. If the Company cures the Good Reason condition during the Cure Period (if applicable), Good Reason shall be deemed not to have occurred.</w:t>
      </w:r>
    </w:p>
    <w:p>
      <w:pPr>
        <w:spacing w:after="0" w:line="145"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For purposes hereof,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shall mean (i)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 or (ii) 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however that the issuance and sale of securities of the Company for bona fide financing purposes shall not constitute a Change in Control. Notwithstanding the foregoing, if a Change in Control would give rise to a payment or settlement event hereunder that constitutes “nonqualified deferred compensation,” the transaction or event constituting the Change in Control must also constitute a “change in control event” (as defined in Treasury Regulation §1.409A-3(i)(5)) in order to give rise to such payment or settlement event, to the extent required by Section 409A.</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41" w:right="1440" w:bottom="1440" w:gutter="0" w:footer="0" w:header="0"/>
        </w:sectPr>
      </w:pPr>
    </w:p>
    <w:bookmarkStart w:id="469" w:name="page470"/>
    <w:bookmarkEnd w:id="469"/>
    <w:p>
      <w:pPr>
        <w:ind w:left="220" w:right="239" w:firstLine="772"/>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E. </w:t>
      </w:r>
      <w:r>
        <w:rPr>
          <w:rFonts w:ascii="Times New Roman" w:cs="Times New Roman" w:eastAsia="Times New Roman" w:hAnsi="Times New Roman"/>
          <w:sz w:val="14"/>
          <w:szCs w:val="14"/>
          <w:u w:val="single" w:color="auto"/>
          <w:color w:val="auto"/>
        </w:rPr>
        <w:t>Termination Due to Death or Disability</w:t>
      </w:r>
      <w:r>
        <w:rPr>
          <w:rFonts w:ascii="Times New Roman" w:cs="Times New Roman" w:eastAsia="Times New Roman" w:hAnsi="Times New Roman"/>
          <w:sz w:val="14"/>
          <w:szCs w:val="14"/>
          <w:color w:val="auto"/>
        </w:rPr>
        <w:t>. In the event of your death or permanent disability (as defined below) while you are employed by the Company, your employment hereunder shall immediately and automatically terminate and the Company shall provide to you or your personal representative or designated beneficiary or, if no beneficiary has been designated by you, to your estate, the Accrued Benefits. For purposes of this letter agreement, “permanent disability” shall mean your inability, due to physical or mental illness or disease, to perform the functions then performed by you for one hundred eighty (180) consecutive days, accompanied by the likelihood, in the opinion of a physician chosen by the Company and reasonably acceptable to you, that you will be unable to perform such functions within the reasonably foreseeable future; provided that the foregoing definition shall not include a disability for which the Company is required to provide reasonable accommodation pursuant to the Americans with Disabilities Act or other similar statute or regulation.</w:t>
      </w:r>
    </w:p>
    <w:p>
      <w:pPr>
        <w:spacing w:after="0" w:line="145"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Except as set forth in this Section 6, nothing in this letter agreement shall be construed as an agreement, either express or implied, to pay you any compensation or grant you any benefit beyond the end of your employment with the Company. Unless otherwise determined by the Board, upon termination of your employment with the Company for any reason, you shall be deemed to have resigned from all offices and directorships, if any, then held with the Company or any of its subsidiaries, as of the date of termination.</w:t>
      </w:r>
    </w:p>
    <w:p>
      <w:pPr>
        <w:spacing w:after="0" w:line="141" w:lineRule="exact"/>
        <w:rPr>
          <w:sz w:val="20"/>
          <w:szCs w:val="20"/>
          <w:color w:val="auto"/>
        </w:rPr>
      </w:pPr>
    </w:p>
    <w:p>
      <w:pPr>
        <w:ind w:left="220" w:right="419" w:firstLine="338"/>
        <w:spacing w:after="0" w:line="283" w:lineRule="auto"/>
        <w:tabs>
          <w:tab w:leader="none" w:pos="703"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Related Agreements</w:t>
      </w:r>
      <w:r>
        <w:rPr>
          <w:rFonts w:ascii="Times New Roman" w:cs="Times New Roman" w:eastAsia="Times New Roman" w:hAnsi="Times New Roman"/>
          <w:sz w:val="14"/>
          <w:szCs w:val="14"/>
          <w:color w:val="auto"/>
        </w:rPr>
        <w:t>. As a condition of your employment with the Company, you are required to execute on the date hereof a Nonsolicitation Agreement and an Invention and Non-Disclosure Agreement (the “</w:t>
      </w:r>
      <w:r>
        <w:rPr>
          <w:rFonts w:ascii="Times New Roman" w:cs="Times New Roman" w:eastAsia="Times New Roman" w:hAnsi="Times New Roman"/>
          <w:sz w:val="14"/>
          <w:szCs w:val="14"/>
          <w:u w:val="single" w:color="auto"/>
          <w:color w:val="auto"/>
        </w:rPr>
        <w:t>Related Agreements</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220" w:right="279" w:firstLine="338"/>
        <w:spacing w:after="0" w:line="258" w:lineRule="auto"/>
        <w:tabs>
          <w:tab w:leader="none" w:pos="703"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w:t>
      </w:r>
      <w:r>
        <w:rPr>
          <w:rFonts w:ascii="Times New Roman" w:cs="Times New Roman" w:eastAsia="Times New Roman" w:hAnsi="Times New Roman"/>
          <w:sz w:val="14"/>
          <w:szCs w:val="14"/>
          <w:color w:val="auto"/>
        </w:rPr>
        <w:t>. Notwithstanding any other provisions in this Agreement to the contrary, any incentive-based compensation, or any other compensation or benefits paid to you pursuant to this letter agreement or any other agreement or arrangement with the Company which is required to be recovered under any applicable law, government regulation, stock exchange listing requirement or Company policy to which you are subject, will be subject to such deductions and clawback as may be required to be made pursuant to such law, government regulation or stock exchange listing requirement or Company policy.</w:t>
      </w:r>
    </w:p>
    <w:p>
      <w:pPr>
        <w:spacing w:after="0" w:line="143" w:lineRule="exact"/>
        <w:rPr>
          <w:rFonts w:ascii="Times New Roman" w:cs="Times New Roman" w:eastAsia="Times New Roman" w:hAnsi="Times New Roman"/>
          <w:sz w:val="14"/>
          <w:szCs w:val="14"/>
          <w:color w:val="auto"/>
        </w:rPr>
      </w:pPr>
    </w:p>
    <w:p>
      <w:pPr>
        <w:ind w:left="220" w:right="499" w:firstLine="338"/>
        <w:spacing w:after="0" w:line="296" w:lineRule="auto"/>
        <w:tabs>
          <w:tab w:leader="none" w:pos="703" w:val="left"/>
        </w:tabs>
        <w:numPr>
          <w:ilvl w:val="0"/>
          <w:numId w:val="3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You hereby represent that, except as disclosed to the Company prior to your Start Date, you are not subject to any agreement, understanding or other duty that would restrict or hinder the performance of your duties as an employee of the Company providing services to the Company, including, but not limited to any noncompetition, nonsolicitation of employee or nonsolicitation of customer agreement or understanding.</w:t>
      </w:r>
    </w:p>
    <w:p>
      <w:pPr>
        <w:spacing w:after="0" w:line="119" w:lineRule="exact"/>
        <w:rPr>
          <w:rFonts w:ascii="Times New Roman" w:cs="Times New Roman" w:eastAsia="Times New Roman" w:hAnsi="Times New Roman"/>
          <w:sz w:val="13"/>
          <w:szCs w:val="13"/>
          <w:color w:val="auto"/>
        </w:rPr>
      </w:pPr>
    </w:p>
    <w:p>
      <w:pPr>
        <w:ind w:left="220" w:right="279" w:firstLine="338"/>
        <w:spacing w:after="0" w:line="275" w:lineRule="auto"/>
        <w:tabs>
          <w:tab w:leader="none" w:pos="773" w:val="left"/>
        </w:tabs>
        <w:numPr>
          <w:ilvl w:val="0"/>
          <w:numId w:val="3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409A Matters</w:t>
      </w:r>
      <w:r>
        <w:rPr>
          <w:rFonts w:ascii="Times New Roman" w:cs="Times New Roman" w:eastAsia="Times New Roman" w:hAnsi="Times New Roman"/>
          <w:sz w:val="13"/>
          <w:szCs w:val="13"/>
          <w:color w:val="auto"/>
        </w:rPr>
        <w:t>. It is intended that all of the severance benefits and other payments payable under this Agreement satisfy, to the greatest extent possible, an exemption from the application of Section 409A of the Code and this Agreement will be construed to the greatest extent possible as consistent with such intent, and to the extent not so exempt, this Agreement (and any definitions hereunder) will be construed in a manner that complies with Section 409A of the Code. For purposes of Section 409A of the Code (including, without limitation, for purposes of Treasury Regulation Section</w:t>
      </w:r>
    </w:p>
    <w:p>
      <w:pPr>
        <w:spacing w:after="0" w:line="2" w:lineRule="exact"/>
        <w:rPr>
          <w:rFonts w:ascii="Times New Roman" w:cs="Times New Roman" w:eastAsia="Times New Roman" w:hAnsi="Times New Roman"/>
          <w:sz w:val="13"/>
          <w:szCs w:val="13"/>
          <w:color w:val="auto"/>
        </w:rPr>
      </w:pPr>
    </w:p>
    <w:p>
      <w:pPr>
        <w:ind w:left="220" w:right="23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1.409A 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To the extent that any payments or benefits under this Agreement are</w:t>
      </w:r>
    </w:p>
    <w:p>
      <w:pPr>
        <w:spacing w:after="0" w:line="90" w:lineRule="exact"/>
        <w:rPr>
          <w:rFonts w:ascii="Times New Roman" w:cs="Times New Roman" w:eastAsia="Times New Roman" w:hAnsi="Times New Roman"/>
          <w:sz w:val="13"/>
          <w:szCs w:val="13"/>
          <w:color w:val="auto"/>
        </w:rPr>
      </w:pPr>
    </w:p>
    <w:p>
      <w:pPr>
        <w:ind w:left="4460" w:hanging="73"/>
        <w:spacing w:after="0"/>
        <w:tabs>
          <w:tab w:leader="none" w:pos="4460"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9019"/>
          </w:cols>
          <w:pgMar w:left="1440" w:top="241" w:right="1440" w:bottom="1440" w:gutter="0" w:footer="0" w:header="0"/>
        </w:sectPr>
      </w:pPr>
    </w:p>
    <w:bookmarkStart w:id="470" w:name="page471"/>
    <w:bookmarkEnd w:id="470"/>
    <w:p>
      <w:pPr>
        <w:ind w:left="220" w:right="2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“non-qualified deferred compensation” subject to Section 409A of the Code and are payable upon your “termination of employment” such payments and benefits shall not be paid or commence to be paid until your “separation from service” (as defined in Treasury Regulation Section 1.409A-1(h)) (“Separation from Service”).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w:t>
      </w:r>
    </w:p>
    <w:p>
      <w:pPr>
        <w:spacing w:after="0" w:line="1" w:lineRule="exact"/>
        <w:rPr>
          <w:sz w:val="20"/>
          <w:szCs w:val="20"/>
          <w:color w:val="auto"/>
        </w:rPr>
      </w:pPr>
    </w:p>
    <w:p>
      <w:pPr>
        <w:ind w:left="220" w:right="239"/>
        <w:spacing w:after="0" w:line="252" w:lineRule="auto"/>
        <w:rPr>
          <w:sz w:val="20"/>
          <w:szCs w:val="20"/>
          <w:color w:val="auto"/>
        </w:rPr>
      </w:pPr>
      <w:r>
        <w:rPr>
          <w:rFonts w:ascii="Times New Roman" w:cs="Times New Roman" w:eastAsia="Times New Roman" w:hAnsi="Times New Roman"/>
          <w:sz w:val="14"/>
          <w:szCs w:val="14"/>
          <w:color w:val="auto"/>
        </w:rPr>
        <w:t>(2)(B)(i) period, all payments deferred pursuant to this Section shall be paid in a lump sum to you, and any remaining payments due shall be paid as otherwise provided herein or in the applicable agreement. No interest shall be due on any amounts so deferred. To the extent that the payments or benefits under this Agreement are “non-qualified deferred compensation” subject to Section 409A of the Code, if the period during which you may deliver the release referenced in Section 6.A., above spans two calendar years, the payment of your severance shall commence on the later of (a) the first day of the second calendar year, or (b) the first regularly-scheduled payroll date that is at least seven days after the Separation Agreement becomes effective.</w:t>
      </w:r>
    </w:p>
    <w:p>
      <w:pPr>
        <w:spacing w:after="0" w:line="149" w:lineRule="exact"/>
        <w:rPr>
          <w:sz w:val="20"/>
          <w:szCs w:val="20"/>
          <w:color w:val="auto"/>
        </w:rPr>
      </w:pPr>
    </w:p>
    <w:p>
      <w:pPr>
        <w:ind w:left="220" w:right="379" w:firstLine="338"/>
        <w:spacing w:after="0" w:line="267" w:lineRule="auto"/>
        <w:tabs>
          <w:tab w:leader="none" w:pos="768"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You will be indemnified by the Company as permitted by Delaware law and set forth in the Company’s Certificate of Incorporation and, as an officer of the Company, shall be covered in the same manner as the Company’s other officers under the Company’s directors’ and officers’ liability insurance as in effect from time to time.</w:t>
      </w:r>
    </w:p>
    <w:p>
      <w:pPr>
        <w:spacing w:after="0" w:line="135" w:lineRule="exact"/>
        <w:rPr>
          <w:rFonts w:ascii="Times New Roman" w:cs="Times New Roman" w:eastAsia="Times New Roman" w:hAnsi="Times New Roman"/>
          <w:sz w:val="14"/>
          <w:szCs w:val="14"/>
          <w:color w:val="auto"/>
        </w:rPr>
      </w:pPr>
    </w:p>
    <w:p>
      <w:pPr>
        <w:ind w:left="220" w:right="219" w:firstLine="338"/>
        <w:spacing w:after="0" w:line="254" w:lineRule="auto"/>
        <w:tabs>
          <w:tab w:leader="none" w:pos="773"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 This letter agreement shall not be construed as an agreement, either expressed or implied, to employ you for any stated term, and shall in no way alter the at will nature of your employment, under which, subject to Section 6, both you and the Company remain free to terminate the employment relationship, with or without Cause, at any time, with or without notice. This letter agreement shall be construed and enforced in accordance with and governed by the laws of the Commonwealth of Massachusetts (without giving effect to any conflicts or choice of laws provisions thereof that would cause the application of the domestic substantive laws of any other jurisdiction). You and the Company each hereby irrevocably waive any right to a trial by jury in any action, suit or other legal proceeding arising under or relating to any provision of this letter agreement. The terms and conditions of your proposed employment with the Company in this letter agreement supersede any and all prior written and verbal discussions or agreements concerning conditions of employment. This letter agreement may be executed in two or more counterparts, each of which shall be deemed an original, and all of which together shall constitute one and the same instrument. Any provision hereof requiring written consent, confirmation, or other similar communication may be satisfied through electronic communication, including the use of electronic signatures for execution of this letter agreement.</w:t>
      </w:r>
    </w:p>
    <w:p>
      <w:pPr>
        <w:spacing w:after="0" w:line="91"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ectPr>
          <w:pgSz w:w="11900" w:h="16838" w:orient="portrait"/>
          <w:cols w:equalWidth="0" w:num="1">
            <w:col w:w="9019"/>
          </w:cols>
          <w:pgMar w:left="1440" w:top="240" w:right="1440" w:bottom="1440" w:gutter="0" w:footer="0" w:header="0"/>
        </w:sectPr>
      </w:pPr>
    </w:p>
    <w:bookmarkStart w:id="471" w:name="page472"/>
    <w:bookmarkEnd w:id="471"/>
    <w:tbl>
      <w:tblPr>
        <w:tblLayout w:type="fixed"/>
        <w:tblInd w:w="220" w:type="dxa"/>
        <w:tblCellMar>
          <w:top w:w="0" w:type="dxa"/>
          <w:left w:w="0" w:type="dxa"/>
          <w:bottom w:w="0" w:type="dxa"/>
          <w:right w:w="0" w:type="dxa"/>
        </w:tblCellMar>
      </w:tblPr>
      <w:tr>
        <w:trPr>
          <w:trHeight w:val="183"/>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Very truly yours,</w:t>
            </w:r>
          </w:p>
        </w:tc>
        <w:tc>
          <w:tcPr>
            <w:tcW w:w="4520" w:type="dxa"/>
            <w:vAlign w:val="bottom"/>
          </w:tcPr>
          <w:p>
            <w:pPr>
              <w:spacing w:after="0"/>
              <w:rPr>
                <w:sz w:val="15"/>
                <w:szCs w:val="15"/>
                <w:color w:val="auto"/>
              </w:rPr>
            </w:pPr>
          </w:p>
        </w:tc>
      </w:tr>
      <w:tr>
        <w:trPr>
          <w:trHeight w:val="252"/>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SEAPORT THERAPEUTICS, INC.</w:t>
            </w: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ACKNOWLEDGED AND AGREED:</w:t>
            </w:r>
          </w:p>
        </w:tc>
      </w:tr>
      <w:tr>
        <w:trPr>
          <w:trHeight w:val="33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 Daphne Zohar</w:t>
            </w:r>
          </w:p>
        </w:tc>
        <w:tc>
          <w:tcPr>
            <w:tcW w:w="4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Michael Chen</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280" w:type="dxa"/>
            <w:vAlign w:val="bottom"/>
            <w:tcBorders>
              <w:top w:val="single" w:sz="8" w:color="auto"/>
            </w:tcBorders>
          </w:tcPr>
          <w:p>
            <w:pPr>
              <w:ind w:left="60"/>
              <w:spacing w:after="0" w:line="144" w:lineRule="exact"/>
              <w:rPr>
                <w:sz w:val="20"/>
                <w:szCs w:val="20"/>
                <w:color w:val="auto"/>
              </w:rPr>
            </w:pPr>
            <w:r>
              <w:rPr>
                <w:rFonts w:ascii="Times New Roman" w:cs="Times New Roman" w:eastAsia="Times New Roman" w:hAnsi="Times New Roman"/>
                <w:sz w:val="14"/>
                <w:szCs w:val="14"/>
                <w:color w:val="auto"/>
              </w:rPr>
              <w:t>Daphne Zohar</w:t>
            </w:r>
          </w:p>
        </w:tc>
        <w:tc>
          <w:tcPr>
            <w:tcW w:w="360" w:type="dxa"/>
            <w:vAlign w:val="bottom"/>
          </w:tcPr>
          <w:p>
            <w:pPr>
              <w:spacing w:after="0"/>
              <w:rPr>
                <w:sz w:val="12"/>
                <w:szCs w:val="12"/>
                <w:color w:val="auto"/>
              </w:rPr>
            </w:pPr>
          </w:p>
        </w:tc>
        <w:tc>
          <w:tcPr>
            <w:tcW w:w="4520" w:type="dxa"/>
            <w:vAlign w:val="bottom"/>
            <w:tcBorders>
              <w:top w:val="single" w:sz="8" w:color="auto"/>
            </w:tcBorders>
          </w:tcPr>
          <w:p>
            <w:pPr>
              <w:ind w:left="40"/>
              <w:spacing w:after="0" w:line="144" w:lineRule="exact"/>
              <w:rPr>
                <w:sz w:val="20"/>
                <w:szCs w:val="20"/>
                <w:color w:val="auto"/>
              </w:rPr>
            </w:pPr>
            <w:r>
              <w:rPr>
                <w:rFonts w:ascii="Times New Roman" w:cs="Times New Roman" w:eastAsia="Times New Roman" w:hAnsi="Times New Roman"/>
                <w:sz w:val="14"/>
                <w:szCs w:val="14"/>
                <w:color w:val="auto"/>
              </w:rPr>
              <w:t>Michael Chen</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Executive Officer</w:t>
            </w:r>
          </w:p>
        </w:tc>
        <w:tc>
          <w:tcPr>
            <w:tcW w:w="4520" w:type="dxa"/>
            <w:vAlign w:val="bottom"/>
          </w:tcPr>
          <w:p>
            <w:pPr>
              <w:spacing w:after="0"/>
              <w:rPr>
                <w:sz w:val="15"/>
                <w:szCs w:val="15"/>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color w:val="auto"/>
        </w:rPr>
        <w:t>[Signature Page to Employment Agreement]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p>
      <w:pPr>
        <w:sectPr>
          <w:pgSz w:w="11900" w:h="16838" w:orient="portrait"/>
          <w:cols w:equalWidth="0" w:num="1">
            <w:col w:w="9019"/>
          </w:cols>
          <w:pgMar w:left="1440" w:top="240" w:right="1440" w:bottom="1440" w:gutter="0" w:footer="0" w:header="0"/>
        </w:sectPr>
      </w:pPr>
    </w:p>
    <w:bookmarkStart w:id="472" w:name="page473"/>
    <w:bookmarkEnd w:id="472"/>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A</w:t>
      </w:r>
    </w:p>
    <w:p>
      <w:pPr>
        <w:spacing w:after="0" w:line="102" w:lineRule="exact"/>
        <w:rPr>
          <w:sz w:val="20"/>
          <w:szCs w:val="20"/>
          <w:color w:val="auto"/>
        </w:rPr>
      </w:pPr>
    </w:p>
    <w:p>
      <w:pPr>
        <w:ind w:left="980" w:right="419" w:hanging="345"/>
        <w:spacing w:after="0" w:line="283" w:lineRule="auto"/>
        <w:tabs>
          <w:tab w:leader="none" w:pos="98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consultation for academic researchers, including but not limited to review of manuscripts, peer review and journal editorial services, or participation on scientific committees for non-profit entities.</w:t>
      </w:r>
    </w:p>
    <w:p>
      <w:pPr>
        <w:spacing w:after="0" w:line="7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ectPr>
          <w:pgSz w:w="11900" w:h="16838" w:orient="portrait"/>
          <w:cols w:equalWidth="0" w:num="1">
            <w:col w:w="9019"/>
          </w:cols>
          <w:pgMar w:left="1440" w:top="240" w:right="1440" w:bottom="1440" w:gutter="0" w:footer="0" w:header="0"/>
        </w:sectPr>
      </w:pPr>
    </w:p>
    <w:bookmarkStart w:id="473" w:name="page474"/>
    <w:bookmarkEnd w:id="47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 Tide Street, Suite 400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Boston, Massachusetts 02210</w:t>
      </w:r>
    </w:p>
    <w:p>
      <w:pPr>
        <w:spacing w:after="0" w:line="7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June 11, 2024</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Antony Loebel</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Tony:</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On behalf of Seaport Therapeutics, Inc. (“</w:t>
      </w:r>
      <w:r>
        <w:rPr>
          <w:rFonts w:ascii="Times New Roman" w:cs="Times New Roman" w:eastAsia="Times New Roman" w:hAnsi="Times New Roman"/>
          <w:sz w:val="14"/>
          <w:szCs w:val="14"/>
          <w:u w:val="single" w:color="auto"/>
          <w:color w:val="auto"/>
        </w:rPr>
        <w:t>Seaport</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 am pleased to set forth the terms of your employment with the Company.</w:t>
      </w:r>
    </w:p>
    <w:p>
      <w:pPr>
        <w:spacing w:after="0" w:line="91" w:lineRule="exact"/>
        <w:rPr>
          <w:sz w:val="20"/>
          <w:szCs w:val="20"/>
          <w:color w:val="auto"/>
        </w:rPr>
      </w:pPr>
    </w:p>
    <w:p>
      <w:pPr>
        <w:ind w:left="220" w:right="259" w:firstLine="338"/>
        <w:spacing w:after="0" w:line="253" w:lineRule="auto"/>
        <w:tabs>
          <w:tab w:leader="none" w:pos="703"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w:t>
      </w:r>
      <w:r>
        <w:rPr>
          <w:rFonts w:ascii="Times New Roman" w:cs="Times New Roman" w:eastAsia="Times New Roman" w:hAnsi="Times New Roman"/>
          <w:sz w:val="14"/>
          <w:szCs w:val="14"/>
          <w:color w:val="auto"/>
        </w:rPr>
        <w:t>. During your employment with the Company, you will serve as Chief Medical Officer and President of Clinical Development of Seaport and report to the Chief Executive Officer of Seaport. You will be employed on an at-will basis, which means that you may resign and the Company may terminate your employment at any time for any reason or for no reason, subject to Section 6 below. You will commence employment in this capacity on July 18, 2024 (the “</w:t>
      </w:r>
      <w:r>
        <w:rPr>
          <w:rFonts w:ascii="Times New Roman" w:cs="Times New Roman" w:eastAsia="Times New Roman" w:hAnsi="Times New Roman"/>
          <w:sz w:val="14"/>
          <w:szCs w:val="14"/>
          <w:u w:val="single" w:color="auto"/>
          <w:color w:val="auto"/>
        </w:rPr>
        <w:t>Start Date</w:t>
      </w:r>
      <w:r>
        <w:rPr>
          <w:rFonts w:ascii="Times New Roman" w:cs="Times New Roman" w:eastAsia="Times New Roman" w:hAnsi="Times New Roman"/>
          <w:sz w:val="14"/>
          <w:szCs w:val="14"/>
          <w:color w:val="auto"/>
        </w:rPr>
        <w:t xml:space="preserve">”). You agree to devote your entire business time, attention, skills and best efforts to the performance of your duties hereunder following the Start Date and agree that you will not, following the Start Date and for the duration of your employment hereunder, without the approval of the Chief Executive Officer, be employed by or otherwise engaged in any other business activity requiring any of your business time; provided that, notwithstanding the foregoing (i) you may serve on the board of directors or in other advisory capacities for for-profit companies that do not compete with Seaport, subject to the prior approval of the Chief Executive Officer, (ii) you may provide services to charitable, community or nonprofit organizations without approval of the Chief Executive Officer, and (iii) you may continue to perform the obligations and responsibilities in connection with those activities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without further approval by the Chief Executive Officer; provided further that in all cases under clauses (i), (ii) and (iii) you do not compete with Seaport and such activities do not otherwise interfere with your performance of your duties hereunder or breach the terms of any agreement between you and Seaport. You will principally be working remotely, with travel to the Company’s headquarters in Boston, Massachusetts on an as needed basis as requested by the Company with a minimum expectation of eight (8) days per month. You may also be required to travel to other locations as may be reasonably required in connection with the performance of your duties.</w:t>
      </w:r>
    </w:p>
    <w:p>
      <w:pPr>
        <w:spacing w:after="0" w:line="231"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220" w:right="359" w:firstLine="772"/>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Salary</w:t>
      </w:r>
      <w:r>
        <w:rPr>
          <w:rFonts w:ascii="Times New Roman" w:cs="Times New Roman" w:eastAsia="Times New Roman" w:hAnsi="Times New Roman"/>
          <w:sz w:val="14"/>
          <w:szCs w:val="14"/>
          <w:color w:val="auto"/>
        </w:rPr>
        <w:t>. During your employment, the Company will pay you a base salary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at the rate of $18,750 per regular semi-monthly pay period (annualized rate of $450,000 per year), payable in accordance with the regular payroll practices of the Company and subject to applicable deductions and withholdings. This salary will be reviewed annually for merit increases as determined by the Board of Directors of Seaport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in its sole and absolute discretion.</w:t>
      </w:r>
    </w:p>
    <w:p>
      <w:pPr>
        <w:sectPr>
          <w:pgSz w:w="11900" w:h="16838" w:orient="portrait"/>
          <w:cols w:equalWidth="0" w:num="1">
            <w:col w:w="9019"/>
          </w:cols>
          <w:pgMar w:left="1440" w:top="123" w:right="1440" w:bottom="1440" w:gutter="0" w:footer="0" w:header="0"/>
        </w:sectPr>
      </w:pPr>
    </w:p>
    <w:bookmarkStart w:id="474" w:name="page475"/>
    <w:bookmarkEnd w:id="474"/>
    <w:p>
      <w:pPr>
        <w:ind w:left="220" w:right="239" w:firstLine="772"/>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B. </w:t>
      </w:r>
      <w:r>
        <w:rPr>
          <w:rFonts w:ascii="Times New Roman" w:cs="Times New Roman" w:eastAsia="Times New Roman" w:hAnsi="Times New Roman"/>
          <w:sz w:val="14"/>
          <w:szCs w:val="14"/>
          <w:u w:val="single" w:color="auto"/>
          <w:color w:val="auto"/>
        </w:rPr>
        <w:t>Performance Bonus</w:t>
      </w:r>
      <w:r>
        <w:rPr>
          <w:rFonts w:ascii="Times New Roman" w:cs="Times New Roman" w:eastAsia="Times New Roman" w:hAnsi="Times New Roman"/>
          <w:sz w:val="14"/>
          <w:szCs w:val="14"/>
          <w:color w:val="auto"/>
        </w:rPr>
        <w:t>. Beginning with the 2024 calendar year and for each calendar year thereafter during which you are employed by the Company, you will be eligible to receive, in the sole discretion of the Board, an annual performance bonus based on your performance and Seaport’s performance against annually established goals and objectives (as determined by the Board or a committee thereof), with the bonus targeted at 35% of your Base Salary (the “</w:t>
      </w:r>
      <w:r>
        <w:rPr>
          <w:rFonts w:ascii="Times New Roman" w:cs="Times New Roman" w:eastAsia="Times New Roman" w:hAnsi="Times New Roman"/>
          <w:sz w:val="14"/>
          <w:szCs w:val="14"/>
          <w:u w:val="single" w:color="auto"/>
          <w:color w:val="auto"/>
        </w:rPr>
        <w:t>Target Bonus</w:t>
      </w:r>
      <w:r>
        <w:rPr>
          <w:rFonts w:ascii="Times New Roman" w:cs="Times New Roman" w:eastAsia="Times New Roman" w:hAnsi="Times New Roman"/>
          <w:sz w:val="14"/>
          <w:szCs w:val="14"/>
          <w:color w:val="auto"/>
        </w:rPr>
        <w:t>”) for achievement of “target” goals and objectives. Any bonus would be prorated for the 2024 calendar year based on the Start Date. Except as specified in Section 6, below, no annual bonus will be paid if, on or before the payment date, (i) you have given Seaport notice of your intention to terminate your employment with Seaport other than for Good Reason (as defined below) or (ii) you are no longer employed by the Company. Any performance bonus is entirely discretionary in nature.</w:t>
      </w:r>
    </w:p>
    <w:p>
      <w:pPr>
        <w:spacing w:after="0" w:line="144" w:lineRule="exact"/>
        <w:rPr>
          <w:sz w:val="20"/>
          <w:szCs w:val="20"/>
          <w:color w:val="auto"/>
        </w:rPr>
      </w:pPr>
    </w:p>
    <w:p>
      <w:pPr>
        <w:ind w:left="220" w:right="259" w:firstLine="772"/>
        <w:spacing w:after="0" w:line="255"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Equity</w:t>
      </w:r>
      <w:r>
        <w:rPr>
          <w:rFonts w:ascii="Times New Roman" w:cs="Times New Roman" w:eastAsia="Times New Roman" w:hAnsi="Times New Roman"/>
          <w:sz w:val="14"/>
          <w:szCs w:val="14"/>
          <w:color w:val="auto"/>
        </w:rPr>
        <w:t>. Subject to Board approval, Seaport shall grant you under the Company’s 2024 Equity Incentive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stock options to purchase a total of 1,693,760 shares of the Company’s common stock, (the “</w:t>
      </w: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 The Options shall vest and become exercisable as to 25% of the underlying shares on the first anniversary of the Start Date (the “</w:t>
      </w:r>
      <w:r>
        <w:rPr>
          <w:rFonts w:ascii="Times New Roman" w:cs="Times New Roman" w:eastAsia="Times New Roman" w:hAnsi="Times New Roman"/>
          <w:sz w:val="14"/>
          <w:szCs w:val="14"/>
          <w:u w:val="single" w:color="auto"/>
          <w:color w:val="auto"/>
        </w:rPr>
        <w:t>Cliff Vesting Date</w:t>
      </w:r>
      <w:r>
        <w:rPr>
          <w:rFonts w:ascii="Times New Roman" w:cs="Times New Roman" w:eastAsia="Times New Roman" w:hAnsi="Times New Roman"/>
          <w:sz w:val="14"/>
          <w:szCs w:val="14"/>
          <w:color w:val="auto"/>
        </w:rPr>
        <w:t>”) and with respect to the balance of the underlying shares in equal monthly installments over thirty six (36) months thereafter, shall have an exercise price equal to the fair market value of Seaport’s common stock on the date of grant as determined by the Board and shall be subject to the provisions set forth in the Plan and Seaport’s Form of Stock Option Agreement to which you will become a party. In addition, upon your request, the Company will add an “early exercise” provision to any options granted to you, so that you may exercise the options prior to vesting and receive stock subject to a restricted stock agreement providing the vesting schedule applicable to the options.</w:t>
      </w:r>
    </w:p>
    <w:p>
      <w:pPr>
        <w:spacing w:after="0" w:line="145" w:lineRule="exact"/>
        <w:rPr>
          <w:sz w:val="20"/>
          <w:szCs w:val="20"/>
          <w:color w:val="auto"/>
        </w:rPr>
      </w:pPr>
    </w:p>
    <w:p>
      <w:pPr>
        <w:ind w:left="220" w:right="319" w:firstLine="767"/>
        <w:spacing w:after="0" w:line="256" w:lineRule="auto"/>
        <w:tabs>
          <w:tab w:leader="none" w:pos="1132"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 Reimbursement</w:t>
      </w:r>
      <w:r>
        <w:rPr>
          <w:rFonts w:ascii="Times New Roman" w:cs="Times New Roman" w:eastAsia="Times New Roman" w:hAnsi="Times New Roman"/>
          <w:sz w:val="14"/>
          <w:szCs w:val="14"/>
          <w:color w:val="auto"/>
        </w:rPr>
        <w:t>. In accordance with the Company’s policies and procedures, you will be entitled to reimbursement of all reasonable and properly documented expenses incurred by you in the performance of your duties that are approved by Seaport. For the avoidance of doubt, the Company agrees that it will reimburse business-class or economy-class travel (e.g., plane or train) at your discretion. The Company shall reimburse you for your reasonable expenses associated with your travel to the Company’s offices, , in accordance with the policies and procedures then in effect and established by the Company for reimbursement of expenses. The Company will also reimburse you up to $5,000.00 in legal fees that you incur in connection with your review and negotiation of this offer letter and related agreements. Any reimbursement hereunder may be subject to applicable tax-related deductions and withholdings.</w:t>
      </w:r>
    </w:p>
    <w:p>
      <w:pPr>
        <w:spacing w:after="0" w:line="143" w:lineRule="exact"/>
        <w:rPr>
          <w:rFonts w:ascii="Times New Roman" w:cs="Times New Roman" w:eastAsia="Times New Roman" w:hAnsi="Times New Roman"/>
          <w:sz w:val="14"/>
          <w:szCs w:val="14"/>
          <w:color w:val="auto"/>
        </w:rPr>
      </w:pPr>
    </w:p>
    <w:p>
      <w:pPr>
        <w:ind w:left="220" w:right="279" w:firstLine="767"/>
        <w:spacing w:after="0" w:line="258" w:lineRule="auto"/>
        <w:tabs>
          <w:tab w:leader="none" w:pos="1132"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w:t>
      </w:r>
      <w:r>
        <w:rPr>
          <w:rFonts w:ascii="Times New Roman" w:cs="Times New Roman" w:eastAsia="Times New Roman" w:hAnsi="Times New Roman"/>
          <w:sz w:val="14"/>
          <w:szCs w:val="14"/>
          <w:color w:val="auto"/>
        </w:rPr>
        <w:t>. During your employment with the Company, you will be entitled to the benefits of such group medical, dental, disability and retirement benefits, if any, as the Company or its designee, which at the Start Date may be PureTech Management, Inc., shall make generally available from time to time to employees providing services to Seaport (the “</w:t>
      </w:r>
      <w:r>
        <w:rPr>
          <w:rFonts w:ascii="Times New Roman" w:cs="Times New Roman" w:eastAsia="Times New Roman" w:hAnsi="Times New Roman"/>
          <w:sz w:val="14"/>
          <w:szCs w:val="14"/>
          <w:u w:val="single" w:color="auto"/>
          <w:color w:val="auto"/>
        </w:rPr>
        <w:t>Benefits</w:t>
      </w:r>
      <w:r>
        <w:rPr>
          <w:rFonts w:ascii="Times New Roman" w:cs="Times New Roman" w:eastAsia="Times New Roman" w:hAnsi="Times New Roman"/>
          <w:sz w:val="14"/>
          <w:szCs w:val="14"/>
          <w:color w:val="auto"/>
        </w:rPr>
        <w:t>”), provided you are eligible under (and subject to all provisions of) the plan documents governing those programs. The Benefits made available to you, and the rules, terms and conditions for participation in such benefit plans, may be changed at any time without advance notice in the discretion of the Company.</w:t>
      </w:r>
    </w:p>
    <w:p>
      <w:pPr>
        <w:spacing w:after="0" w:line="143" w:lineRule="exact"/>
        <w:rPr>
          <w:rFonts w:ascii="Times New Roman" w:cs="Times New Roman" w:eastAsia="Times New Roman" w:hAnsi="Times New Roman"/>
          <w:sz w:val="14"/>
          <w:szCs w:val="14"/>
          <w:color w:val="auto"/>
        </w:rPr>
      </w:pPr>
    </w:p>
    <w:p>
      <w:pPr>
        <w:jc w:val="both"/>
        <w:ind w:left="220" w:right="399" w:firstLine="767"/>
        <w:spacing w:after="0" w:line="267" w:lineRule="auto"/>
        <w:tabs>
          <w:tab w:leader="none" w:pos="1132"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Vacation</w:t>
      </w:r>
      <w:r>
        <w:rPr>
          <w:rFonts w:ascii="Times New Roman" w:cs="Times New Roman" w:eastAsia="Times New Roman" w:hAnsi="Times New Roman"/>
          <w:sz w:val="14"/>
          <w:szCs w:val="14"/>
          <w:color w:val="auto"/>
        </w:rPr>
        <w:t>. In addition to holidays on which the Company’s offices are closed, you will be entitled to twenty (20) days paid vacation or sick leave each calendar year during your employment, accruing ratably each month. A maximum of five (5) days of unused vacation may be carried forward from year to year; provided that in no event may any vacation days be carried forward for more than one year.</w:t>
      </w:r>
    </w:p>
    <w:p>
      <w:pPr>
        <w:spacing w:after="0" w:line="8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1" w:right="1440" w:bottom="1440" w:gutter="0" w:footer="0" w:header="0"/>
        </w:sectPr>
      </w:pPr>
    </w:p>
    <w:bookmarkStart w:id="475" w:name="page476"/>
    <w:bookmarkEnd w:id="475"/>
    <w:p>
      <w:pPr>
        <w:ind w:left="700" w:hanging="142"/>
        <w:spacing w:after="0"/>
        <w:tabs>
          <w:tab w:leader="none" w:pos="70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Termination of Employment</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220" w:right="339" w:firstLine="767"/>
        <w:spacing w:after="0" w:line="255" w:lineRule="auto"/>
        <w:tabs>
          <w:tab w:leader="none" w:pos="1163"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Upon Termination of Employment; Final Pay</w:t>
      </w:r>
      <w:r>
        <w:rPr>
          <w:rFonts w:ascii="Times New Roman" w:cs="Times New Roman" w:eastAsia="Times New Roman" w:hAnsi="Times New Roman"/>
          <w:sz w:val="14"/>
          <w:szCs w:val="14"/>
          <w:color w:val="auto"/>
        </w:rPr>
        <w:t>. You shall provide the Company with sixty (60) days prior written notice of any election by you to terminate your employment with the Company other than in the case of a termination for Good Reason for which you shall be required to comply with the Good Reason Process as defined below; provided, however, that the Company may, in its sole discretion, require that you cease reporting to and/or performing work, and/or may disable your access to any Company systems, during such notice period. In the event your employment with the Company terminates for any reason, the Company shall reimburse you for any reimbursable expenses you incur through the date of termination, and provide you with all amounts, equity awards and/or benefits due to you through the date of termination under this Agreement or under applicable law, including any Base Salary, approved but unpaid bonus pay, or vacation days accrued but unpaid as of the date of termination (the “</w:t>
      </w:r>
      <w:r>
        <w:rPr>
          <w:rFonts w:ascii="Times New Roman" w:cs="Times New Roman" w:eastAsia="Times New Roman" w:hAnsi="Times New Roman"/>
          <w:sz w:val="14"/>
          <w:szCs w:val="14"/>
          <w:u w:val="single" w:color="auto"/>
          <w:color w:val="auto"/>
        </w:rPr>
        <w:t>Accrued Benefits</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220" w:right="319" w:firstLine="767"/>
        <w:spacing w:after="0" w:line="256" w:lineRule="auto"/>
        <w:tabs>
          <w:tab w:leader="none" w:pos="1155" w:val="left"/>
        </w:tabs>
        <w:numPr>
          <w:ilvl w:val="1"/>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Severance Benefits Following a Non-Change in Control Qualifying Termination</w:t>
      </w:r>
      <w:r>
        <w:rPr>
          <w:rFonts w:ascii="Times New Roman" w:cs="Times New Roman" w:eastAsia="Times New Roman" w:hAnsi="Times New Roman"/>
          <w:sz w:val="14"/>
          <w:szCs w:val="14"/>
          <w:color w:val="auto"/>
        </w:rPr>
        <w:t>. In addition to the Accrued Benefits, if your employment is terminated by the Company without Cause (as defined below) or by you with Good Reason (as defined below) (each, a “</w:t>
      </w:r>
      <w:r>
        <w:rPr>
          <w:rFonts w:ascii="Times New Roman" w:cs="Times New Roman" w:eastAsia="Times New Roman" w:hAnsi="Times New Roman"/>
          <w:sz w:val="14"/>
          <w:szCs w:val="14"/>
          <w:u w:val="single" w:color="auto"/>
          <w:color w:val="auto"/>
        </w:rPr>
        <w:t>Qualifying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prior to, or more than twelve (12) months following, a Change in Control (as defined below), and contingent upon your execution and delivery to the Company within thirty (30) days of such termination a general release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reasonably satisfactory to the Company releasing Seaport, its officers, agents, stockholders and any affiliates of Seaport from any and all liability for any matter other than your rights to indemnity as an officer of the Company or the Accrued Benefits or other non-waivable rights, and such Release becoming effective no later than seven days after your execution thereof (the “</w:t>
      </w:r>
      <w:r>
        <w:rPr>
          <w:rFonts w:ascii="Times New Roman" w:cs="Times New Roman" w:eastAsia="Times New Roman" w:hAnsi="Times New Roman"/>
          <w:sz w:val="14"/>
          <w:szCs w:val="14"/>
          <w:u w:val="single" w:color="auto"/>
          <w:color w:val="auto"/>
        </w:rPr>
        <w:t>Release Condition</w:t>
      </w:r>
      <w:r>
        <w:rPr>
          <w:rFonts w:ascii="Times New Roman" w:cs="Times New Roman" w:eastAsia="Times New Roman" w:hAnsi="Times New Roman"/>
          <w:sz w:val="14"/>
          <w:szCs w:val="14"/>
          <w:color w:val="auto"/>
        </w:rPr>
        <w:t>”), you shall receive the following severance payments and benefits:</w:t>
      </w:r>
    </w:p>
    <w:p>
      <w:pPr>
        <w:spacing w:after="0" w:line="59" w:lineRule="exact"/>
        <w:rPr>
          <w:sz w:val="20"/>
          <w:szCs w:val="20"/>
          <w:color w:val="auto"/>
        </w:rPr>
      </w:pPr>
    </w:p>
    <w:p>
      <w:pPr>
        <w:ind w:left="220" w:right="259" w:firstLine="772"/>
        <w:spacing w:after="0" w:line="258" w:lineRule="auto"/>
        <w:rPr>
          <w:sz w:val="20"/>
          <w:szCs w:val="20"/>
          <w:color w:val="auto"/>
        </w:rPr>
      </w:pPr>
      <w:r>
        <w:rPr>
          <w:rFonts w:ascii="Times New Roman" w:cs="Times New Roman" w:eastAsia="Times New Roman" w:hAnsi="Times New Roman"/>
          <w:sz w:val="14"/>
          <w:szCs w:val="14"/>
          <w:color w:val="auto"/>
        </w:rPr>
        <w:t>(1). the Company shall continue to pay to you, for a period of (a) six (6) months (if such termination occurs on or prior to the first anniversary of the Start Date) and (b) twelve (12) months (if such termination occurs after the first anniversary of the Start Date) (such applicable period, the “</w:t>
      </w:r>
      <w:r>
        <w:rPr>
          <w:rFonts w:ascii="Times New Roman" w:cs="Times New Roman" w:eastAsia="Times New Roman" w:hAnsi="Times New Roman"/>
          <w:sz w:val="14"/>
          <w:szCs w:val="14"/>
          <w:u w:val="single" w:color="auto"/>
          <w:color w:val="auto"/>
        </w:rPr>
        <w:t>Non-CIC Severance Period</w:t>
      </w:r>
      <w:r>
        <w:rPr>
          <w:rFonts w:ascii="Times New Roman" w:cs="Times New Roman" w:eastAsia="Times New Roman" w:hAnsi="Times New Roman"/>
          <w:sz w:val="14"/>
          <w:szCs w:val="14"/>
          <w:color w:val="auto"/>
        </w:rPr>
        <w:t>”), your Base Salary then in effect, consistent with the Company’s normal payroll schedule, with such first payment thereof payable on the first regular payroll date of the Company that is at least seven days after the effective date of the Release (with such first installment including any installment payments that would have otherwise been made prior to such date).</w:t>
      </w:r>
    </w:p>
    <w:p>
      <w:pPr>
        <w:spacing w:after="0" w:line="144" w:lineRule="exact"/>
        <w:rPr>
          <w:sz w:val="20"/>
          <w:szCs w:val="20"/>
          <w:color w:val="auto"/>
        </w:rPr>
      </w:pPr>
    </w:p>
    <w:p>
      <w:pPr>
        <w:ind w:left="220" w:right="339" w:firstLine="772"/>
        <w:spacing w:after="0" w:line="255" w:lineRule="auto"/>
        <w:rPr>
          <w:sz w:val="20"/>
          <w:szCs w:val="20"/>
          <w:color w:val="auto"/>
        </w:rPr>
      </w:pPr>
      <w:r>
        <w:rPr>
          <w:rFonts w:ascii="Times New Roman" w:cs="Times New Roman" w:eastAsia="Times New Roman" w:hAnsi="Times New Roman"/>
          <w:sz w:val="14"/>
          <w:szCs w:val="14"/>
          <w:color w:val="auto"/>
        </w:rPr>
        <w:t>(2). provided you are eligible for and timely elect to continue receiving group medical insurance pursuant to the “COBRA” law, the Company shall continue to pay the share of the premium for health coverage that is paid by the Company for active and similarly-situated employees who receive the same type of coverage until the earlier of (i) the last day of the Non-CIC Severance Period, or (ii) the date on which you become eligible for substantially similar healthcare insurance benefits with a subsequent employer. Notwithstanding the foregoing, if the Company determines, in its sole discretion, that it cannot pay such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for the remainder of the Non-CIC Severance Period.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9019"/>
          </w:cols>
          <w:pgMar w:left="1440" w:top="241" w:right="1440" w:bottom="1440" w:gutter="0" w:footer="0" w:header="0"/>
        </w:sectPr>
      </w:pPr>
    </w:p>
    <w:bookmarkStart w:id="476" w:name="page477"/>
    <w:bookmarkEnd w:id="476"/>
    <w:p>
      <w:pPr>
        <w:ind w:left="220" w:right="319" w:firstLine="772"/>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(3). You will remain eligible to receive an annual performance bonus under Section 2(B) for the calendar year in which the Qualifying Termination occurs based on your performance and the Company’s performance against annually established goals and objectives, as determined in the manner set forth in Section 2(B) and pro rated based on the number of months you were employed by the Company during such year. Any such bonus would be paid to you in one lump sum at the time the annual performance bonus for such year is paid to the executives of the Company.</w:t>
      </w:r>
    </w:p>
    <w:p>
      <w:pPr>
        <w:spacing w:after="0" w:line="141" w:lineRule="exact"/>
        <w:rPr>
          <w:sz w:val="20"/>
          <w:szCs w:val="20"/>
          <w:color w:val="auto"/>
        </w:rPr>
      </w:pPr>
    </w:p>
    <w:p>
      <w:pPr>
        <w:ind w:left="220" w:right="299" w:firstLine="772"/>
        <w:spacing w:after="0" w:line="257" w:lineRule="auto"/>
        <w:rPr>
          <w:sz w:val="20"/>
          <w:szCs w:val="20"/>
          <w:color w:val="auto"/>
        </w:rPr>
      </w:pPr>
      <w:r>
        <w:rPr>
          <w:rFonts w:ascii="Times New Roman" w:cs="Times New Roman" w:eastAsia="Times New Roman" w:hAnsi="Times New Roman"/>
          <w:sz w:val="14"/>
          <w:szCs w:val="14"/>
          <w:color w:val="auto"/>
        </w:rPr>
        <w:t>(4). If the Qualifying Termination occurs after the first anniversary of the Start Date and on or prior to the second anniversary of the Start Date, the vesting of the Options shall be accelerated such that as of the effective date of the Release you will vest in such number of shares that would have vested on the date six (6) months after the date of the Qualifying Termination had you remained employed by the Company on such date. If the Qualifying Termination occurs after the second anniversary of the Start Date, the vesting of the Options shall be accelerated such that as of the effective date of the Release you will vest in such number of shares that would have vested on the date nine (9) months after the date of the Qualifying Termination had you remained employed by the Company on such date.</w:t>
      </w:r>
    </w:p>
    <w:p>
      <w:pPr>
        <w:spacing w:after="0" w:line="143" w:lineRule="exact"/>
        <w:rPr>
          <w:sz w:val="20"/>
          <w:szCs w:val="20"/>
          <w:color w:val="auto"/>
        </w:rPr>
      </w:pPr>
    </w:p>
    <w:p>
      <w:pPr>
        <w:ind w:left="220" w:right="459" w:firstLine="772"/>
        <w:spacing w:after="0" w:line="267" w:lineRule="auto"/>
        <w:rPr>
          <w:sz w:val="20"/>
          <w:szCs w:val="20"/>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Severance Benefits Following a Change in Control Qualifying Termination</w:t>
      </w:r>
      <w:r>
        <w:rPr>
          <w:rFonts w:ascii="Times New Roman" w:cs="Times New Roman" w:eastAsia="Times New Roman" w:hAnsi="Times New Roman"/>
          <w:sz w:val="14"/>
          <w:szCs w:val="14"/>
          <w:color w:val="auto"/>
        </w:rPr>
        <w:t>. In addition to the Accrued Benefits, if a Qualifying Termination occurs on or within twelve (12) months following, a Change in Control, and contingent upon your satisfaction of the Release Condition, you shall receive the following severance payments and benefits:</w:t>
      </w:r>
    </w:p>
    <w:p>
      <w:pPr>
        <w:spacing w:after="0" w:line="51" w:lineRule="exact"/>
        <w:rPr>
          <w:sz w:val="20"/>
          <w:szCs w:val="20"/>
          <w:color w:val="auto"/>
        </w:rPr>
      </w:pPr>
    </w:p>
    <w:p>
      <w:pPr>
        <w:ind w:left="220" w:right="299" w:firstLine="772"/>
        <w:spacing w:after="0" w:line="261" w:lineRule="auto"/>
        <w:rPr>
          <w:sz w:val="20"/>
          <w:szCs w:val="20"/>
          <w:color w:val="auto"/>
        </w:rPr>
      </w:pPr>
      <w:r>
        <w:rPr>
          <w:rFonts w:ascii="Times New Roman" w:cs="Times New Roman" w:eastAsia="Times New Roman" w:hAnsi="Times New Roman"/>
          <w:sz w:val="14"/>
          <w:szCs w:val="14"/>
          <w:color w:val="auto"/>
        </w:rPr>
        <w:t>(1). the Company shall continue to pay to you, for a period of twelve (12) months (the “</w:t>
      </w:r>
      <w:r>
        <w:rPr>
          <w:rFonts w:ascii="Times New Roman" w:cs="Times New Roman" w:eastAsia="Times New Roman" w:hAnsi="Times New Roman"/>
          <w:sz w:val="14"/>
          <w:szCs w:val="14"/>
          <w:u w:val="single" w:color="auto"/>
          <w:color w:val="auto"/>
        </w:rPr>
        <w:t>CIC Severance Period</w:t>
      </w:r>
      <w:r>
        <w:rPr>
          <w:rFonts w:ascii="Times New Roman" w:cs="Times New Roman" w:eastAsia="Times New Roman" w:hAnsi="Times New Roman"/>
          <w:sz w:val="14"/>
          <w:szCs w:val="14"/>
          <w:color w:val="auto"/>
        </w:rPr>
        <w:t>”), your Base Salary then in effect, consistent with the Company’s normal payroll schedule, with such first payment thereof payable on the first regular payroll date of the Company that is at least seven days after the effective date of the Release (with such first installment including any installment payments that would have otherwise been made prior to such date).</w:t>
      </w:r>
    </w:p>
    <w:p>
      <w:pPr>
        <w:spacing w:after="0" w:line="141" w:lineRule="exact"/>
        <w:rPr>
          <w:sz w:val="20"/>
          <w:szCs w:val="20"/>
          <w:color w:val="auto"/>
        </w:rPr>
      </w:pPr>
    </w:p>
    <w:p>
      <w:pPr>
        <w:ind w:left="220" w:right="319" w:firstLine="772"/>
        <w:spacing w:after="0" w:line="255" w:lineRule="auto"/>
        <w:rPr>
          <w:sz w:val="20"/>
          <w:szCs w:val="20"/>
          <w:color w:val="auto"/>
        </w:rPr>
      </w:pPr>
      <w:r>
        <w:rPr>
          <w:rFonts w:ascii="Times New Roman" w:cs="Times New Roman" w:eastAsia="Times New Roman" w:hAnsi="Times New Roman"/>
          <w:sz w:val="14"/>
          <w:szCs w:val="14"/>
          <w:color w:val="auto"/>
        </w:rPr>
        <w:t>(2). provided you are eligible for and timely elect to continue receiving group medical insurance pursuant to the “COBRA” law, the Company shall continue to pay the share of the premium for health coverage that is paid by the Company for active and similarly-situated employees who receive the same type of coverage until the earlier of (i) the last day of the CIC Severance Period, or (ii) the date on which you become eligible for substantially similar healthcare insurance benefits with a subsequent employer. Notwithstanding the foregoing, if the Company determines, in its sole discretion, that it cannot pay such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for the remainder of the CIC Severance Period.</w:t>
      </w:r>
    </w:p>
    <w:p>
      <w:pPr>
        <w:spacing w:after="0" w:line="145" w:lineRule="exact"/>
        <w:rPr>
          <w:sz w:val="20"/>
          <w:szCs w:val="20"/>
          <w:color w:val="auto"/>
        </w:rPr>
      </w:pPr>
    </w:p>
    <w:p>
      <w:pPr>
        <w:ind w:left="220" w:right="279" w:firstLine="772"/>
        <w:spacing w:after="0" w:line="267" w:lineRule="auto"/>
        <w:rPr>
          <w:sz w:val="20"/>
          <w:szCs w:val="20"/>
          <w:color w:val="auto"/>
        </w:rPr>
      </w:pPr>
      <w:r>
        <w:rPr>
          <w:rFonts w:ascii="Times New Roman" w:cs="Times New Roman" w:eastAsia="Times New Roman" w:hAnsi="Times New Roman"/>
          <w:sz w:val="14"/>
          <w:szCs w:val="14"/>
          <w:color w:val="auto"/>
        </w:rPr>
        <w:t>(3). the Company will pay to you an amount equal to your Target Bonus for the calendar year in which the Qualifying Termination occurs. Such bonus would be paid to you in one lump sum on the first regular payroll date of the Company that is at least seven days after the effective date of the Release.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40" w:right="1440" w:bottom="1440" w:gutter="0" w:footer="0" w:header="0"/>
        </w:sectPr>
      </w:pPr>
    </w:p>
    <w:bookmarkStart w:id="477" w:name="page478"/>
    <w:bookmarkEnd w:id="477"/>
    <w:p>
      <w:pPr>
        <w:ind w:left="220" w:right="359" w:firstLine="772"/>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(4). the vesting of the Options shall be accelerated, such that all shares subject to such Options shall vest and become fully exercisable or non-forfeitable as of the effective date of the Release.</w:t>
      </w:r>
    </w:p>
    <w:p>
      <w:pPr>
        <w:spacing w:after="0" w:line="125" w:lineRule="exact"/>
        <w:rPr>
          <w:sz w:val="20"/>
          <w:szCs w:val="20"/>
          <w:color w:val="auto"/>
        </w:rPr>
      </w:pPr>
    </w:p>
    <w:p>
      <w:pPr>
        <w:ind w:left="1160" w:hanging="173"/>
        <w:spacing w:after="0"/>
        <w:tabs>
          <w:tab w:leader="none" w:pos="1160"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hereof, “</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mean the good faith determination of the Board that any one or more of the following events has occurred to you:</w:t>
      </w:r>
    </w:p>
    <w:p>
      <w:pPr>
        <w:spacing w:after="0" w:line="22" w:lineRule="exact"/>
        <w:rPr>
          <w:sz w:val="20"/>
          <w:szCs w:val="20"/>
          <w:color w:val="auto"/>
        </w:rPr>
      </w:pPr>
    </w:p>
    <w:p>
      <w:pPr>
        <w:ind w:left="220" w:right="279" w:hanging="5"/>
        <w:spacing w:after="0" w:line="252" w:lineRule="auto"/>
        <w:tabs>
          <w:tab w:leader="none" w:pos="387"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conviction of any felony, (ii) deliberate neglect of, willful misconduct in connection with the performance of, or refusal to perform duties reasonably assigned to you pursuant to the terms hereof, if, within thirty (30) days after being notified in writing by the Chief Executive Officer of the conduct constituting Cause under this clause, you fail to cure such conduct (if such conduct is curable), (iii) breach of any of the provisions of this Agreement or the Related Agreements (as defined below) if within thirty (30) days after being notified in writing by the Chief Executive Officer of the breach and such breach is not cured (if such breach is curable) or (iv) any fraudulent or grossly negligent conduct, any action in bad faith, or willful misconduct, excluding conduct subject to clause (ii), that is otherwise materially detrimental to the reputation, goodwill or best interests of the Company.</w:t>
      </w:r>
    </w:p>
    <w:p>
      <w:pPr>
        <w:spacing w:after="0" w:line="149" w:lineRule="exact"/>
        <w:rPr>
          <w:sz w:val="20"/>
          <w:szCs w:val="20"/>
          <w:color w:val="auto"/>
        </w:rPr>
      </w:pPr>
    </w:p>
    <w:p>
      <w:pPr>
        <w:ind w:left="220" w:right="259"/>
        <w:spacing w:after="0" w:line="252" w:lineRule="auto"/>
        <w:rPr>
          <w:sz w:val="20"/>
          <w:szCs w:val="20"/>
          <w:color w:val="auto"/>
        </w:rPr>
      </w:pPr>
      <w:r>
        <w:rPr>
          <w:rFonts w:ascii="Times New Roman" w:cs="Times New Roman" w:eastAsia="Times New Roman" w:hAnsi="Times New Roman"/>
          <w:sz w:val="14"/>
          <w:szCs w:val="14"/>
          <w:color w:val="auto"/>
        </w:rPr>
        <w:t>For purposes hereof, “</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shall mean one of the following conditions after Good Reason Process (as defined below): (i) a breach of this Agreement by the Company in any material respect, (ii) a material adverse change in your duties, authority, title or position or responsibilities, (iii) a material reduction in your Base Salary or material reduction in bonus opportunity, (iv) a change in your reporting relationship resulting in you no longer reporting directly to the Company’s Chief Executive Officer except with respect to a change in reporting relationship in connection with a Change in Control, or (v) a relocation of your principal place of employment that increases your one-way commute by more than thirty-five (35) miles. “</w:t>
      </w:r>
      <w:r>
        <w:rPr>
          <w:rFonts w:ascii="Times New Roman" w:cs="Times New Roman" w:eastAsia="Times New Roman" w:hAnsi="Times New Roman"/>
          <w:sz w:val="14"/>
          <w:szCs w:val="14"/>
          <w:u w:val="single" w:color="auto"/>
          <w:color w:val="auto"/>
        </w:rPr>
        <w:t>Good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Reason Process</w:t>
      </w:r>
      <w:r>
        <w:rPr>
          <w:rFonts w:ascii="Times New Roman" w:cs="Times New Roman" w:eastAsia="Times New Roman" w:hAnsi="Times New Roman"/>
          <w:sz w:val="14"/>
          <w:szCs w:val="14"/>
          <w:color w:val="auto"/>
        </w:rPr>
        <w:t>” means that: (a) you have reasonably determined in good faith that a “Good Reason” condition has occurred, (b) within ninety (90) days of becoming aware of the first occurrence of such condition, you have notified the Company in writing of the first occurrence of the Good Reason condition and your right to terminate your employment for Good Reason if such condition is not cured, (c) you have cooperated in good faith with the Company’s efforts, for a period of thirty (30) days following such notice (the “</w:t>
      </w:r>
      <w:r>
        <w:rPr>
          <w:rFonts w:ascii="Times New Roman" w:cs="Times New Roman" w:eastAsia="Times New Roman" w:hAnsi="Times New Roman"/>
          <w:sz w:val="14"/>
          <w:szCs w:val="14"/>
          <w:u w:val="single" w:color="auto"/>
          <w:color w:val="auto"/>
        </w:rPr>
        <w:t>Cure Period</w:t>
      </w:r>
      <w:r>
        <w:rPr>
          <w:rFonts w:ascii="Times New Roman" w:cs="Times New Roman" w:eastAsia="Times New Roman" w:hAnsi="Times New Roman"/>
          <w:sz w:val="14"/>
          <w:szCs w:val="14"/>
          <w:color w:val="auto"/>
        </w:rPr>
        <w:t>”), to remedy the condition (to the extent capable of being cured or remedied), (d) notwithstanding such efforts, the Good Reason condition continues to exist, and (e) you terminate your employment within sixty</w:t>
      </w:r>
    </w:p>
    <w:p>
      <w:pPr>
        <w:spacing w:after="0" w:line="6" w:lineRule="exact"/>
        <w:rPr>
          <w:sz w:val="20"/>
          <w:szCs w:val="20"/>
          <w:color w:val="auto"/>
        </w:rPr>
      </w:pPr>
    </w:p>
    <w:p>
      <w:pPr>
        <w:ind w:left="220" w:right="299" w:hanging="5"/>
        <w:spacing w:after="0" w:line="254" w:lineRule="auto"/>
        <w:tabs>
          <w:tab w:leader="none" w:pos="488"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end of the Cure Period (or, if no Cure Period applies, the date on which you gave notice to the Company of the occurrence of such Good Reason) by providing written notice to the Company of the termination of your employment during such sixty (60) day period, which termination shall be effective upon the date specified in your notice of termination. If the Company cures the Good Reason condition during the Cure Period (if applicable), Good Reason shall be deemed not to have occurred.</w:t>
      </w:r>
    </w:p>
    <w:p>
      <w:pPr>
        <w:spacing w:after="0" w:line="145" w:lineRule="exact"/>
        <w:rPr>
          <w:sz w:val="20"/>
          <w:szCs w:val="20"/>
          <w:color w:val="auto"/>
        </w:rPr>
      </w:pPr>
    </w:p>
    <w:p>
      <w:pPr>
        <w:ind w:left="220" w:right="239"/>
        <w:spacing w:after="0" w:line="255" w:lineRule="auto"/>
        <w:rPr>
          <w:sz w:val="20"/>
          <w:szCs w:val="20"/>
          <w:color w:val="auto"/>
        </w:rPr>
      </w:pPr>
      <w:r>
        <w:rPr>
          <w:rFonts w:ascii="Times New Roman" w:cs="Times New Roman" w:eastAsia="Times New Roman" w:hAnsi="Times New Roman"/>
          <w:sz w:val="14"/>
          <w:szCs w:val="14"/>
          <w:color w:val="auto"/>
        </w:rPr>
        <w:t>For purposes hereof,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 provided, however that the issuance and sale of securities of the Company for bona fide financing purposes shall not constitute a Change in Control and provided further that such event or occurrence constitutes a change in the ownership or effective control of the Company, or a change in the ownership of a substantial portion of the assets of the Company, as defined in Treasury Regulation Sections 1.409A-3(i)(5)(v), (vi) and (vii).</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40" w:right="1440" w:bottom="1440" w:gutter="0" w:footer="0" w:header="0"/>
        </w:sectPr>
      </w:pPr>
    </w:p>
    <w:bookmarkStart w:id="478" w:name="page479"/>
    <w:bookmarkEnd w:id="478"/>
    <w:p>
      <w:pPr>
        <w:ind w:left="220" w:right="359" w:firstLine="772"/>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E. </w:t>
      </w:r>
      <w:r>
        <w:rPr>
          <w:rFonts w:ascii="Times New Roman" w:cs="Times New Roman" w:eastAsia="Times New Roman" w:hAnsi="Times New Roman"/>
          <w:sz w:val="14"/>
          <w:szCs w:val="14"/>
          <w:u w:val="single" w:color="auto"/>
          <w:color w:val="auto"/>
        </w:rPr>
        <w:t>Termination Due to Death or Disability</w:t>
      </w:r>
      <w:r>
        <w:rPr>
          <w:rFonts w:ascii="Times New Roman" w:cs="Times New Roman" w:eastAsia="Times New Roman" w:hAnsi="Times New Roman"/>
          <w:sz w:val="14"/>
          <w:szCs w:val="14"/>
          <w:color w:val="auto"/>
        </w:rPr>
        <w:t>. In the event of your death or permanent disability (as defined below) while you are employed by the Company, your employment hereunder shall immediately and automatically terminate and the Company shall provide to you or your personal representative or designated beneficiary or, if no beneficiary has been designated by you, to your estate, the Accrued Benefits. For purposes of this Agreement, “permanent disability” shall mean your inability, due to physical or mental illness or disease, to perform the functions then performed by you for one hundred eighty (180) consecutive days, accompanied by the likelihood, in the opinion of a physician chosen by the Company and reasonably acceptable to you, that you will be unable to perform such functions within the reasonably foreseeable future; provided that the foregoing definition shall not include a disability for which the Company is required to provide reasonable accommodation pursuant to the Americans with Disabilities Act or other similar statute or regulation.</w:t>
      </w:r>
    </w:p>
    <w:p>
      <w:pPr>
        <w:spacing w:after="0" w:line="145" w:lineRule="exact"/>
        <w:rPr>
          <w:sz w:val="20"/>
          <w:szCs w:val="20"/>
          <w:color w:val="auto"/>
        </w:rPr>
      </w:pPr>
    </w:p>
    <w:p>
      <w:pPr>
        <w:ind w:left="220" w:right="319"/>
        <w:spacing w:after="0" w:line="261" w:lineRule="auto"/>
        <w:rPr>
          <w:sz w:val="20"/>
          <w:szCs w:val="20"/>
          <w:color w:val="auto"/>
        </w:rPr>
      </w:pPr>
      <w:r>
        <w:rPr>
          <w:rFonts w:ascii="Times New Roman" w:cs="Times New Roman" w:eastAsia="Times New Roman" w:hAnsi="Times New Roman"/>
          <w:sz w:val="14"/>
          <w:szCs w:val="14"/>
          <w:color w:val="auto"/>
        </w:rPr>
        <w:t>Except as set forth in this Section 6, nothing in this Agreement shall be construed as an agreement, either express or implied, to pay you any compensation or grant you any benefit beyond the end of your employment with the Company. Unless otherwise determined by the Board, upon termination of your employment with the Company for any reason, you shall be deemed to have resigned from all offices and directorships, if any, then held with the Company or any of its subsidiaries, as of the date of termination.</w:t>
      </w:r>
    </w:p>
    <w:p>
      <w:pPr>
        <w:spacing w:after="0" w:line="141" w:lineRule="exact"/>
        <w:rPr>
          <w:sz w:val="20"/>
          <w:szCs w:val="20"/>
          <w:color w:val="auto"/>
        </w:rPr>
      </w:pPr>
    </w:p>
    <w:p>
      <w:pPr>
        <w:ind w:left="220" w:right="419" w:firstLine="338"/>
        <w:spacing w:after="0" w:line="283" w:lineRule="auto"/>
        <w:tabs>
          <w:tab w:leader="none" w:pos="703"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Related Agreements</w:t>
      </w:r>
      <w:r>
        <w:rPr>
          <w:rFonts w:ascii="Times New Roman" w:cs="Times New Roman" w:eastAsia="Times New Roman" w:hAnsi="Times New Roman"/>
          <w:sz w:val="14"/>
          <w:szCs w:val="14"/>
          <w:color w:val="auto"/>
        </w:rPr>
        <w:t>. As a condition of your employment with the Company, you are required to execute on the date hereof a Nonsolicitation Agreement and an Invention and Non-Disclosure Agreement (the “</w:t>
      </w:r>
      <w:r>
        <w:rPr>
          <w:rFonts w:ascii="Times New Roman" w:cs="Times New Roman" w:eastAsia="Times New Roman" w:hAnsi="Times New Roman"/>
          <w:sz w:val="14"/>
          <w:szCs w:val="14"/>
          <w:u w:val="single" w:color="auto"/>
          <w:color w:val="auto"/>
        </w:rPr>
        <w:t>Related Agreements</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220" w:right="479" w:firstLine="338"/>
        <w:spacing w:after="0" w:line="258" w:lineRule="auto"/>
        <w:tabs>
          <w:tab w:leader="none" w:pos="703"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w:t>
      </w:r>
      <w:r>
        <w:rPr>
          <w:rFonts w:ascii="Times New Roman" w:cs="Times New Roman" w:eastAsia="Times New Roman" w:hAnsi="Times New Roman"/>
          <w:sz w:val="14"/>
          <w:szCs w:val="14"/>
          <w:color w:val="auto"/>
        </w:rPr>
        <w:t>. Notwithstanding any other provisions in this Agreement to the contrary, any incentive-based compensation, or any other compensation or benefits paid to you pursuant to this Agreement or any other agreement or arrangement with the Company which is required to be recovered under any applicable law, government regulation, stock exchange listing requirement or Company policy to which you are subject, will be subject to such deductions and clawback as may be required to be made pursuant to such law, government regulation or stock exchange listing requirement or Company policy.</w:t>
      </w:r>
    </w:p>
    <w:p>
      <w:pPr>
        <w:spacing w:after="0" w:line="143" w:lineRule="exact"/>
        <w:rPr>
          <w:rFonts w:ascii="Times New Roman" w:cs="Times New Roman" w:eastAsia="Times New Roman" w:hAnsi="Times New Roman"/>
          <w:sz w:val="14"/>
          <w:szCs w:val="14"/>
          <w:color w:val="auto"/>
        </w:rPr>
      </w:pPr>
    </w:p>
    <w:p>
      <w:pPr>
        <w:ind w:left="220" w:right="499" w:firstLine="338"/>
        <w:spacing w:after="0" w:line="296" w:lineRule="auto"/>
        <w:tabs>
          <w:tab w:leader="none" w:pos="703" w:val="left"/>
        </w:tabs>
        <w:numPr>
          <w:ilvl w:val="0"/>
          <w:numId w:val="3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You hereby represent that, except as disclosed to the Company prior to your Start Date, you are not subject to any agreement, understanding or other duty that would restrict or hinder the performance of your duties as an employee of the Company providing services to the Company, including, but not limited to any noncompetition, nonsolicitation of employee or nonsolicitation of customer agreement or understanding.</w:t>
      </w:r>
    </w:p>
    <w:p>
      <w:pPr>
        <w:spacing w:after="0" w:line="67" w:lineRule="exact"/>
        <w:rPr>
          <w:rFonts w:ascii="Times New Roman" w:cs="Times New Roman" w:eastAsia="Times New Roman" w:hAnsi="Times New Roman"/>
          <w:sz w:val="13"/>
          <w:szCs w:val="13"/>
          <w:color w:val="auto"/>
        </w:rPr>
      </w:pPr>
    </w:p>
    <w:p>
      <w:pPr>
        <w:ind w:left="4460" w:hanging="73"/>
        <w:spacing w:after="0"/>
        <w:tabs>
          <w:tab w:leader="none" w:pos="4460" w:val="left"/>
        </w:tabs>
        <w:numPr>
          <w:ilvl w:val="1"/>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9019"/>
          </w:cols>
          <w:pgMar w:left="1440" w:top="240" w:right="1440" w:bottom="1440" w:gutter="0" w:footer="0" w:header="0"/>
        </w:sectPr>
      </w:pPr>
    </w:p>
    <w:bookmarkStart w:id="479" w:name="page480"/>
    <w:bookmarkEnd w:id="479"/>
    <w:p>
      <w:pPr>
        <w:ind w:left="220" w:right="219" w:firstLine="338"/>
        <w:spacing w:after="0" w:line="252" w:lineRule="auto"/>
        <w:tabs>
          <w:tab w:leader="none" w:pos="77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409A Matters</w:t>
      </w:r>
      <w:r>
        <w:rPr>
          <w:rFonts w:ascii="Times New Roman" w:cs="Times New Roman" w:eastAsia="Times New Roman" w:hAnsi="Times New Roman"/>
          <w:sz w:val="14"/>
          <w:szCs w:val="14"/>
          <w:color w:val="auto"/>
        </w:rPr>
        <w:t>. It is intended that all of the severance benefits and other payments payable under this Agreement satisfy, to the greatest extent possible, an exemption from the application of Section 409A of the Code and this Agreement will be construed to the greatest extent possible as consistent with such intent, and to the extent not so exempt, this Agreement (and any definitions hereunder) will be construed in a manner that complies with Section 409A of the Code. For purposes of Section 409A of the Code (including, without limitation, for purposes of Treasury Regulation Section 1.409A 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To the extent that any payments or benefits under this Agreement are “non-qualified deferred compensation” subject to Section 409A of the Code and are payable upon your “termination of employment” such payments and benefits shall not be paid or commence to be paid until your “separation from service” (as defined in Treasury Regulation Section 1.409A-1(h)) (“</w:t>
      </w:r>
      <w:r>
        <w:rPr>
          <w:rFonts w:ascii="Times New Roman" w:cs="Times New Roman" w:eastAsia="Times New Roman" w:hAnsi="Times New Roman"/>
          <w:sz w:val="14"/>
          <w:szCs w:val="14"/>
          <w:u w:val="single" w:color="auto"/>
          <w:color w:val="auto"/>
        </w:rPr>
        <w:t>Separation from Service</w:t>
      </w:r>
      <w:r>
        <w:rPr>
          <w:rFonts w:ascii="Times New Roman" w:cs="Times New Roman" w:eastAsia="Times New Roman" w:hAnsi="Times New Roman"/>
          <w:sz w:val="14"/>
          <w:szCs w:val="14"/>
          <w:color w:val="auto"/>
        </w:rPr>
        <w: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w:t>
      </w:r>
    </w:p>
    <w:p>
      <w:pPr>
        <w:spacing w:after="0" w:line="3" w:lineRule="exact"/>
        <w:rPr>
          <w:rFonts w:ascii="Times New Roman" w:cs="Times New Roman" w:eastAsia="Times New Roman" w:hAnsi="Times New Roman"/>
          <w:sz w:val="14"/>
          <w:szCs w:val="14"/>
          <w:color w:val="auto"/>
        </w:rPr>
      </w:pPr>
    </w:p>
    <w:p>
      <w:pPr>
        <w:ind w:left="220" w:right="27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Section shall be paid in a lump sum to you, and any remaining payments due shall be paid as otherwise provided herein or in the applicable agreement. No interest shall be due on any amounts so deferred. To the extent that the payments or benefits under this Agreement are “non-qualified deferred compensation” subject to Section 409A of the Code, if the period during which you may deliver the release referenced in Section 6.A., above spans two calendar years, the payment of your severance shall commence on the later of (a) the first day of the second calendar year, or (b) the first regularly-scheduled payroll date that is at least seven days after the Separation Agreement becomes effective.</w:t>
      </w:r>
    </w:p>
    <w:p>
      <w:pPr>
        <w:spacing w:after="0" w:line="146" w:lineRule="exact"/>
        <w:rPr>
          <w:rFonts w:ascii="Times New Roman" w:cs="Times New Roman" w:eastAsia="Times New Roman" w:hAnsi="Times New Roman"/>
          <w:sz w:val="14"/>
          <w:szCs w:val="14"/>
          <w:color w:val="auto"/>
        </w:rPr>
      </w:pPr>
    </w:p>
    <w:p>
      <w:pPr>
        <w:ind w:left="220" w:right="379" w:firstLine="338"/>
        <w:spacing w:after="0" w:line="267" w:lineRule="auto"/>
        <w:tabs>
          <w:tab w:leader="none" w:pos="768"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You will be indemnified by the Company as permitted by Delaware law and set forth in the Company’s Certificate of Incorporation and, as an officer of the Company, shall be covered in the same manner as the Company’s other officers under the Company’s directors’ and officers’ liability insurance as in effect from time to time.</w:t>
      </w:r>
    </w:p>
    <w:p>
      <w:pPr>
        <w:spacing w:after="0" w:line="135" w:lineRule="exact"/>
        <w:rPr>
          <w:rFonts w:ascii="Times New Roman" w:cs="Times New Roman" w:eastAsia="Times New Roman" w:hAnsi="Times New Roman"/>
          <w:sz w:val="14"/>
          <w:szCs w:val="14"/>
          <w:color w:val="auto"/>
        </w:rPr>
      </w:pPr>
    </w:p>
    <w:p>
      <w:pPr>
        <w:ind w:left="220" w:right="339" w:firstLine="338"/>
        <w:spacing w:after="0" w:line="254" w:lineRule="auto"/>
        <w:tabs>
          <w:tab w:leader="none" w:pos="77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 This Agreement shall not be construed as an agreement, either expressed or implied, to employ you for any stated term, and shall in no way alter the at will nature of your employment, under which, subject to Section 6, both you and the Company remain free to terminate the employment relationship, with or without Cause, at any time, with or without notice. This Agreement shall be construed and enforced in accordance with and governed by the laws of the Commonwealth of Massachusetts (without giving effect to any conflicts or choice of laws provisions thereof that would cause the application of the domestic substantive laws of any other jurisdiction). You and the Company each hereby irrevocably waive any right to a trial by jury in any action, suit or other legal proceeding arising under or relating to any provision of this Agreement. The terms and conditions of your proposed employment with the Company in this Agreement supersede any and all prior written and verbal discussions or agreements concerning conditions of employment. This Agreement may be executed in two or more counterparts, each of which shall be deemed an original, and all of which together shall constitute one and the same instrument. Any provision hereof requiring written consent, confirmation,</w:t>
      </w:r>
    </w:p>
    <w:p>
      <w:pPr>
        <w:spacing w:after="0" w:line="96"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ectPr>
          <w:pgSz w:w="11900" w:h="16838" w:orient="portrait"/>
          <w:cols w:equalWidth="0" w:num="1">
            <w:col w:w="9019"/>
          </w:cols>
          <w:pgMar w:left="1440" w:top="241" w:right="1440" w:bottom="1440" w:gutter="0" w:footer="0" w:header="0"/>
        </w:sectPr>
      </w:pPr>
    </w:p>
    <w:bookmarkStart w:id="480" w:name="page481"/>
    <w:bookmarkEnd w:id="480"/>
    <w:p>
      <w:pPr>
        <w:ind w:left="22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or other similar communication may be satisfied through electronic communication, including the use of electronic signatures for execution of this Agreement. This Agreement shall be binding upon and inure to the benefit of you and the Company and each of your and the Company’s respective successors and assigns, including any corporation with which or into which the Company may be merged or which may succeed to its assets or business; provided, however, that your obligations are personal and shall not be assigned by you.</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Very truly yours,</w:t>
            </w:r>
          </w:p>
        </w:tc>
        <w:tc>
          <w:tcPr>
            <w:tcW w:w="4540" w:type="dxa"/>
            <w:vAlign w:val="bottom"/>
          </w:tcPr>
          <w:p>
            <w:pPr>
              <w:spacing w:after="0"/>
              <w:rPr>
                <w:sz w:val="15"/>
                <w:szCs w:val="15"/>
                <w:color w:val="auto"/>
              </w:rPr>
            </w:pPr>
          </w:p>
        </w:tc>
      </w:tr>
      <w:tr>
        <w:trPr>
          <w:trHeight w:val="336"/>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SEAPORT THERAPEUTICS, INC.</w:t>
            </w:r>
          </w:p>
        </w:tc>
        <w:tc>
          <w:tcPr>
            <w:tcW w:w="4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ACKNOWLEDGED AND AGREED:</w:t>
            </w:r>
          </w:p>
        </w:tc>
      </w:tr>
      <w:tr>
        <w:trPr>
          <w:trHeight w:val="336"/>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Daphne Zohar</w:t>
            </w:r>
          </w:p>
        </w:tc>
        <w:tc>
          <w:tcPr>
            <w:tcW w:w="4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Antony Loebel</w:t>
            </w:r>
          </w:p>
        </w:tc>
      </w:tr>
      <w:tr>
        <w:trPr>
          <w:trHeight w:val="20"/>
        </w:trPr>
        <w:tc>
          <w:tcPr>
            <w:tcW w:w="24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r>
      <w:tr>
        <w:trPr>
          <w:trHeight w:val="144"/>
        </w:trPr>
        <w:tc>
          <w:tcPr>
            <w:tcW w:w="36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Name: Daphne Zohar</w:t>
            </w:r>
          </w:p>
        </w:tc>
        <w:tc>
          <w:tcPr>
            <w:tcW w:w="380" w:type="dxa"/>
            <w:vAlign w:val="bottom"/>
          </w:tcPr>
          <w:p>
            <w:pPr>
              <w:spacing w:after="0"/>
              <w:rPr>
                <w:sz w:val="12"/>
                <w:szCs w:val="12"/>
                <w:color w:val="auto"/>
              </w:rPr>
            </w:pPr>
          </w:p>
        </w:tc>
        <w:tc>
          <w:tcPr>
            <w:tcW w:w="454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Antony Loebel</w:t>
            </w:r>
          </w:p>
        </w:tc>
      </w:tr>
      <w:tr>
        <w:trPr>
          <w:trHeight w:val="18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 Chief Executive Officer</w:t>
            </w:r>
          </w:p>
        </w:tc>
        <w:tc>
          <w:tcPr>
            <w:tcW w:w="4540" w:type="dxa"/>
            <w:vAlign w:val="bottom"/>
          </w:tcPr>
          <w:p>
            <w:pPr>
              <w:spacing w:after="0"/>
              <w:rPr>
                <w:sz w:val="15"/>
                <w:szCs w:val="15"/>
                <w:color w:val="auto"/>
              </w:rPr>
            </w:pPr>
          </w:p>
        </w:tc>
      </w:tr>
      <w:tr>
        <w:trPr>
          <w:trHeight w:val="284"/>
        </w:trPr>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40" w:type="dxa"/>
            <w:vAlign w:val="bottom"/>
          </w:tcPr>
          <w:p>
            <w:pPr>
              <w:jc w:val="right"/>
              <w:ind w:right="4110"/>
              <w:spacing w:after="0"/>
              <w:rPr>
                <w:sz w:val="20"/>
                <w:szCs w:val="20"/>
                <w:color w:val="auto"/>
              </w:rPr>
            </w:pPr>
            <w:r>
              <w:rPr>
                <w:rFonts w:ascii="Times New Roman" w:cs="Times New Roman" w:eastAsia="Times New Roman" w:hAnsi="Times New Roman"/>
                <w:sz w:val="14"/>
                <w:szCs w:val="14"/>
                <w:color w:val="auto"/>
              </w:rPr>
              <w:t>- 8 -</w:t>
            </w:r>
          </w:p>
        </w:tc>
      </w:tr>
    </w:tbl>
    <w:p>
      <w:pPr>
        <w:sectPr>
          <w:pgSz w:w="11900" w:h="16838" w:orient="portrait"/>
          <w:cols w:equalWidth="0" w:num="1">
            <w:col w:w="9019"/>
          </w:cols>
          <w:pgMar w:left="1440" w:top="241" w:right="1440" w:bottom="1440" w:gutter="0" w:footer="0" w:header="0"/>
        </w:sectPr>
      </w:pPr>
    </w:p>
    <w:bookmarkStart w:id="481" w:name="page482"/>
    <w:bookmarkEnd w:id="481"/>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A – Engagements to For Profit Entities</w:t>
      </w:r>
    </w:p>
    <w:p>
      <w:pPr>
        <w:spacing w:after="0" w:line="196" w:lineRule="exact"/>
        <w:rPr>
          <w:sz w:val="20"/>
          <w:szCs w:val="20"/>
          <w:color w:val="auto"/>
        </w:rPr>
      </w:pPr>
    </w:p>
    <w:p>
      <w:pPr>
        <w:ind w:left="980" w:hanging="345"/>
        <w:spacing w:after="0"/>
        <w:tabs>
          <w:tab w:leader="none" w:pos="98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Scientific Advisory Committee member to Marathon Asset Management (MAM)</w:t>
      </w:r>
    </w:p>
    <w:p>
      <w:pPr>
        <w:spacing w:after="0" w:line="12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ectPr>
          <w:pgSz w:w="11900" w:h="16838" w:orient="portrait"/>
          <w:cols w:equalWidth="0" w:num="1">
            <w:col w:w="9019"/>
          </w:cols>
          <w:pgMar w:left="1440" w:top="241" w:right="1440" w:bottom="1440" w:gutter="0" w:footer="0" w:header="0"/>
        </w:sectPr>
      </w:pPr>
    </w:p>
    <w:bookmarkStart w:id="482" w:name="page483"/>
    <w:bookmarkEnd w:id="482"/>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10.14</w:t>
      </w:r>
    </w:p>
    <w:p>
      <w:pPr>
        <w:spacing w:after="0" w:line="175" w:lineRule="exact"/>
        <w:rPr>
          <w:sz w:val="20"/>
          <w:szCs w:val="20"/>
          <w:color w:val="auto"/>
        </w:rPr>
      </w:pPr>
    </w:p>
    <w:p>
      <w:pPr>
        <w:jc w:val="center"/>
        <w:ind w:left="1800" w:right="1819"/>
        <w:spacing w:after="0" w:line="262" w:lineRule="auto"/>
        <w:rPr>
          <w:sz w:val="20"/>
          <w:szCs w:val="20"/>
          <w:color w:val="auto"/>
        </w:rPr>
      </w:pPr>
      <w:r>
        <w:rPr>
          <w:rFonts w:ascii="Times New Roman" w:cs="Times New Roman" w:eastAsia="Times New Roman" w:hAnsi="Times New Roman"/>
          <w:sz w:val="14"/>
          <w:szCs w:val="14"/>
          <w:b w:val="1"/>
          <w:bCs w:val="1"/>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ASSET TRANSFER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by and between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SEAPORT THERAPEUTICS, INC., on the one hand,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PURETECH HEALTH LLC,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PURETECH LYT, INC., on the other hand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April 8, 2024</w:t>
      </w:r>
    </w:p>
    <w:p>
      <w:pPr>
        <w:sectPr>
          <w:pgSz w:w="11900" w:h="16838" w:orient="portrait"/>
          <w:cols w:equalWidth="0" w:num="1">
            <w:col w:w="9019"/>
          </w:cols>
          <w:pgMar w:left="1440" w:top="123" w:right="1440" w:bottom="1440" w:gutter="0" w:footer="0" w:header="0"/>
        </w:sectPr>
      </w:pPr>
    </w:p>
    <w:bookmarkStart w:id="483" w:name="page484"/>
    <w:bookmarkEnd w:id="483"/>
    <w:tbl>
      <w:tblPr>
        <w:tblLayout w:type="fixed"/>
        <w:tblInd w:w="22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tc>
      </w:tr>
      <w:tr>
        <w:trPr>
          <w:trHeight w:val="336"/>
        </w:trPr>
        <w:tc>
          <w:tcPr>
            <w:tcW w:w="560" w:type="dxa"/>
            <w:vAlign w:val="bottom"/>
          </w:tcPr>
          <w:p>
            <w:pPr>
              <w:spacing w:after="0"/>
              <w:rPr>
                <w:sz w:val="24"/>
                <w:szCs w:val="24"/>
                <w:color w:val="auto"/>
              </w:rPr>
            </w:pPr>
          </w:p>
        </w:tc>
        <w:tc>
          <w:tcPr>
            <w:tcW w:w="572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300" w:type="dxa"/>
            <w:vAlign w:val="bottom"/>
          </w:tcPr>
          <w:p>
            <w:pPr>
              <w:spacing w:after="0"/>
              <w:rPr>
                <w:sz w:val="24"/>
                <w:szCs w:val="24"/>
                <w:color w:val="auto"/>
              </w:rPr>
            </w:pPr>
          </w:p>
        </w:tc>
      </w:tr>
      <w:tr>
        <w:trPr>
          <w:trHeight w:val="318"/>
        </w:trPr>
        <w:tc>
          <w:tcPr>
            <w:tcW w:w="5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9"/>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TRANSFER OF 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Transfer of 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1.2</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Excluded 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1.3</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Assumption of Liabilities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1.4</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Retained Liabilities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1.5</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Consideration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Closing; Closing Deliveries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1.7</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1.8</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Wrong Pockets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52"/>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REPRESENTATIONS AND WARRANTIES OF PURETECH</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Organization and Good Standing</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2.2</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Authority; No Conflict; Required Filings and Consents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2.3</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Taxes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2.4</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Intellectual Property</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2.5</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Contracts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2.6</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Real Property</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2.7</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Environmental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2.8</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Litigation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2.9</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Compliance With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2.10</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Affiliate Transactions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2.11</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Suppliers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2.12</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Brokers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2.13</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2.14</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Data Privacy and Security</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2.15</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Other Representations or Warranties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2"/>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REPRESENTATIONS AND WARRANTIES OF SEAPORT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Organization, Standing and Power</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3.2</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Authority; No Conflict; Required Filings and Consents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3.3</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Brokers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3.4</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Capitalization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3.5</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Valid Issuance of Shares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3.6</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Governmental Consents and Filings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3.7</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Independent Investigation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52"/>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ADDITIONAL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Access to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4.2</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Further Assurances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4.3</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4.4</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Ownership Transfer</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4.5</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4.6</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PureTech License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4.7</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Protection and Maintenance of Transferred Patents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4.8</w:t>
            </w:r>
          </w:p>
        </w:tc>
        <w:tc>
          <w:tcPr>
            <w:tcW w:w="5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Services Agreement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484" w:name="page485"/>
    <w:bookmarkEnd w:id="484"/>
    <w:tbl>
      <w:tblPr>
        <w:tblLayout w:type="fixed"/>
        <w:tblInd w:w="220" w:type="dxa"/>
        <w:tblCellMar>
          <w:top w:w="0" w:type="dxa"/>
          <w:left w:w="0" w:type="dxa"/>
          <w:bottom w:w="0" w:type="dxa"/>
          <w:right w:w="0" w:type="dxa"/>
        </w:tblCellMar>
      </w:tblPr>
      <w:tr>
        <w:trPr>
          <w:trHeight w:val="183"/>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CONFIDENTIALITY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5.1</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Confidentiality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5.2</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Authorized Disclosure</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5.3</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Terms of this Agreement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INDEMNIFICATION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6.1</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Indemnification by PureTech</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6.2</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Indemnification by Seaport</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6.3</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Indemnification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6.4</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Survival</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6.5</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Limitations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6.6</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Due Diligence</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6.7</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Indemnification Payments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DEFINED TERMS; INTERPRETATION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Definitions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7.2</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Interpretation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52"/>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MISCELLANEOUS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8.1</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8.2</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Entire Agreement; Amendment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8.3</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Third-Party Beneficiaries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8.4</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Assignment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8.5</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Severability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8.6</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Counterparts and Signature</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8.7</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Governing Law</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8.8</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Remedies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8.9</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Submission to Jurisdiction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8.10</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Fees and Expenses</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8.11</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Disclosure Schedule</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3"/>
        </w:trPr>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8.12</w:t>
            </w:r>
          </w:p>
        </w:tc>
        <w:tc>
          <w:tcPr>
            <w:tcW w:w="5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Waiver</w:t>
            </w: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41" w:right="1440" w:bottom="1440" w:gutter="0" w:footer="0" w:header="0"/>
        </w:sectPr>
      </w:pPr>
    </w:p>
    <w:bookmarkStart w:id="485" w:name="page486"/>
    <w:bookmarkEnd w:id="485"/>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Execution Version</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Schedules:</w:t>
            </w:r>
          </w:p>
        </w:tc>
        <w:tc>
          <w:tcPr>
            <w:tcW w:w="1940" w:type="dxa"/>
            <w:vAlign w:val="bottom"/>
          </w:tcPr>
          <w:p>
            <w:pPr>
              <w:spacing w:after="0"/>
              <w:rPr>
                <w:sz w:val="13"/>
                <w:szCs w:val="13"/>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9"/>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1.1(a)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Transferred Intellectual Property</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1.1(b)</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Transferred Contracts</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1.1 (c)</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Inventory</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1.1(d)</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Regulatory Applications</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1.1(h)</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1.2(j)</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Excluded Assets</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1.3</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Assumed Liabilities</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1.6(b)(iii)</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Required Consents</w:t>
            </w:r>
          </w:p>
        </w:tc>
      </w:tr>
      <w:tr>
        <w:trPr>
          <w:trHeight w:val="183"/>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Schedule 7.1</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Excluded Contracts</w:t>
            </w:r>
          </w:p>
        </w:tc>
      </w:tr>
      <w:tr>
        <w:trPr>
          <w:trHeight w:val="252"/>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Disclosure Schedule</w:t>
            </w:r>
          </w:p>
        </w:tc>
        <w:tc>
          <w:tcPr>
            <w:tcW w:w="1940" w:type="dxa"/>
            <w:vAlign w:val="bottom"/>
          </w:tcPr>
          <w:p>
            <w:pPr>
              <w:spacing w:after="0"/>
              <w:rPr>
                <w:sz w:val="21"/>
                <w:szCs w:val="21"/>
                <w:color w:val="auto"/>
              </w:rPr>
            </w:pPr>
          </w:p>
        </w:tc>
      </w:tr>
      <w:tr>
        <w:trPr>
          <w:trHeight w:val="221"/>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Exhibits:</w:t>
            </w:r>
          </w:p>
        </w:tc>
        <w:tc>
          <w:tcPr>
            <w:tcW w:w="1940" w:type="dxa"/>
            <w:vAlign w:val="bottom"/>
          </w:tcPr>
          <w:p>
            <w:pPr>
              <w:spacing w:after="0"/>
              <w:rPr>
                <w:sz w:val="19"/>
                <w:szCs w:val="19"/>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9"/>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A</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Trademark Assignment</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B</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Patent Assignment</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C</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 Agreement</w:t>
            </w:r>
          </w:p>
        </w:tc>
      </w:tr>
      <w:tr>
        <w:trPr>
          <w:trHeight w:val="168"/>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D</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PureTech Representation Letter</w:t>
            </w:r>
          </w:p>
        </w:tc>
      </w:tr>
      <w:tr>
        <w:trPr>
          <w:trHeight w:val="183"/>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E</w:t>
            </w:r>
          </w:p>
        </w:tc>
        <w:tc>
          <w:tcPr>
            <w:tcW w:w="1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of PureTech License</w:t>
            </w:r>
          </w:p>
        </w:tc>
      </w:tr>
    </w:tbl>
    <w:p>
      <w:pPr>
        <w:sectPr>
          <w:pgSz w:w="11900" w:h="16838" w:orient="portrait"/>
          <w:cols w:equalWidth="0" w:num="1">
            <w:col w:w="9019"/>
          </w:cols>
          <w:pgMar w:left="1440" w:top="238" w:right="1440" w:bottom="1440" w:gutter="0" w:footer="0" w:header="0"/>
        </w:sectPr>
      </w:pPr>
    </w:p>
    <w:bookmarkStart w:id="486" w:name="page487"/>
    <w:bookmarkEnd w:id="4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TABLE OF DEFINED TERMS</w:t>
            </w:r>
          </w:p>
        </w:tc>
      </w:tr>
      <w:tr>
        <w:trPr>
          <w:trHeight w:val="30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2"/>
              </w:rPr>
              <w:t>Terms</w:t>
            </w:r>
          </w:p>
        </w:tc>
        <w:tc>
          <w:tcPr>
            <w:tcW w:w="2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Reference in Agreement</w:t>
            </w:r>
          </w:p>
        </w:tc>
        <w:tc>
          <w:tcPr>
            <w:tcW w:w="860" w:type="dxa"/>
            <w:vAlign w:val="bottom"/>
          </w:tcPr>
          <w:p>
            <w:pPr>
              <w:spacing w:after="0"/>
              <w:rPr>
                <w:sz w:val="24"/>
                <w:szCs w:val="24"/>
                <w:color w:val="auto"/>
              </w:rPr>
            </w:pPr>
          </w:p>
        </w:tc>
      </w:tr>
      <w:tr>
        <w:trPr>
          <w:trHeight w:val="144"/>
        </w:trPr>
        <w:tc>
          <w:tcPr>
            <w:tcW w:w="27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Additional Transfer Documents</w:t>
            </w:r>
          </w:p>
        </w:tc>
        <w:tc>
          <w:tcPr>
            <w:tcW w:w="520" w:type="dxa"/>
            <w:vAlign w:val="bottom"/>
          </w:tcPr>
          <w:p>
            <w:pPr>
              <w:spacing w:after="0"/>
              <w:rPr>
                <w:sz w:val="12"/>
                <w:szCs w:val="12"/>
                <w:color w:val="auto"/>
              </w:rPr>
            </w:pPr>
          </w:p>
        </w:tc>
        <w:tc>
          <w:tcPr>
            <w:tcW w:w="11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1.6(b)(i)(D)</w:t>
            </w:r>
          </w:p>
        </w:tc>
        <w:tc>
          <w:tcPr>
            <w:tcW w:w="860" w:type="dxa"/>
            <w:vAlign w:val="bottom"/>
          </w:tcPr>
          <w:p>
            <w:pPr>
              <w:spacing w:after="0"/>
              <w:rPr>
                <w:sz w:val="12"/>
                <w:szCs w:val="12"/>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Affiliate</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w:t>
            </w:r>
          </w:p>
        </w:tc>
        <w:tc>
          <w:tcPr>
            <w:tcW w:w="2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Ancillary Agreements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Assumed Liabilities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Available</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Books and Records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w:t>
            </w:r>
          </w:p>
        </w:tc>
        <w:tc>
          <w:tcPr>
            <w:tcW w:w="2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Recitals</w:t>
            </w: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Day</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Claim Notice</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Claimed Amount</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Closing Date</w:t>
            </w:r>
          </w:p>
        </w:tc>
        <w:tc>
          <w:tcPr>
            <w:tcW w:w="2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1.6(a)</w:t>
            </w: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Code</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3.4(a)</w:t>
            </w: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Confidential Information</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Consideration</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1.5</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Controlled Affiliate</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Controlling Party</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Damages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6.1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Security Incident</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Consent</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1.7</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Item</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1.7</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Disclosure Schedule</w:t>
            </w:r>
          </w:p>
        </w:tc>
        <w:tc>
          <w:tcPr>
            <w:tcW w:w="2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Article II</w:t>
            </w: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Employment Claims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Environmental Law</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Excluded Assets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1.2</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Excluded Contract</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Fundamental Reps</w:t>
            </w:r>
          </w:p>
        </w:tc>
        <w:tc>
          <w:tcPr>
            <w:tcW w:w="2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6.4(a)</w:t>
            </w: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GAAP</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Governmental Entity</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Hazardous Material</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Identified Product Concept</w:t>
            </w:r>
          </w:p>
        </w:tc>
        <w:tc>
          <w:tcPr>
            <w:tcW w:w="2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4.7(a)</w:t>
            </w: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Indebtedness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Indemnified Party</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Indemnifying Party</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Privacy and Security Laws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Insurance Policies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Intellectual Property</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83"/>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Law or Laws</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5"/>
                <w:szCs w:val="15"/>
                <w:color w:val="auto"/>
              </w:rPr>
            </w:pPr>
          </w:p>
        </w:tc>
      </w:tr>
    </w:tbl>
    <w:p>
      <w:pPr>
        <w:sectPr>
          <w:pgSz w:w="11900" w:h="16838" w:orient="portrait"/>
          <w:cols w:equalWidth="0" w:num="1">
            <w:col w:w="9019"/>
          </w:cols>
          <w:pgMar w:left="1440" w:top="239" w:right="1440" w:bottom="1440" w:gutter="0" w:footer="0" w:header="0"/>
        </w:sectPr>
      </w:pPr>
    </w:p>
    <w:bookmarkStart w:id="487" w:name="page488"/>
    <w:bookmarkEnd w:id="4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TABLE OF DEFINED TERMS</w:t>
            </w:r>
          </w:p>
        </w:tc>
      </w:tr>
      <w:tr>
        <w:trPr>
          <w:trHeight w:val="183"/>
        </w:trPr>
        <w:tc>
          <w:tcPr>
            <w:tcW w:w="2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(continued)</w:t>
            </w:r>
          </w:p>
        </w:tc>
      </w:tr>
      <w:tr>
        <w:trPr>
          <w:trHeight w:val="231"/>
        </w:trPr>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Terms</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1"/>
                <w:szCs w:val="11"/>
                <w:color w:val="auto"/>
              </w:rPr>
              <w:t>Reference in Agreement</w:t>
            </w:r>
          </w:p>
        </w:tc>
      </w:tr>
      <w:tr>
        <w:trPr>
          <w:trHeight w:val="144"/>
        </w:trPr>
        <w:tc>
          <w:tcPr>
            <w:tcW w:w="28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w w:val="81"/>
              </w:rPr>
              <w:t>Legal</w:t>
            </w:r>
          </w:p>
        </w:tc>
        <w:tc>
          <w:tcPr>
            <w:tcW w:w="24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Proceeding</w:t>
            </w:r>
          </w:p>
        </w:tc>
        <w:tc>
          <w:tcPr>
            <w:tcW w:w="560" w:type="dxa"/>
            <w:vAlign w:val="bottom"/>
          </w:tcPr>
          <w:p>
            <w:pPr>
              <w:spacing w:after="0"/>
              <w:rPr>
                <w:sz w:val="12"/>
                <w:szCs w:val="12"/>
                <w:color w:val="auto"/>
              </w:rPr>
            </w:pPr>
          </w:p>
        </w:tc>
        <w:tc>
          <w:tcPr>
            <w:tcW w:w="112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2"/>
                <w:szCs w:val="12"/>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Liability</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Lien or Liens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Major European Market</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Monash</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Monash License</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Seaport Employees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Party</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Non-CNS Indications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Order</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Ordinary Course of Business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Organizational Documents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Patent</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or Parties</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Permits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Personal Data</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Pre-Closing Tax Period</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4.4(a)</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3.4(a)</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Processing or Processed</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Approval</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IND</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License Agreement</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Licensee</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 Benefit Arrangement</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 Data</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 Employee Liabilities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 Indemnified Party or Parties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6.2</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 License</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4.7(a)</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 License Request Notice</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4.7(a)</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 Registrations</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2.4(b)</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PureTech’s Knowledge</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Regulatory Authority</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Regulatory Applications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Regulatory Documentation</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Release</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Representatives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Required Consents</w:t>
            </w:r>
          </w:p>
        </w:tc>
        <w:tc>
          <w:tcPr>
            <w:tcW w:w="2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1.6(b)(iii)</w:t>
            </w:r>
          </w:p>
        </w:tc>
      </w:tr>
      <w:tr>
        <w:trPr>
          <w:trHeight w:val="16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Retained Liabilities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1.4</w:t>
            </w:r>
          </w:p>
        </w:tc>
        <w:tc>
          <w:tcPr>
            <w:tcW w:w="860" w:type="dxa"/>
            <w:vAlign w:val="bottom"/>
          </w:tcPr>
          <w:p>
            <w:pPr>
              <w:spacing w:after="0"/>
              <w:rPr>
                <w:sz w:val="14"/>
                <w:szCs w:val="14"/>
                <w:color w:val="auto"/>
              </w:rPr>
            </w:pPr>
          </w:p>
        </w:tc>
      </w:tr>
      <w:tr>
        <w:trPr>
          <w:trHeight w:val="18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Retained Tax Liabilities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5"/>
                <w:szCs w:val="15"/>
                <w:color w:val="auto"/>
              </w:rPr>
            </w:pPr>
          </w:p>
        </w:tc>
      </w:tr>
    </w:tbl>
    <w:p>
      <w:pPr>
        <w:sectPr>
          <w:pgSz w:w="11900" w:h="16838" w:orient="portrait"/>
          <w:cols w:equalWidth="0" w:num="1">
            <w:col w:w="9019"/>
          </w:cols>
          <w:pgMar w:left="1440" w:top="238" w:right="1440" w:bottom="1440" w:gutter="0" w:footer="0" w:header="0"/>
        </w:sectPr>
      </w:pPr>
    </w:p>
    <w:bookmarkStart w:id="488" w:name="page489"/>
    <w:bookmarkEnd w:id="4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8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TABLE OF DEFINED TERMS</w:t>
            </w:r>
          </w:p>
        </w:tc>
      </w:tr>
      <w:tr>
        <w:trPr>
          <w:trHeight w:val="183"/>
        </w:trPr>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(continued)</w:t>
            </w:r>
          </w:p>
        </w:tc>
      </w:tr>
      <w:tr>
        <w:trPr>
          <w:trHeight w:val="23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2"/>
              </w:rPr>
              <w:t>Terms</w:t>
            </w:r>
          </w:p>
        </w:tc>
        <w:tc>
          <w:tcPr>
            <w:tcW w:w="2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Reference in Agreement</w:t>
            </w:r>
          </w:p>
        </w:tc>
        <w:tc>
          <w:tcPr>
            <w:tcW w:w="860" w:type="dxa"/>
            <w:vAlign w:val="bottom"/>
          </w:tcPr>
          <w:p>
            <w:pPr>
              <w:spacing w:after="0"/>
              <w:rPr>
                <w:sz w:val="20"/>
                <w:szCs w:val="20"/>
                <w:color w:val="auto"/>
              </w:rPr>
            </w:pPr>
          </w:p>
        </w:tc>
      </w:tr>
      <w:tr>
        <w:trPr>
          <w:trHeight w:val="144"/>
        </w:trPr>
        <w:tc>
          <w:tcPr>
            <w:tcW w:w="26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Royalty Term</w:t>
            </w:r>
          </w:p>
        </w:tc>
        <w:tc>
          <w:tcPr>
            <w:tcW w:w="600" w:type="dxa"/>
            <w:vAlign w:val="bottom"/>
          </w:tcPr>
          <w:p>
            <w:pPr>
              <w:spacing w:after="0"/>
              <w:rPr>
                <w:sz w:val="12"/>
                <w:szCs w:val="12"/>
                <w:color w:val="auto"/>
              </w:rPr>
            </w:pPr>
          </w:p>
        </w:tc>
        <w:tc>
          <w:tcPr>
            <w:tcW w:w="11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2"/>
                <w:szCs w:val="12"/>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Seaport</w:t>
            </w:r>
          </w:p>
        </w:tc>
        <w:tc>
          <w:tcPr>
            <w:tcW w:w="25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Preamble</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Seaport Glyph Products</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Seaport Indemnified Party or Parties</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6.1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Survival Date</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6.4</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Returns</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Taxes</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Territory</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Party</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Party Action</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Trademark Assignment</w:t>
            </w:r>
          </w:p>
        </w:tc>
        <w:tc>
          <w:tcPr>
            <w:tcW w:w="25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1.6(b)(i)(A)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Transferred Assets</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1.1</w:t>
            </w:r>
          </w:p>
        </w:tc>
        <w:tc>
          <w:tcPr>
            <w:tcW w:w="860" w:type="dxa"/>
            <w:vAlign w:val="bottom"/>
          </w:tcPr>
          <w:p>
            <w:pPr>
              <w:spacing w:after="0"/>
              <w:rPr>
                <w:sz w:val="14"/>
                <w:szCs w:val="14"/>
                <w:color w:val="auto"/>
              </w:rPr>
            </w:pP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Transferred Contracts</w:t>
            </w:r>
          </w:p>
        </w:tc>
        <w:tc>
          <w:tcPr>
            <w:tcW w:w="25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1.1(a)</w:t>
            </w:r>
          </w:p>
        </w:tc>
      </w:tr>
      <w:tr>
        <w:trPr>
          <w:trHeight w:val="16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Transferred Intellectual Property</w:t>
            </w:r>
          </w:p>
        </w:tc>
        <w:tc>
          <w:tcPr>
            <w:tcW w:w="25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1.1(b)</w:t>
            </w:r>
          </w:p>
        </w:tc>
      </w:tr>
      <w:tr>
        <w:trPr>
          <w:trHeight w:val="18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Valid Claim</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7.1</w:t>
            </w:r>
          </w:p>
        </w:tc>
        <w:tc>
          <w:tcPr>
            <w:tcW w:w="860" w:type="dxa"/>
            <w:vAlign w:val="bottom"/>
          </w:tcPr>
          <w:p>
            <w:pPr>
              <w:spacing w:after="0"/>
              <w:rPr>
                <w:sz w:val="15"/>
                <w:szCs w:val="15"/>
                <w:color w:val="auto"/>
              </w:rPr>
            </w:pPr>
          </w:p>
        </w:tc>
      </w:tr>
    </w:tbl>
    <w:p>
      <w:pPr>
        <w:sectPr>
          <w:pgSz w:w="11900" w:h="16838" w:orient="portrait"/>
          <w:cols w:equalWidth="0" w:num="1">
            <w:col w:w="9019"/>
          </w:cols>
          <w:pgMar w:left="1440" w:top="239" w:right="1440" w:bottom="1440" w:gutter="0" w:footer="0" w:header="0"/>
        </w:sectPr>
      </w:pPr>
    </w:p>
    <w:bookmarkStart w:id="489" w:name="page490"/>
    <w:bookmarkEnd w:id="48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ASSET TRANSFER AGREEMENT</w:t>
      </w:r>
    </w:p>
    <w:p>
      <w:pPr>
        <w:spacing w:after="0" w:line="177" w:lineRule="exact"/>
        <w:rPr>
          <w:sz w:val="20"/>
          <w:szCs w:val="20"/>
          <w:color w:val="auto"/>
        </w:rPr>
      </w:pPr>
    </w:p>
    <w:p>
      <w:pPr>
        <w:ind w:left="220" w:right="239" w:firstLine="343"/>
        <w:spacing w:after="0" w:line="287" w:lineRule="auto"/>
        <w:rPr>
          <w:sz w:val="20"/>
          <w:szCs w:val="20"/>
          <w:color w:val="auto"/>
        </w:rPr>
      </w:pPr>
      <w:r>
        <w:rPr>
          <w:rFonts w:ascii="Times New Roman" w:cs="Times New Roman" w:eastAsia="Times New Roman" w:hAnsi="Times New Roman"/>
          <w:sz w:val="13"/>
          <w:szCs w:val="13"/>
          <w:color w:val="auto"/>
        </w:rPr>
        <w:t>THIS ASSET TRANSFER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entered into as of April 8, 2024, by and among SEAPORT THERAPEUTICS, INC., a Delaware corporation (“</w:t>
      </w:r>
      <w:r>
        <w:rPr>
          <w:rFonts w:ascii="Times New Roman" w:cs="Times New Roman" w:eastAsia="Times New Roman" w:hAnsi="Times New Roman"/>
          <w:sz w:val="13"/>
          <w:szCs w:val="13"/>
          <w:u w:val="single" w:color="auto"/>
          <w:color w:val="auto"/>
        </w:rPr>
        <w:t>Seaport</w:t>
      </w:r>
      <w:r>
        <w:rPr>
          <w:rFonts w:ascii="Times New Roman" w:cs="Times New Roman" w:eastAsia="Times New Roman" w:hAnsi="Times New Roman"/>
          <w:sz w:val="13"/>
          <w:szCs w:val="13"/>
          <w:color w:val="auto"/>
        </w:rPr>
        <w:t>”), on the one hand, and PURETECH HEALTH LLC, a Delaware limited liability company (“</w:t>
      </w:r>
      <w:r>
        <w:rPr>
          <w:rFonts w:ascii="Times New Roman" w:cs="Times New Roman" w:eastAsia="Times New Roman" w:hAnsi="Times New Roman"/>
          <w:sz w:val="13"/>
          <w:szCs w:val="13"/>
          <w:u w:val="single" w:color="auto"/>
          <w:color w:val="auto"/>
        </w:rPr>
        <w:t>PureTech Health</w:t>
      </w:r>
      <w:r>
        <w:rPr>
          <w:rFonts w:ascii="Times New Roman" w:cs="Times New Roman" w:eastAsia="Times New Roman" w:hAnsi="Times New Roman"/>
          <w:sz w:val="13"/>
          <w:szCs w:val="13"/>
          <w:color w:val="auto"/>
        </w:rPr>
        <w:t>”) and PURETECH LYT, INC. a Delaware corporation and a wholly-owned subsidiary of PureTech Health (“</w:t>
      </w:r>
      <w:r>
        <w:rPr>
          <w:rFonts w:ascii="Times New Roman" w:cs="Times New Roman" w:eastAsia="Times New Roman" w:hAnsi="Times New Roman"/>
          <w:sz w:val="13"/>
          <w:szCs w:val="13"/>
          <w:u w:val="single" w:color="auto"/>
          <w:color w:val="auto"/>
        </w:rPr>
        <w:t>PureTech LYT</w:t>
      </w:r>
      <w:r>
        <w:rPr>
          <w:rFonts w:ascii="Times New Roman" w:cs="Times New Roman" w:eastAsia="Times New Roman" w:hAnsi="Times New Roman"/>
          <w:sz w:val="13"/>
          <w:szCs w:val="13"/>
          <w:color w:val="auto"/>
        </w:rPr>
        <w:t>” and together with PureTech Health, “</w:t>
      </w:r>
      <w:r>
        <w:rPr>
          <w:rFonts w:ascii="Times New Roman" w:cs="Times New Roman" w:eastAsia="Times New Roman" w:hAnsi="Times New Roman"/>
          <w:sz w:val="13"/>
          <w:szCs w:val="13"/>
          <w:u w:val="single" w:color="auto"/>
          <w:color w:val="auto"/>
        </w:rPr>
        <w:t>PureTech</w:t>
      </w:r>
      <w:r>
        <w:rPr>
          <w:rFonts w:ascii="Times New Roman" w:cs="Times New Roman" w:eastAsia="Times New Roman" w:hAnsi="Times New Roman"/>
          <w:sz w:val="13"/>
          <w:szCs w:val="13"/>
          <w:color w:val="auto"/>
        </w:rPr>
        <w:t>”), on the other hand. Seaport and PureTech are also referred to herein individually as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and collectively as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WHEREAS, PureTech desires to transfer and assign to Seaport, and Seaport desires to acquire from PureTech certain assets and rights of PureTech related to the Glyph Technology (as defined below), subject to the assumption by Seaport of certain liabilities, upon the terms and subject to the conditions set forth in this Agreement.</w:t>
      </w:r>
    </w:p>
    <w:p>
      <w:pPr>
        <w:spacing w:after="0" w:line="136" w:lineRule="exact"/>
        <w:rPr>
          <w:sz w:val="20"/>
          <w:szCs w:val="20"/>
          <w:color w:val="auto"/>
        </w:rPr>
      </w:pPr>
    </w:p>
    <w:p>
      <w:pPr>
        <w:ind w:left="220" w:right="319" w:firstLine="343"/>
        <w:spacing w:after="0" w:line="323" w:lineRule="auto"/>
        <w:rPr>
          <w:sz w:val="20"/>
          <w:szCs w:val="20"/>
          <w:color w:val="auto"/>
        </w:rPr>
      </w:pPr>
      <w:r>
        <w:rPr>
          <w:rFonts w:ascii="Times New Roman" w:cs="Times New Roman" w:eastAsia="Times New Roman" w:hAnsi="Times New Roman"/>
          <w:sz w:val="13"/>
          <w:szCs w:val="13"/>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hereby agree as follows: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TRANSFER OF ASSETS</w:t>
      </w:r>
    </w:p>
    <w:p>
      <w:pPr>
        <w:spacing w:after="0" w:line="177"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Transfer of Assets</w:t>
      </w:r>
      <w:r>
        <w:rPr>
          <w:rFonts w:ascii="Times New Roman" w:cs="Times New Roman" w:eastAsia="Times New Roman" w:hAnsi="Times New Roman"/>
          <w:sz w:val="14"/>
          <w:szCs w:val="14"/>
          <w:color w:val="auto"/>
        </w:rPr>
        <w:t>. Upon the terms and subject to the conditions set forth herein, at the Closing, PureTech shall contribute, convey, assign, transfer and deliver to Seaport, and Seaport shall acquire and accept from PureTech, all of PureTech’s right, title and interest in, to and under the Transferred Assets, free and clear of any Liens. The contribution, assignment, transfer and delivery of the Transferred Assets by PureTech to Seaport is not revocable by PureTech. For purposes of this Agreement, the term “Transferred Assets” means all of the assets, rights and properties of PureTech existing as of the Closing related to the Glyph Technology or Products, including the following (but in each case excluding the Excluded Assets):</w:t>
      </w:r>
    </w:p>
    <w:p>
      <w:pPr>
        <w:spacing w:after="0" w:line="60" w:lineRule="exact"/>
        <w:rPr>
          <w:sz w:val="20"/>
          <w:szCs w:val="20"/>
          <w:color w:val="auto"/>
        </w:rPr>
      </w:pPr>
    </w:p>
    <w:p>
      <w:pPr>
        <w:ind w:left="220" w:right="699" w:firstLine="767"/>
        <w:spacing w:after="0" w:line="283" w:lineRule="auto"/>
        <w:tabs>
          <w:tab w:leader="none" w:pos="1182"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Intellectual Property that Covers, or that is necessary for the Utilization of, the Glyph Technology or Products, including the Transferred Patents set forth on </w:t>
      </w:r>
      <w:r>
        <w:rPr>
          <w:rFonts w:ascii="Times New Roman" w:cs="Times New Roman" w:eastAsia="Times New Roman" w:hAnsi="Times New Roman"/>
          <w:sz w:val="14"/>
          <w:szCs w:val="14"/>
          <w:u w:val="single" w:color="auto"/>
          <w:color w:val="auto"/>
        </w:rPr>
        <w:t>Schedule 1.1(a)</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u w:val="single" w:color="auto"/>
          <w:color w:val="auto"/>
        </w:rPr>
        <w:t>Transferred Intellectual Property</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220" w:right="359" w:firstLine="767"/>
        <w:spacing w:after="0" w:line="261" w:lineRule="auto"/>
        <w:tabs>
          <w:tab w:leader="none" w:pos="119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rights under the Contracts set forth on </w:t>
      </w:r>
      <w:r>
        <w:rPr>
          <w:rFonts w:ascii="Times New Roman" w:cs="Times New Roman" w:eastAsia="Times New Roman" w:hAnsi="Times New Roman"/>
          <w:sz w:val="14"/>
          <w:szCs w:val="14"/>
          <w:u w:val="single" w:color="auto"/>
          <w:color w:val="auto"/>
        </w:rPr>
        <w:t>Schedule 1.1(b)</w:t>
      </w:r>
      <w:r>
        <w:rPr>
          <w:rFonts w:ascii="Times New Roman" w:cs="Times New Roman" w:eastAsia="Times New Roman" w:hAnsi="Times New Roman"/>
          <w:sz w:val="14"/>
          <w:szCs w:val="14"/>
          <w:color w:val="auto"/>
        </w:rPr>
        <w:t xml:space="preserve"> to which PureTech is party and that relate exclusively or primarily to the Glyph Technology or Products (the “</w:t>
      </w:r>
      <w:r>
        <w:rPr>
          <w:rFonts w:ascii="Times New Roman" w:cs="Times New Roman" w:eastAsia="Times New Roman" w:hAnsi="Times New Roman"/>
          <w:sz w:val="14"/>
          <w:szCs w:val="14"/>
          <w:u w:val="single" w:color="auto"/>
          <w:color w:val="auto"/>
        </w:rPr>
        <w:t>Transferred Contracts</w:t>
      </w:r>
      <w:r>
        <w:rPr>
          <w:rFonts w:ascii="Times New Roman" w:cs="Times New Roman" w:eastAsia="Times New Roman" w:hAnsi="Times New Roman"/>
          <w:sz w:val="14"/>
          <w:szCs w:val="14"/>
          <w:color w:val="auto"/>
        </w:rPr>
        <w:t xml:space="preserve">”), including the Monash License but excluding any Excluded Contract (it being understood and agreed that, within [***] after the Closing Date, the Parties may, but shall not be obligated to, modify such </w:t>
      </w:r>
      <w:r>
        <w:rPr>
          <w:rFonts w:ascii="Times New Roman" w:cs="Times New Roman" w:eastAsia="Times New Roman" w:hAnsi="Times New Roman"/>
          <w:sz w:val="14"/>
          <w:szCs w:val="14"/>
          <w:u w:val="single" w:color="auto"/>
          <w:color w:val="auto"/>
        </w:rPr>
        <w:t>Schedule 1.1(b)</w:t>
      </w:r>
      <w:r>
        <w:rPr>
          <w:rFonts w:ascii="Times New Roman" w:cs="Times New Roman" w:eastAsia="Times New Roman" w:hAnsi="Times New Roman"/>
          <w:sz w:val="14"/>
          <w:szCs w:val="14"/>
          <w:color w:val="auto"/>
        </w:rPr>
        <w:t xml:space="preserve"> as mutually agreed in writing by the Parties to add to, delete from or modify the list of Contracts contained therein);</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Products (and all rights thereto), including all Inventory, including the items set forth on </w:t>
      </w:r>
      <w:r>
        <w:rPr>
          <w:rFonts w:ascii="Times New Roman" w:cs="Times New Roman" w:eastAsia="Times New Roman" w:hAnsi="Times New Roman"/>
          <w:sz w:val="14"/>
          <w:szCs w:val="14"/>
          <w:u w:val="single" w:color="auto"/>
          <w:color w:val="auto"/>
        </w:rPr>
        <w:t>Schedule 1.1(c)</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9" w:right="1440" w:bottom="1440" w:gutter="0" w:footer="0" w:header="0"/>
        </w:sectPr>
      </w:pPr>
    </w:p>
    <w:bookmarkStart w:id="490" w:name="page491"/>
    <w:bookmarkEnd w:id="490"/>
    <w:p>
      <w:pPr>
        <w:ind w:left="1180" w:hanging="193"/>
        <w:spacing w:after="0"/>
        <w:tabs>
          <w:tab w:leader="none" w:pos="118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all Product INDs, if any, and any other Regulatory Applications, including the items set forth on </w:t>
      </w:r>
      <w:r>
        <w:rPr>
          <w:rFonts w:ascii="Times New Roman" w:cs="Times New Roman" w:eastAsia="Times New Roman" w:hAnsi="Times New Roman"/>
          <w:sz w:val="14"/>
          <w:szCs w:val="14"/>
          <w:u w:val="single" w:color="auto"/>
          <w:color w:val="auto"/>
        </w:rPr>
        <w:t>Schedule 1.1(d)</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Regulatory Documentation;</w:t>
      </w:r>
    </w:p>
    <w:p>
      <w:pPr>
        <w:spacing w:after="0" w:line="175" w:lineRule="exact"/>
        <w:rPr>
          <w:rFonts w:ascii="Times New Roman" w:cs="Times New Roman" w:eastAsia="Times New Roman" w:hAnsi="Times New Roman"/>
          <w:sz w:val="14"/>
          <w:szCs w:val="14"/>
          <w:color w:val="auto"/>
        </w:rPr>
      </w:pPr>
    </w:p>
    <w:p>
      <w:pPr>
        <w:ind w:left="1160" w:hanging="173"/>
        <w:spacing w:after="0"/>
        <w:tabs>
          <w:tab w:leader="none" w:pos="116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Books and Records relating to Glyph Technology or Products;</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supplier and distributor lists related to the Glyph Technology or Products;</w:t>
      </w:r>
    </w:p>
    <w:p>
      <w:pPr>
        <w:spacing w:after="0" w:line="175" w:lineRule="exact"/>
        <w:rPr>
          <w:rFonts w:ascii="Times New Roman" w:cs="Times New Roman" w:eastAsia="Times New Roman" w:hAnsi="Times New Roman"/>
          <w:sz w:val="14"/>
          <w:szCs w:val="14"/>
          <w:color w:val="auto"/>
        </w:rPr>
      </w:pPr>
    </w:p>
    <w:p>
      <w:pPr>
        <w:ind w:left="220" w:right="419" w:firstLine="767"/>
        <w:spacing w:after="0" w:line="283" w:lineRule="auto"/>
        <w:tabs>
          <w:tab w:leader="none" w:pos="119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equipment and other assets, rights and properties of PureTech listed on </w:t>
      </w:r>
      <w:r>
        <w:rPr>
          <w:rFonts w:ascii="Times New Roman" w:cs="Times New Roman" w:eastAsia="Times New Roman" w:hAnsi="Times New Roman"/>
          <w:sz w:val="14"/>
          <w:szCs w:val="14"/>
          <w:u w:val="single" w:color="auto"/>
          <w:color w:val="auto"/>
        </w:rPr>
        <w:t>Schedule 1.1(h)</w:t>
      </w:r>
      <w:r>
        <w:rPr>
          <w:rFonts w:ascii="Times New Roman" w:cs="Times New Roman" w:eastAsia="Times New Roman" w:hAnsi="Times New Roman"/>
          <w:sz w:val="14"/>
          <w:szCs w:val="14"/>
          <w:color w:val="auto"/>
        </w:rPr>
        <w:t xml:space="preserve"> (and all associated warranties and service contracts, if any); and</w:t>
      </w:r>
    </w:p>
    <w:p>
      <w:pPr>
        <w:spacing w:after="0" w:line="124" w:lineRule="exact"/>
        <w:rPr>
          <w:rFonts w:ascii="Times New Roman" w:cs="Times New Roman" w:eastAsia="Times New Roman" w:hAnsi="Times New Roman"/>
          <w:sz w:val="14"/>
          <w:szCs w:val="14"/>
          <w:color w:val="auto"/>
        </w:rPr>
      </w:pPr>
    </w:p>
    <w:p>
      <w:pPr>
        <w:ind w:left="1160" w:hanging="173"/>
        <w:spacing w:after="0"/>
        <w:tabs>
          <w:tab w:leader="none" w:pos="116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goodwill associated with the Transferred Assets.</w:t>
      </w:r>
    </w:p>
    <w:p>
      <w:pPr>
        <w:spacing w:after="0" w:line="175" w:lineRule="exact"/>
        <w:rPr>
          <w:sz w:val="20"/>
          <w:szCs w:val="20"/>
          <w:color w:val="auto"/>
        </w:rPr>
      </w:pPr>
    </w:p>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Excluded Assets</w:t>
      </w:r>
      <w:r>
        <w:rPr>
          <w:rFonts w:ascii="Times New Roman" w:cs="Times New Roman" w:eastAsia="Times New Roman" w:hAnsi="Times New Roman"/>
          <w:sz w:val="14"/>
          <w:szCs w:val="14"/>
          <w:color w:val="auto"/>
        </w:rPr>
        <w:t>. Notwithstanding anything to the contrary in this Agreement, the Transferred Assets shall not include any of the Excluded Assets. For purposes of this Agreement, the term “Excluded Assets” means the following assets, rights and properties of PureTech:</w:t>
      </w:r>
    </w:p>
    <w:p>
      <w:pPr>
        <w:spacing w:after="0" w:line="41" w:lineRule="exact"/>
        <w:rPr>
          <w:sz w:val="20"/>
          <w:szCs w:val="20"/>
          <w:color w:val="auto"/>
        </w:rPr>
      </w:pPr>
    </w:p>
    <w:p>
      <w:pPr>
        <w:ind w:left="1180" w:hanging="193"/>
        <w:spacing w:after="0"/>
        <w:tabs>
          <w:tab w:leader="none" w:pos="118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short-term investments, deposits, bank accounts, and other cash equivalents, in each case as of the Closing;</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and loans receivable that are payable to PureTech;</w:t>
      </w:r>
    </w:p>
    <w:p>
      <w:pPr>
        <w:spacing w:after="0" w:line="175" w:lineRule="exact"/>
        <w:rPr>
          <w:rFonts w:ascii="Times New Roman" w:cs="Times New Roman" w:eastAsia="Times New Roman" w:hAnsi="Times New Roman"/>
          <w:sz w:val="14"/>
          <w:szCs w:val="14"/>
          <w:color w:val="auto"/>
        </w:rPr>
      </w:pPr>
    </w:p>
    <w:p>
      <w:pPr>
        <w:ind w:left="220" w:right="439" w:firstLine="767"/>
        <w:spacing w:after="0" w:line="267" w:lineRule="auto"/>
        <w:tabs>
          <w:tab w:leader="none" w:pos="1182"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Organizational Documents, qualifications to conduct business as a foreign entity, arrangements with registered agents relating to foreign qualifications, taxpayer and other identification numbers, seals, minute books, stock transfer books and other documents relating to the organization and existence of PureTech;</w:t>
      </w:r>
    </w:p>
    <w:p>
      <w:pPr>
        <w:spacing w:after="0" w:line="135" w:lineRule="exact"/>
        <w:rPr>
          <w:rFonts w:ascii="Times New Roman" w:cs="Times New Roman" w:eastAsia="Times New Roman" w:hAnsi="Times New Roman"/>
          <w:sz w:val="14"/>
          <w:szCs w:val="14"/>
          <w:color w:val="auto"/>
        </w:rPr>
      </w:pPr>
    </w:p>
    <w:p>
      <w:pPr>
        <w:ind w:left="220" w:right="479" w:firstLine="767"/>
        <w:spacing w:after="0" w:line="283" w:lineRule="auto"/>
        <w:tabs>
          <w:tab w:leader="none" w:pos="119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 refunds and Tax deposits of PureTech attributable to any Pre-Closing Tax Period and all Tax books and records of PureTech and, for the avoidance of doubt, all tax attributes of PureTech including, without limitation, tax loss carryovers and tax credits;</w:t>
      </w:r>
    </w:p>
    <w:p>
      <w:pPr>
        <w:spacing w:after="0" w:line="124"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of PureTech in and with respect to the assets associated with any PureTech Benefit Arrangement;</w:t>
      </w:r>
    </w:p>
    <w:p>
      <w:pPr>
        <w:spacing w:after="0" w:line="175" w:lineRule="exact"/>
        <w:rPr>
          <w:rFonts w:ascii="Times New Roman" w:cs="Times New Roman" w:eastAsia="Times New Roman" w:hAnsi="Times New Roman"/>
          <w:sz w:val="14"/>
          <w:szCs w:val="14"/>
          <w:color w:val="auto"/>
        </w:rPr>
      </w:pPr>
    </w:p>
    <w:p>
      <w:pPr>
        <w:ind w:left="1160" w:hanging="173"/>
        <w:spacing w:after="0"/>
        <w:tabs>
          <w:tab w:leader="none" w:pos="116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rights of PureTech under the Excluded Contracts;</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personnel records;</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Insurance Policies;</w:t>
      </w:r>
    </w:p>
    <w:p>
      <w:pPr>
        <w:spacing w:after="0" w:line="175" w:lineRule="exact"/>
        <w:rPr>
          <w:rFonts w:ascii="Times New Roman" w:cs="Times New Roman" w:eastAsia="Times New Roman" w:hAnsi="Times New Roman"/>
          <w:sz w:val="14"/>
          <w:szCs w:val="14"/>
          <w:color w:val="auto"/>
        </w:rPr>
      </w:pPr>
    </w:p>
    <w:p>
      <w:pPr>
        <w:ind w:left="1160" w:hanging="173"/>
        <w:spacing w:after="0"/>
        <w:tabs>
          <w:tab w:leader="none" w:pos="116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prepayments and prepaid expenses (including prepaid insurance premiums) under Contracts that are Excluded Contracts; and</w:t>
      </w:r>
    </w:p>
    <w:p>
      <w:pPr>
        <w:spacing w:after="0" w:line="175" w:lineRule="exact"/>
        <w:rPr>
          <w:rFonts w:ascii="Times New Roman" w:cs="Times New Roman" w:eastAsia="Times New Roman" w:hAnsi="Times New Roman"/>
          <w:sz w:val="14"/>
          <w:szCs w:val="14"/>
          <w:color w:val="auto"/>
        </w:rPr>
      </w:pPr>
    </w:p>
    <w:p>
      <w:pPr>
        <w:jc w:val="both"/>
        <w:ind w:left="220" w:right="239" w:firstLine="767"/>
        <w:spacing w:after="0" w:line="267" w:lineRule="auto"/>
        <w:tabs>
          <w:tab w:leader="none" w:pos="1159"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those assets listed on </w:t>
      </w:r>
      <w:r>
        <w:rPr>
          <w:rFonts w:ascii="Times New Roman" w:cs="Times New Roman" w:eastAsia="Times New Roman" w:hAnsi="Times New Roman"/>
          <w:sz w:val="14"/>
          <w:szCs w:val="14"/>
          <w:u w:val="single" w:color="auto"/>
          <w:color w:val="auto"/>
        </w:rPr>
        <w:t>Schedule 1.2(j)</w:t>
      </w:r>
      <w:r>
        <w:rPr>
          <w:rFonts w:ascii="Times New Roman" w:cs="Times New Roman" w:eastAsia="Times New Roman" w:hAnsi="Times New Roman"/>
          <w:sz w:val="14"/>
          <w:szCs w:val="14"/>
          <w:color w:val="auto"/>
        </w:rPr>
        <w:t xml:space="preserve"> (it being understood and agreed that, within [***] after the Closing Date, the Parties may, but shall not be obligated to, modify such </w:t>
      </w:r>
      <w:r>
        <w:rPr>
          <w:rFonts w:ascii="Times New Roman" w:cs="Times New Roman" w:eastAsia="Times New Roman" w:hAnsi="Times New Roman"/>
          <w:sz w:val="14"/>
          <w:szCs w:val="14"/>
          <w:u w:val="single" w:color="auto"/>
          <w:color w:val="auto"/>
        </w:rPr>
        <w:t>Schedule 1.2(j)</w:t>
      </w:r>
      <w:r>
        <w:rPr>
          <w:rFonts w:ascii="Times New Roman" w:cs="Times New Roman" w:eastAsia="Times New Roman" w:hAnsi="Times New Roman"/>
          <w:sz w:val="14"/>
          <w:szCs w:val="14"/>
          <w:color w:val="auto"/>
        </w:rPr>
        <w:t xml:space="preserve"> as mutually agreed in writing by the Parties to add to, delete from or modify the list of Excluded Assets contained therein).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491" w:name="page492"/>
    <w:bookmarkEnd w:id="491"/>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1.3 </w:t>
      </w:r>
      <w:r>
        <w:rPr>
          <w:rFonts w:ascii="Times New Roman" w:cs="Times New Roman" w:eastAsia="Times New Roman" w:hAnsi="Times New Roman"/>
          <w:sz w:val="14"/>
          <w:szCs w:val="14"/>
          <w:u w:val="single" w:color="auto"/>
          <w:color w:val="auto"/>
        </w:rPr>
        <w:t>Assumption of Liabilities</w:t>
      </w:r>
      <w:r>
        <w:rPr>
          <w:rFonts w:ascii="Times New Roman" w:cs="Times New Roman" w:eastAsia="Times New Roman" w:hAnsi="Times New Roman"/>
          <w:sz w:val="14"/>
          <w:szCs w:val="14"/>
          <w:color w:val="auto"/>
        </w:rPr>
        <w:t>. Upon the terms and subject to the conditions set forth in this Agreement, at the Closing, Seaport shall assume and agree to perform, pay, satisfy or discharge when due, the Assumed Liabilities. For purposes of this Agreement, the term “Assumed Liabilities” means those Liabilities arising before the Closing set forth either on Schedule 1.3 or in the Services Agreement and any Liabilities arising on or after the Closing with respect to the Transferred Assets (including the Monash License), other than any Liability in respect of (a) any Liability that does not arise from or relate to the Transferred Assets, or (b) any breach or other violation of a Transferred Contract prior to the Closing.</w:t>
      </w:r>
    </w:p>
    <w:p>
      <w:pPr>
        <w:spacing w:after="0" w:line="144"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Retained Liabilities</w:t>
      </w:r>
      <w:r>
        <w:rPr>
          <w:rFonts w:ascii="Times New Roman" w:cs="Times New Roman" w:eastAsia="Times New Roman" w:hAnsi="Times New Roman"/>
          <w:sz w:val="14"/>
          <w:szCs w:val="14"/>
          <w:color w:val="auto"/>
        </w:rPr>
        <w:t>. Notwithstanding anything to the contrary in this Agreement, the Assumed Liabilities shall not include, and Seaport does not hereby and shall not assume or in any way undertake to perform, pay, satisfy or discharge, the Retained Liabilities, all of which shall be retained by and performed, paid, satisfied or discharged by PureTech as and when due. For purposes of this Agreement, the term “Retained Liabilities” means all Liabilities other than the Assumed Liabilities, including all Transaction Costs, Indebtedness, Retained Tax Liabilities, and all pre-Closing PureTech Employee Liabilities (except as set forth in the Services Agreement) and all other Liabilities in respect of the Products arising prior to the Closing (except to the extent expressly set forth in Section 1.3).</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As consideration for the Transferred Assets, Seaport will provide PureTech the following to PureTech:</w:t>
      </w:r>
    </w:p>
    <w:p>
      <w:pPr>
        <w:spacing w:after="0" w:line="91" w:lineRule="exact"/>
        <w:rPr>
          <w:sz w:val="20"/>
          <w:szCs w:val="20"/>
          <w:color w:val="auto"/>
        </w:rPr>
      </w:pPr>
    </w:p>
    <w:p>
      <w:pPr>
        <w:ind w:left="220" w:right="279" w:firstLine="767"/>
        <w:spacing w:after="0" w:line="283" w:lineRule="auto"/>
        <w:tabs>
          <w:tab w:leader="none" w:pos="1182"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at Closing</w:t>
      </w:r>
      <w:r>
        <w:rPr>
          <w:rFonts w:ascii="Times New Roman" w:cs="Times New Roman" w:eastAsia="Times New Roman" w:hAnsi="Times New Roman"/>
          <w:sz w:val="14"/>
          <w:szCs w:val="14"/>
          <w:color w:val="auto"/>
        </w:rPr>
        <w:t>. Seaport shall issue and deliver to PureTech LYT for the benefit of PureTech LYT and PureTech Health 40,000,000 shares of Seaport’s Series A-l Preferred Stock and 949,000 shares of Seaport’s Common Stock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Post-Closing.</w:t>
      </w:r>
    </w:p>
    <w:p>
      <w:pPr>
        <w:spacing w:after="0" w:line="175" w:lineRule="exact"/>
        <w:rPr>
          <w:rFonts w:ascii="Times New Roman" w:cs="Times New Roman" w:eastAsia="Times New Roman" w:hAnsi="Times New Roman"/>
          <w:sz w:val="14"/>
          <w:szCs w:val="14"/>
          <w:color w:val="auto"/>
        </w:rPr>
      </w:pPr>
    </w:p>
    <w:p>
      <w:pPr>
        <w:ind w:left="1500" w:hanging="170"/>
        <w:spacing w:after="0"/>
        <w:tabs>
          <w:tab w:leader="none" w:pos="1500" w:val="left"/>
        </w:tabs>
        <w:numPr>
          <w:ilvl w:val="1"/>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Royalty Payments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39" w:firstLine="1539"/>
        <w:spacing w:after="0" w:line="283" w:lineRule="auto"/>
        <w:tabs>
          <w:tab w:leader="none" w:pos="1993" w:val="left"/>
        </w:tabs>
        <w:numPr>
          <w:ilvl w:val="2"/>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Rate</w:t>
      </w:r>
      <w:r>
        <w:rPr>
          <w:rFonts w:ascii="Times New Roman" w:cs="Times New Roman" w:eastAsia="Times New Roman" w:hAnsi="Times New Roman"/>
          <w:sz w:val="14"/>
          <w:szCs w:val="14"/>
          <w:color w:val="auto"/>
        </w:rPr>
        <w:t>. During the Royalty Term for each Seaport Glyph Product, Seaport will make tiered royalty payments to PureTech in respect of Annual Net Sales, on a Product-by-Product basis, at the following royalty rates:</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135"/>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Annual Net Sales of such Seaport Glyph Product any Calendar Year</w:t>
            </w:r>
          </w:p>
        </w:tc>
        <w:tc>
          <w:tcPr>
            <w:tcW w:w="1440" w:type="dxa"/>
            <w:vAlign w:val="bottom"/>
          </w:tcPr>
          <w:p>
            <w:pPr>
              <w:spacing w:after="0"/>
              <w:rPr>
                <w:sz w:val="11"/>
                <w:szCs w:val="11"/>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Royalty Rate</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Portion of Annual Net Sales less than US $500 million</w:t>
            </w:r>
          </w:p>
        </w:tc>
        <w:tc>
          <w:tcPr>
            <w:tcW w:w="3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2"/>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3"/>
        </w:trPr>
        <w:tc>
          <w:tcPr>
            <w:tcW w:w="47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Portion of Annual Net Sales equal to or greater than US$500 million up to US</w:t>
            </w: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billion</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4"/>
        </w:trPr>
        <w:tc>
          <w:tcPr>
            <w:tcW w:w="47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Portion of Annual Net Sales equal to or greater than US$1 billion up to US</w:t>
            </w: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$2.5 billion</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3"/>
        </w:trPr>
        <w:tc>
          <w:tcPr>
            <w:tcW w:w="47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Portion of Annual Net Sales equal to or greater than US$2.5 billion up to US</w:t>
            </w: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 billion</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68"/>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Portion of Annual Net Sales equal to or greater than US $3.5 billion</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84"/>
        </w:trPr>
        <w:tc>
          <w:tcPr>
            <w:tcW w:w="326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3</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0" w:right="1440" w:bottom="1440" w:gutter="0" w:footer="0" w:header="0"/>
        </w:sectPr>
      </w:pPr>
    </w:p>
    <w:bookmarkStart w:id="492" w:name="page493"/>
    <w:bookmarkEnd w:id="492"/>
    <w:p>
      <w:pPr>
        <w:ind w:left="220" w:right="299" w:firstLine="1539"/>
        <w:spacing w:after="0" w:line="257" w:lineRule="auto"/>
        <w:tabs>
          <w:tab w:leader="none" w:pos="1986" w:val="left"/>
        </w:tabs>
        <w:numPr>
          <w:ilvl w:val="1"/>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Calculation; Reports; Payment</w:t>
      </w:r>
      <w:r>
        <w:rPr>
          <w:rFonts w:ascii="Times New Roman" w:cs="Times New Roman" w:eastAsia="Times New Roman" w:hAnsi="Times New Roman"/>
          <w:sz w:val="14"/>
          <w:szCs w:val="14"/>
          <w:color w:val="auto"/>
        </w:rPr>
        <w:t>. Royalties on Annual Net Sales of each Seaport Glyph Product in a Calendar Year during the Royalty Term will be paid at the rate applicable to the portion of Net Sales within each of the Annual Net Sales tiers during such Calendar Year. Each payment of royalties shall be accompanied by a statement of the amount of Net Sales invoiced during the applicable Calendar Quarter, containing reasonable detail on a Seaport Glyph Product-by-Seaport Glyph Product and country-by-country basis regarding the calculation of the royalties and the underlying sales data. Royalties will be paid to PureTech within [***] days after the end of the Calendar Quarter in which the corresponding Net Sales was received.</w:t>
      </w:r>
    </w:p>
    <w:p>
      <w:pPr>
        <w:spacing w:after="0" w:line="143" w:lineRule="exact"/>
        <w:rPr>
          <w:rFonts w:ascii="Times New Roman" w:cs="Times New Roman" w:eastAsia="Times New Roman" w:hAnsi="Times New Roman"/>
          <w:sz w:val="14"/>
          <w:szCs w:val="14"/>
          <w:color w:val="auto"/>
        </w:rPr>
      </w:pPr>
    </w:p>
    <w:p>
      <w:pPr>
        <w:ind w:left="1540" w:hanging="210"/>
        <w:spacing w:after="0"/>
        <w:tabs>
          <w:tab w:leader="none" w:pos="154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Net Income under Product License Agreements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459" w:firstLine="1539"/>
        <w:spacing w:after="0" w:line="257" w:lineRule="auto"/>
        <w:tabs>
          <w:tab w:leader="none" w:pos="1993" w:val="left"/>
        </w:tabs>
        <w:numPr>
          <w:ilvl w:val="1"/>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CNS Products</w:t>
      </w:r>
      <w:r>
        <w:rPr>
          <w:rFonts w:ascii="Times New Roman" w:cs="Times New Roman" w:eastAsia="Times New Roman" w:hAnsi="Times New Roman"/>
          <w:sz w:val="14"/>
          <w:szCs w:val="14"/>
          <w:color w:val="auto"/>
        </w:rPr>
        <w:t>. If Seaport or any of its Controlled Affiliates receives Net Income from a Third Party under a Product License Agreement with respect to any Product directed primarily to CNS Indications (each, a “</w:t>
      </w:r>
      <w:r>
        <w:rPr>
          <w:rFonts w:ascii="Times New Roman" w:cs="Times New Roman" w:eastAsia="Times New Roman" w:hAnsi="Times New Roman"/>
          <w:sz w:val="14"/>
          <w:szCs w:val="14"/>
          <w:u w:val="single" w:color="auto"/>
          <w:color w:val="auto"/>
        </w:rPr>
        <w:t>CNS Product</w:t>
      </w:r>
      <w:r>
        <w:rPr>
          <w:rFonts w:ascii="Times New Roman" w:cs="Times New Roman" w:eastAsia="Times New Roman" w:hAnsi="Times New Roman"/>
          <w:sz w:val="14"/>
          <w:szCs w:val="14"/>
          <w:color w:val="auto"/>
        </w:rPr>
        <w:t xml:space="preserve">”), or if Seaport or any of its Controlled Affiliates sells or spins out a Controlled Affiliate to a Third Party that has the right to receive Net Income under a Product License Agreement with respect to any CNS Product, then Seaport will pay (or cause to be paid by its Controlled Affiliate) to PureTech an amount equal to [***]. Amounts payable under this </w:t>
      </w:r>
      <w:r>
        <w:rPr>
          <w:rFonts w:ascii="Times New Roman" w:cs="Times New Roman" w:eastAsia="Times New Roman" w:hAnsi="Times New Roman"/>
          <w:sz w:val="14"/>
          <w:szCs w:val="14"/>
          <w:u w:val="single" w:color="auto"/>
          <w:color w:val="auto"/>
        </w:rPr>
        <w:t>Section 1.5(b)(ii)(A)</w:t>
      </w:r>
      <w:r>
        <w:rPr>
          <w:rFonts w:ascii="Times New Roman" w:cs="Times New Roman" w:eastAsia="Times New Roman" w:hAnsi="Times New Roman"/>
          <w:sz w:val="14"/>
          <w:szCs w:val="14"/>
          <w:color w:val="auto"/>
        </w:rPr>
        <w:t xml:space="preserve"> will be paid to PureTech at the same time as the corresponding payment is made to Monash or, if no such payment is due to Monash, within [***] days after receipt by Seaport or its Controlled Affiliates of such Net Income.</w:t>
      </w:r>
    </w:p>
    <w:p>
      <w:pPr>
        <w:spacing w:after="0" w:line="143" w:lineRule="exact"/>
        <w:rPr>
          <w:rFonts w:ascii="Times New Roman" w:cs="Times New Roman" w:eastAsia="Times New Roman" w:hAnsi="Times New Roman"/>
          <w:sz w:val="14"/>
          <w:szCs w:val="14"/>
          <w:color w:val="auto"/>
        </w:rPr>
      </w:pPr>
    </w:p>
    <w:p>
      <w:pPr>
        <w:ind w:left="220" w:right="239" w:firstLine="1539"/>
        <w:spacing w:after="0" w:line="261" w:lineRule="auto"/>
        <w:tabs>
          <w:tab w:leader="none" w:pos="1986" w:val="left"/>
        </w:tabs>
        <w:numPr>
          <w:ilvl w:val="1"/>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Non-CNS Products</w:t>
      </w:r>
      <w:r>
        <w:rPr>
          <w:rFonts w:ascii="Times New Roman" w:cs="Times New Roman" w:eastAsia="Times New Roman" w:hAnsi="Times New Roman"/>
          <w:sz w:val="14"/>
          <w:szCs w:val="14"/>
          <w:color w:val="auto"/>
        </w:rPr>
        <w:t>. If Seaport or any of its Controlled Affiliates receives Net Income from a Third Party under a Product License Agreement with respect to any Product directed primarily to Non-CNS Indications (each, a “</w:t>
      </w:r>
      <w:r>
        <w:rPr>
          <w:rFonts w:ascii="Times New Roman" w:cs="Times New Roman" w:eastAsia="Times New Roman" w:hAnsi="Times New Roman"/>
          <w:sz w:val="14"/>
          <w:szCs w:val="14"/>
          <w:u w:val="single" w:color="auto"/>
          <w:color w:val="auto"/>
        </w:rPr>
        <w:t>Non-CNS Product</w:t>
      </w:r>
      <w:r>
        <w:rPr>
          <w:rFonts w:ascii="Times New Roman" w:cs="Times New Roman" w:eastAsia="Times New Roman" w:hAnsi="Times New Roman"/>
          <w:sz w:val="14"/>
          <w:szCs w:val="14"/>
          <w:color w:val="auto"/>
        </w:rPr>
        <w:t>”), then Seaport will pay (or cause to be paid by its Controlled Affiliate) to PureTech an amount equal to [***] percent [***] of such Net Income. Amounts payable under this Section 1.5(b)(ii)(B) will be paid to PureTech at the same time as the required Net Income payment is made to Monash.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93" w:name="page494"/>
    <w:bookmarkEnd w:id="493"/>
    <w:p>
      <w:pPr>
        <w:ind w:left="220" w:right="419" w:firstLine="1110"/>
        <w:spacing w:after="0" w:line="283" w:lineRule="auto"/>
        <w:tabs>
          <w:tab w:leader="none" w:pos="158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Milestone Payments</w:t>
      </w:r>
      <w:r>
        <w:rPr>
          <w:rFonts w:ascii="Times New Roman" w:cs="Times New Roman" w:eastAsia="Times New Roman" w:hAnsi="Times New Roman"/>
          <w:sz w:val="14"/>
          <w:szCs w:val="14"/>
          <w:color w:val="auto"/>
        </w:rPr>
        <w:t>. Seaport shall pay to PureTech the following one-time milestone payments upon the first achievement of the following milestones by the first Seaport Glyph Product to achieve such milestones:</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135"/>
        </w:trPr>
        <w:tc>
          <w:tcPr>
            <w:tcW w:w="40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First Product Milestones</w:t>
            </w: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40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First subject dosed in the first Phase III clinical trial:</w:t>
            </w:r>
          </w:p>
        </w:tc>
        <w:tc>
          <w:tcPr>
            <w:tcW w:w="1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Commercial Sale in the United States: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Commercial Sale in a Major European Market: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Commercial Sale in Japan:</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right="379"/>
        <w:spacing w:after="0" w:line="283" w:lineRule="auto"/>
        <w:rPr>
          <w:sz w:val="20"/>
          <w:szCs w:val="20"/>
          <w:color w:val="auto"/>
        </w:rPr>
      </w:pPr>
      <w:r>
        <w:rPr>
          <w:rFonts w:ascii="Times New Roman" w:cs="Times New Roman" w:eastAsia="Times New Roman" w:hAnsi="Times New Roman"/>
          <w:sz w:val="14"/>
          <w:szCs w:val="14"/>
          <w:color w:val="auto"/>
        </w:rPr>
        <w:t>Seaport shall pay to PureTech the following one-time milestone payments upon the first achievement of the following milestones by the second or any subsequent Seaport Glyph Product to achieve such milestones:</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135"/>
        </w:trPr>
        <w:tc>
          <w:tcPr>
            <w:tcW w:w="40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Subsequent Product Milestones</w:t>
            </w: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40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First subject dosed in the first Phase III clinical trial:</w:t>
            </w:r>
          </w:p>
        </w:tc>
        <w:tc>
          <w:tcPr>
            <w:tcW w:w="1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Commercial Sale in the United States: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Commercial Sale in a Major European Market: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Commercial Sale in Japan:</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Seaport shall pay to PureTech any amounts due under this </w:t>
      </w:r>
      <w:r>
        <w:rPr>
          <w:rFonts w:ascii="Times New Roman" w:cs="Times New Roman" w:eastAsia="Times New Roman" w:hAnsi="Times New Roman"/>
          <w:sz w:val="14"/>
          <w:szCs w:val="14"/>
          <w:u w:val="single" w:color="auto"/>
          <w:color w:val="auto"/>
        </w:rPr>
        <w:t>Section 1.5(b)(iii)</w:t>
      </w:r>
      <w:r>
        <w:rPr>
          <w:rFonts w:ascii="Times New Roman" w:cs="Times New Roman" w:eastAsia="Times New Roman" w:hAnsi="Times New Roman"/>
          <w:sz w:val="14"/>
          <w:szCs w:val="14"/>
          <w:color w:val="auto"/>
        </w:rPr>
        <w:t xml:space="preserve"> on [***] basis, within [***] days after the end of each Calendar Quarter.</w:t>
      </w:r>
    </w:p>
    <w:p>
      <w:pPr>
        <w:spacing w:after="0" w:line="175" w:lineRule="exact"/>
        <w:rPr>
          <w:sz w:val="20"/>
          <w:szCs w:val="20"/>
          <w:color w:val="auto"/>
        </w:rPr>
      </w:pPr>
    </w:p>
    <w:p>
      <w:pPr>
        <w:ind w:left="1560" w:hanging="230"/>
        <w:spacing w:after="0"/>
        <w:tabs>
          <w:tab w:leader="none" w:pos="1560" w:val="left"/>
        </w:tabs>
        <w:numPr>
          <w:ilvl w:val="1"/>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Generally.</w:t>
      </w:r>
    </w:p>
    <w:p>
      <w:pPr>
        <w:spacing w:after="0" w:line="175" w:lineRule="exact"/>
        <w:rPr>
          <w:rFonts w:ascii="Times New Roman" w:cs="Times New Roman" w:eastAsia="Times New Roman" w:hAnsi="Times New Roman"/>
          <w:sz w:val="14"/>
          <w:szCs w:val="14"/>
          <w:color w:val="auto"/>
        </w:rPr>
      </w:pPr>
    </w:p>
    <w:p>
      <w:pPr>
        <w:ind w:left="220" w:right="579" w:firstLine="1110"/>
        <w:spacing w:after="0" w:line="267" w:lineRule="auto"/>
        <w:tabs>
          <w:tab w:leader="none" w:pos="1502"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Payment</w:t>
      </w:r>
      <w:r>
        <w:rPr>
          <w:rFonts w:ascii="Times New Roman" w:cs="Times New Roman" w:eastAsia="Times New Roman" w:hAnsi="Times New Roman"/>
          <w:sz w:val="14"/>
          <w:szCs w:val="14"/>
          <w:color w:val="auto"/>
        </w:rPr>
        <w:t>. All cash payments to PureTech under this Agreement shall be made by wire transfer of immediately available funds into an account designated by PureTech. Each cash payment should reference this Agreement and identify the obligation under this Agreement that the payment satisfies.</w:t>
      </w:r>
    </w:p>
    <w:p>
      <w:pPr>
        <w:spacing w:after="0" w:line="135" w:lineRule="exact"/>
        <w:rPr>
          <w:rFonts w:ascii="Times New Roman" w:cs="Times New Roman" w:eastAsia="Times New Roman" w:hAnsi="Times New Roman"/>
          <w:sz w:val="14"/>
          <w:szCs w:val="14"/>
          <w:color w:val="auto"/>
        </w:rPr>
      </w:pPr>
    </w:p>
    <w:p>
      <w:pPr>
        <w:ind w:left="220" w:right="239" w:firstLine="1110"/>
        <w:spacing w:after="0" w:line="261" w:lineRule="auto"/>
        <w:tabs>
          <w:tab w:leader="none" w:pos="1541"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in U.S, Dollars</w:t>
      </w:r>
      <w:r>
        <w:rPr>
          <w:rFonts w:ascii="Times New Roman" w:cs="Times New Roman" w:eastAsia="Times New Roman" w:hAnsi="Times New Roman"/>
          <w:sz w:val="14"/>
          <w:szCs w:val="14"/>
          <w:color w:val="auto"/>
        </w:rPr>
        <w:t>. All cash payments due under this Agreement shall be payable in United States dollars, without deduction, defense, offset or counterclaim for any reason. Conversion of foreign currency to U.S. dollars shall be made at the conversion rate existing in the United States (as reported in The Wall Street Journal) for the last working day of the applicable calendar quarter to which such payment relates. Such payments shall be without deduction of exchange, collection or other charges.</w:t>
      </w:r>
    </w:p>
    <w:p>
      <w:pPr>
        <w:spacing w:after="0" w:line="140" w:lineRule="exact"/>
        <w:rPr>
          <w:rFonts w:ascii="Times New Roman" w:cs="Times New Roman" w:eastAsia="Times New Roman" w:hAnsi="Times New Roman"/>
          <w:sz w:val="14"/>
          <w:szCs w:val="14"/>
          <w:color w:val="auto"/>
        </w:rPr>
      </w:pPr>
    </w:p>
    <w:p>
      <w:pPr>
        <w:ind w:left="220" w:right="399" w:firstLine="1110"/>
        <w:spacing w:after="0" w:line="283" w:lineRule="auto"/>
        <w:tabs>
          <w:tab w:leader="none" w:pos="1580"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Late Payments</w:t>
      </w:r>
      <w:r>
        <w:rPr>
          <w:rFonts w:ascii="Times New Roman" w:cs="Times New Roman" w:eastAsia="Times New Roman" w:hAnsi="Times New Roman"/>
          <w:sz w:val="14"/>
          <w:szCs w:val="14"/>
          <w:color w:val="auto"/>
        </w:rPr>
        <w:t>. Any payments by Seaport that are not paid on or before the date such payments are due under this Agreement shall bear interest at [***] percent [***] per month or the maximum amount permitted by Law, whichever is less.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494" w:name="page495"/>
    <w:bookmarkEnd w:id="49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1.6 </w:t>
      </w:r>
      <w:r>
        <w:rPr>
          <w:rFonts w:ascii="Times New Roman" w:cs="Times New Roman" w:eastAsia="Times New Roman" w:hAnsi="Times New Roman"/>
          <w:sz w:val="14"/>
          <w:szCs w:val="14"/>
          <w:u w:val="single" w:color="auto"/>
          <w:color w:val="auto"/>
        </w:rPr>
        <w:t>Closing; Closing Deliveries.</w:t>
      </w:r>
    </w:p>
    <w:p>
      <w:pPr>
        <w:spacing w:after="0" w:line="175" w:lineRule="exact"/>
        <w:rPr>
          <w:sz w:val="20"/>
          <w:szCs w:val="20"/>
          <w:color w:val="auto"/>
        </w:rPr>
      </w:pPr>
    </w:p>
    <w:p>
      <w:pPr>
        <w:ind w:left="220" w:right="619" w:firstLine="767"/>
        <w:spacing w:after="0" w:line="283" w:lineRule="auto"/>
        <w:tabs>
          <w:tab w:leader="none" w:pos="1182"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The Closing shall take place on the date hereof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remotely by electronic exchange of documents and signatures. The Closing shall be effective as of 12:00:01 a.m. Eastern Time on the Closing Date.</w:t>
      </w:r>
    </w:p>
    <w:p>
      <w:pPr>
        <w:spacing w:after="0" w:line="124" w:lineRule="exact"/>
        <w:rPr>
          <w:rFonts w:ascii="Times New Roman" w:cs="Times New Roman" w:eastAsia="Times New Roman" w:hAnsi="Times New Roman"/>
          <w:sz w:val="14"/>
          <w:szCs w:val="14"/>
          <w:color w:val="auto"/>
        </w:rPr>
      </w:pPr>
    </w:p>
    <w:p>
      <w:pPr>
        <w:ind w:left="220" w:right="279" w:firstLine="767"/>
        <w:spacing w:after="0" w:line="283" w:lineRule="auto"/>
        <w:tabs>
          <w:tab w:leader="none" w:pos="1190"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Deliveries by PureTech</w:t>
      </w:r>
      <w:r>
        <w:rPr>
          <w:rFonts w:ascii="Times New Roman" w:cs="Times New Roman" w:eastAsia="Times New Roman" w:hAnsi="Times New Roman"/>
          <w:sz w:val="14"/>
          <w:szCs w:val="14"/>
          <w:color w:val="auto"/>
        </w:rPr>
        <w:t>. Upon the terms and subject to the conditions contained herein, at the Closing, PureTech shall deliver (or cause to be delivered) to Seaport (or one or more of its subsidiaries designated by Seaport) the following:</w:t>
      </w:r>
    </w:p>
    <w:p>
      <w:pPr>
        <w:spacing w:after="0" w:line="40" w:lineRule="exact"/>
        <w:rPr>
          <w:rFonts w:ascii="Times New Roman" w:cs="Times New Roman" w:eastAsia="Times New Roman" w:hAnsi="Times New Roman"/>
          <w:sz w:val="14"/>
          <w:szCs w:val="14"/>
          <w:color w:val="auto"/>
        </w:rPr>
      </w:pPr>
    </w:p>
    <w:p>
      <w:pPr>
        <w:ind w:left="1500" w:hanging="170"/>
        <w:spacing w:after="0"/>
        <w:tabs>
          <w:tab w:leader="none" w:pos="15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Conveyance Documents.</w:t>
      </w:r>
    </w:p>
    <w:p>
      <w:pPr>
        <w:spacing w:after="0" w:line="175"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Trademark Assignment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Trademark Assignment</w:t>
      </w:r>
      <w:r>
        <w:rPr>
          <w:rFonts w:ascii="Times New Roman" w:cs="Times New Roman" w:eastAsia="Times New Roman" w:hAnsi="Times New Roman"/>
          <w:sz w:val="14"/>
          <w:szCs w:val="14"/>
          <w:color w:val="auto"/>
        </w:rPr>
        <w:t>”), duly executed by</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w:t>
      </w:r>
    </w:p>
    <w:p>
      <w:pPr>
        <w:spacing w:after="0" w:line="160"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Patent Assignment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Patent Assignment</w:t>
      </w:r>
      <w:r>
        <w:rPr>
          <w:rFonts w:ascii="Times New Roman" w:cs="Times New Roman" w:eastAsia="Times New Roman" w:hAnsi="Times New Roman"/>
          <w:sz w:val="14"/>
          <w:szCs w:val="14"/>
          <w:color w:val="auto"/>
        </w:rPr>
        <w:t>”), duly executed by PureTech;</w:t>
      </w:r>
    </w:p>
    <w:p>
      <w:pPr>
        <w:spacing w:after="0" w:line="175"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Transition Services Agreement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Services Agreement</w:t>
      </w:r>
      <w:r>
        <w:rPr>
          <w:rFonts w:ascii="Times New Roman" w:cs="Times New Roman" w:eastAsia="Times New Roman" w:hAnsi="Times New Roman"/>
          <w:sz w:val="14"/>
          <w:szCs w:val="14"/>
          <w:color w:val="auto"/>
        </w:rPr>
        <w:t>”), duly executed by</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w:t>
      </w:r>
    </w:p>
    <w:p>
      <w:pPr>
        <w:spacing w:after="0" w:line="160" w:lineRule="exact"/>
        <w:rPr>
          <w:rFonts w:ascii="Times New Roman" w:cs="Times New Roman" w:eastAsia="Times New Roman" w:hAnsi="Times New Roman"/>
          <w:sz w:val="14"/>
          <w:szCs w:val="14"/>
          <w:color w:val="auto"/>
        </w:rPr>
      </w:pPr>
    </w:p>
    <w:p>
      <w:pPr>
        <w:ind w:left="220" w:right="379" w:firstLine="1539"/>
        <w:spacing w:after="0" w:line="267" w:lineRule="auto"/>
        <w:tabs>
          <w:tab w:leader="none" w:pos="1993" w:val="left"/>
        </w:tabs>
        <w:numPr>
          <w:ilvl w:val="2"/>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instruments of transfer, conveyance and assignment as Seaport may reasonably request in order to effect the sale, transfer, conveyance and assignment to Seaport of all right, title and interest in and to the Transferred Assets free and clear of all Liens (the “</w:t>
      </w:r>
      <w:r>
        <w:rPr>
          <w:rFonts w:ascii="Times New Roman" w:cs="Times New Roman" w:eastAsia="Times New Roman" w:hAnsi="Times New Roman"/>
          <w:sz w:val="14"/>
          <w:szCs w:val="14"/>
          <w:u w:val="single" w:color="auto"/>
          <w:color w:val="auto"/>
        </w:rPr>
        <w:t>Additional Transfer Documents</w:t>
      </w:r>
      <w:r>
        <w:rPr>
          <w:rFonts w:ascii="Times New Roman" w:cs="Times New Roman" w:eastAsia="Times New Roman" w:hAnsi="Times New Roman"/>
          <w:sz w:val="14"/>
          <w:szCs w:val="14"/>
          <w:color w:val="auto"/>
        </w:rPr>
        <w:t>”), in each case duly executed by PureTech;</w:t>
      </w:r>
    </w:p>
    <w:p>
      <w:pPr>
        <w:spacing w:after="0" w:line="135" w:lineRule="exact"/>
        <w:rPr>
          <w:rFonts w:ascii="Times New Roman" w:cs="Times New Roman" w:eastAsia="Times New Roman" w:hAnsi="Times New Roman"/>
          <w:sz w:val="14"/>
          <w:szCs w:val="14"/>
          <w:color w:val="auto"/>
        </w:rPr>
      </w:pPr>
    </w:p>
    <w:p>
      <w:pPr>
        <w:ind w:left="220" w:right="419" w:firstLine="1110"/>
        <w:spacing w:after="0" w:line="283" w:lineRule="auto"/>
        <w:tabs>
          <w:tab w:leader="none" w:pos="1541"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PureTech Representation Letter</w:t>
      </w:r>
      <w:r>
        <w:rPr>
          <w:rFonts w:ascii="Times New Roman" w:cs="Times New Roman" w:eastAsia="Times New Roman" w:hAnsi="Times New Roman"/>
          <w:sz w:val="14"/>
          <w:szCs w:val="14"/>
          <w:color w:val="auto"/>
        </w:rPr>
        <w:t xml:space="preserve">. A PureTech Representation Letter in the form attached hereto as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duly executed by PureTech Health and PureTech LYT;</w:t>
      </w:r>
    </w:p>
    <w:p>
      <w:pPr>
        <w:spacing w:after="0" w:line="124" w:lineRule="exact"/>
        <w:rPr>
          <w:rFonts w:ascii="Times New Roman" w:cs="Times New Roman" w:eastAsia="Times New Roman" w:hAnsi="Times New Roman"/>
          <w:sz w:val="14"/>
          <w:szCs w:val="14"/>
          <w:color w:val="auto"/>
        </w:rPr>
      </w:pPr>
    </w:p>
    <w:p>
      <w:pPr>
        <w:ind w:left="1580" w:hanging="250"/>
        <w:spacing w:after="0"/>
        <w:tabs>
          <w:tab w:leader="none" w:pos="1580" w:val="left"/>
        </w:tabs>
        <w:numPr>
          <w:ilvl w:val="1"/>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Required Consents</w:t>
      </w:r>
      <w:r>
        <w:rPr>
          <w:rFonts w:ascii="Times New Roman" w:cs="Times New Roman" w:eastAsia="Times New Roman" w:hAnsi="Times New Roman"/>
          <w:sz w:val="13"/>
          <w:szCs w:val="13"/>
          <w:color w:val="auto"/>
        </w:rPr>
        <w:t xml:space="preserve">. Evidence that all the consents set forth in </w:t>
      </w:r>
      <w:r>
        <w:rPr>
          <w:rFonts w:ascii="Times New Roman" w:cs="Times New Roman" w:eastAsia="Times New Roman" w:hAnsi="Times New Roman"/>
          <w:sz w:val="13"/>
          <w:szCs w:val="13"/>
          <w:u w:val="single" w:color="auto"/>
          <w:color w:val="auto"/>
        </w:rPr>
        <w:t>Schedule 1.6(b)(iii)</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Required Consents</w:t>
      </w:r>
      <w:r>
        <w:rPr>
          <w:rFonts w:ascii="Times New Roman" w:cs="Times New Roman" w:eastAsia="Times New Roman" w:hAnsi="Times New Roman"/>
          <w:sz w:val="13"/>
          <w:szCs w:val="13"/>
          <w:color w:val="auto"/>
        </w:rPr>
        <w:t>”) have been obtained</w:t>
      </w:r>
    </w:p>
    <w:p>
      <w:pPr>
        <w:spacing w:after="0" w:line="33" w:lineRule="exact"/>
        <w:rPr>
          <w:rFonts w:ascii="Times New Roman" w:cs="Times New Roman" w:eastAsia="Times New Roman" w:hAnsi="Times New Roman"/>
          <w:sz w:val="13"/>
          <w:szCs w:val="13"/>
          <w:color w:val="auto"/>
        </w:rPr>
      </w:pPr>
    </w:p>
    <w:p>
      <w:pPr>
        <w:ind w:left="2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or made, as applicable;</w:t>
      </w:r>
    </w:p>
    <w:p>
      <w:pPr>
        <w:spacing w:after="0" w:line="160" w:lineRule="exact"/>
        <w:rPr>
          <w:rFonts w:ascii="Times New Roman" w:cs="Times New Roman" w:eastAsia="Times New Roman" w:hAnsi="Times New Roman"/>
          <w:sz w:val="13"/>
          <w:szCs w:val="13"/>
          <w:color w:val="auto"/>
        </w:rPr>
      </w:pPr>
    </w:p>
    <w:p>
      <w:pPr>
        <w:ind w:left="220" w:right="259" w:firstLine="1110"/>
        <w:spacing w:after="0" w:line="283" w:lineRule="auto"/>
        <w:tabs>
          <w:tab w:leader="none" w:pos="1572"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IRS Form W-9</w:t>
      </w:r>
      <w:r>
        <w:rPr>
          <w:rFonts w:ascii="Times New Roman" w:cs="Times New Roman" w:eastAsia="Times New Roman" w:hAnsi="Times New Roman"/>
          <w:sz w:val="14"/>
          <w:szCs w:val="14"/>
          <w:color w:val="auto"/>
        </w:rPr>
        <w:t>. An IRS Form W-9 duly executed by PureTech (or PureTech’s owner, if PureTech is a disregarded entity for U.S. federal income tax purposes) certifying that such PureTech is a U.S. person;</w:t>
      </w:r>
    </w:p>
    <w:p>
      <w:pPr>
        <w:spacing w:after="0" w:line="124" w:lineRule="exact"/>
        <w:rPr>
          <w:rFonts w:ascii="Times New Roman" w:cs="Times New Roman" w:eastAsia="Times New Roman" w:hAnsi="Times New Roman"/>
          <w:sz w:val="14"/>
          <w:szCs w:val="14"/>
          <w:color w:val="auto"/>
        </w:rPr>
      </w:pPr>
    </w:p>
    <w:p>
      <w:pPr>
        <w:ind w:left="1520" w:hanging="190"/>
        <w:spacing w:after="0"/>
        <w:tabs>
          <w:tab w:leader="none" w:pos="1520" w:val="left"/>
        </w:tabs>
        <w:numPr>
          <w:ilvl w:val="1"/>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Monash Consent</w:t>
      </w:r>
      <w:r>
        <w:rPr>
          <w:rFonts w:ascii="Times New Roman" w:cs="Times New Roman" w:eastAsia="Times New Roman" w:hAnsi="Times New Roman"/>
          <w:sz w:val="13"/>
          <w:szCs w:val="13"/>
          <w:color w:val="auto"/>
        </w:rPr>
        <w:t>. That certain Consent To Release Upon Assignment relating to the Monash License, duly executed by PureTech</w:t>
      </w:r>
    </w:p>
    <w:p>
      <w:pPr>
        <w:spacing w:after="0" w:line="33" w:lineRule="exact"/>
        <w:rPr>
          <w:rFonts w:ascii="Times New Roman" w:cs="Times New Roman" w:eastAsia="Times New Roman" w:hAnsi="Times New Roman"/>
          <w:sz w:val="13"/>
          <w:szCs w:val="13"/>
          <w:color w:val="auto"/>
        </w:rPr>
      </w:pPr>
    </w:p>
    <w:p>
      <w:pPr>
        <w:ind w:left="2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Health;</w:t>
      </w:r>
    </w:p>
    <w:p>
      <w:pPr>
        <w:spacing w:after="0" w:line="160" w:lineRule="exact"/>
        <w:rPr>
          <w:rFonts w:ascii="Times New Roman" w:cs="Times New Roman" w:eastAsia="Times New Roman" w:hAnsi="Times New Roman"/>
          <w:sz w:val="13"/>
          <w:szCs w:val="13"/>
          <w:color w:val="auto"/>
        </w:rPr>
      </w:pPr>
    </w:p>
    <w:p>
      <w:pPr>
        <w:ind w:left="1560" w:hanging="230"/>
        <w:spacing w:after="0"/>
        <w:tabs>
          <w:tab w:leader="none" w:pos="156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Books and Records</w:t>
      </w:r>
      <w:r>
        <w:rPr>
          <w:rFonts w:ascii="Times New Roman" w:cs="Times New Roman" w:eastAsia="Times New Roman" w:hAnsi="Times New Roman"/>
          <w:sz w:val="14"/>
          <w:szCs w:val="14"/>
          <w:color w:val="auto"/>
        </w:rPr>
        <w:t>. The Books and Records relating to Glyph Technology or Products [***]; and</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67" w:lineRule="auto"/>
        <w:tabs>
          <w:tab w:leader="none" w:pos="1611"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Documents</w:t>
      </w:r>
      <w:r>
        <w:rPr>
          <w:rFonts w:ascii="Times New Roman" w:cs="Times New Roman" w:eastAsia="Times New Roman" w:hAnsi="Times New Roman"/>
          <w:sz w:val="14"/>
          <w:szCs w:val="14"/>
          <w:color w:val="auto"/>
        </w:rPr>
        <w:t>. All other consents, certificates, documents, instruments and other items required to be delivered by PureTech pursuant to the Ancillary Agreements or that are reasonably necessary to give effect to the transactions contemplated hereby or to vest in Seaport good and valid title in and to the Transferred Assets free and clear of all Liens.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495" w:name="page496"/>
    <w:bookmarkEnd w:id="495"/>
    <w:p>
      <w:pPr>
        <w:ind w:left="1180" w:hanging="193"/>
        <w:spacing w:after="0"/>
        <w:tabs>
          <w:tab w:leader="none" w:pos="118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Deliveries by Seaport</w:t>
      </w:r>
      <w:r>
        <w:rPr>
          <w:rFonts w:ascii="Times New Roman" w:cs="Times New Roman" w:eastAsia="Times New Roman" w:hAnsi="Times New Roman"/>
          <w:sz w:val="14"/>
          <w:szCs w:val="14"/>
          <w:color w:val="auto"/>
        </w:rPr>
        <w:t>. Upon the terms and subject to the conditions contained herein, at the Closing, Seaport shall deliver to PureTech:</w:t>
      </w:r>
    </w:p>
    <w:p>
      <w:pPr>
        <w:spacing w:after="0" w:line="91" w:lineRule="exact"/>
        <w:rPr>
          <w:rFonts w:ascii="Times New Roman" w:cs="Times New Roman" w:eastAsia="Times New Roman" w:hAnsi="Times New Roman"/>
          <w:sz w:val="14"/>
          <w:szCs w:val="14"/>
          <w:color w:val="auto"/>
        </w:rPr>
      </w:pPr>
    </w:p>
    <w:p>
      <w:pPr>
        <w:ind w:left="220" w:right="399" w:firstLine="1110"/>
        <w:spacing w:after="0" w:line="283" w:lineRule="auto"/>
        <w:tabs>
          <w:tab w:leader="none" w:pos="1502"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Consideration</w:t>
      </w:r>
      <w:r>
        <w:rPr>
          <w:rFonts w:ascii="Times New Roman" w:cs="Times New Roman" w:eastAsia="Times New Roman" w:hAnsi="Times New Roman"/>
          <w:sz w:val="14"/>
          <w:szCs w:val="14"/>
          <w:color w:val="auto"/>
        </w:rPr>
        <w:t>. Seaport shall cause the Shares to be transferred into a brokerage account in accordance with the deposit account instructions provided by PureTech to Seaport prior to the Closing Date;</w:t>
      </w:r>
    </w:p>
    <w:p>
      <w:pPr>
        <w:spacing w:after="0" w:line="124" w:lineRule="exact"/>
        <w:rPr>
          <w:rFonts w:ascii="Times New Roman" w:cs="Times New Roman" w:eastAsia="Times New Roman" w:hAnsi="Times New Roman"/>
          <w:sz w:val="14"/>
          <w:szCs w:val="14"/>
          <w:color w:val="auto"/>
        </w:rPr>
      </w:pPr>
    </w:p>
    <w:p>
      <w:pPr>
        <w:ind w:left="1540" w:hanging="210"/>
        <w:spacing w:after="0"/>
        <w:tabs>
          <w:tab w:leader="none" w:pos="1540"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Services Agreement</w:t>
      </w:r>
      <w:r>
        <w:rPr>
          <w:rFonts w:ascii="Times New Roman" w:cs="Times New Roman" w:eastAsia="Times New Roman" w:hAnsi="Times New Roman"/>
          <w:sz w:val="14"/>
          <w:szCs w:val="14"/>
          <w:color w:val="auto"/>
        </w:rPr>
        <w:t>. The Services Agreement, duly executed by Seaport; and</w:t>
      </w:r>
    </w:p>
    <w:p>
      <w:pPr>
        <w:spacing w:after="0" w:line="175" w:lineRule="exact"/>
        <w:rPr>
          <w:rFonts w:ascii="Times New Roman" w:cs="Times New Roman" w:eastAsia="Times New Roman" w:hAnsi="Times New Roman"/>
          <w:sz w:val="14"/>
          <w:szCs w:val="14"/>
          <w:color w:val="auto"/>
        </w:rPr>
      </w:pPr>
    </w:p>
    <w:p>
      <w:pPr>
        <w:ind w:left="1580" w:hanging="250"/>
        <w:spacing w:after="0"/>
        <w:tabs>
          <w:tab w:leader="none" w:pos="1580" w:val="left"/>
        </w:tabs>
        <w:numPr>
          <w:ilvl w:val="1"/>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Monash Consent</w:t>
      </w:r>
      <w:r>
        <w:rPr>
          <w:rFonts w:ascii="Times New Roman" w:cs="Times New Roman" w:eastAsia="Times New Roman" w:hAnsi="Times New Roman"/>
          <w:sz w:val="14"/>
          <w:szCs w:val="14"/>
          <w:color w:val="auto"/>
        </w:rPr>
        <w:t>. That certain Consent To Release Upon Assignment relating to the Monash License, duly executed by Seaport.</w:t>
      </w:r>
    </w:p>
    <w:p>
      <w:pPr>
        <w:spacing w:after="0" w:line="175"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1.7 </w:t>
      </w:r>
      <w:r>
        <w:rPr>
          <w:rFonts w:ascii="Times New Roman" w:cs="Times New Roman" w:eastAsia="Times New Roman" w:hAnsi="Times New Roman"/>
          <w:sz w:val="14"/>
          <w:szCs w:val="14"/>
          <w:u w:val="single" w:color="auto"/>
          <w:color w:val="auto"/>
        </w:rPr>
        <w:t>Consents</w:t>
      </w:r>
      <w:r>
        <w:rPr>
          <w:rFonts w:ascii="Times New Roman" w:cs="Times New Roman" w:eastAsia="Times New Roman" w:hAnsi="Times New Roman"/>
          <w:sz w:val="14"/>
          <w:szCs w:val="14"/>
          <w:color w:val="auto"/>
        </w:rPr>
        <w:t>. Notwithstanding anything in this Agreement to the contrary, this Agreement shall not constitute an agreement to assign or transfer any contract, authorization, license or permit or any claim, right or benefit arising thereunder or resulting therefrom, if (x) an attempted assignment or transfer thereof, without the consent of a third party thereto or of the issuing Governmental Entity would constitute a breach thereof and (y) such consent is not obtained prior to the Closing (such contract, authorization, license or permit, claim, right or benefit, a “Deferred Item”). If an agreement to assign or transfer a Deferred Item, other than any Deferred Item that is the subject of a Required Consent (a “Deferred Consent”), is not obtained, or if an attempted assignment or transfer thereof would be ineffective or would affect the rights thereunder so that Seaport would not receive all such rights, then, in each such case, (i) the Deferred Item shall be withheld from sale pursuant to this Agreement, (ii) from and after the Closing, PureTech will use its Reasonable Commercial Efforts to obtain such consent as soon as practicable after the Closing, and (iii) until such Deferred Consent is obtained, PureTech shall provide to Seaport the benefits under such Deferred Item. In particular, in the event that any such Deferred Consent is not obtained prior to the Closing, then Seaport and PureTech shall enter into such arrangements (including subleasing or subcontracting if permitted) to provide to the Parties hereto substantially the same economic and operational equivalent of obtaining such Deferred Consent and assigning or transferring such contract, authorization, license or permit, including enforcement by PureTech for the benefit of Seaport of all claims or rights arising thereunder, and the performance by Seaport of the obligations thereunder.</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14"/>
          <w:szCs w:val="14"/>
          <w:u w:val="single" w:color="auto"/>
          <w:color w:val="auto"/>
        </w:rPr>
        <w:t>Wrong Pockets.</w:t>
      </w:r>
    </w:p>
    <w:p>
      <w:pPr>
        <w:spacing w:after="0" w:line="175" w:lineRule="exact"/>
        <w:rPr>
          <w:sz w:val="20"/>
          <w:szCs w:val="20"/>
          <w:color w:val="auto"/>
        </w:rPr>
      </w:pPr>
    </w:p>
    <w:p>
      <w:pPr>
        <w:ind w:left="220" w:right="819" w:firstLine="767"/>
        <w:spacing w:after="0" w:line="283" w:lineRule="auto"/>
        <w:tabs>
          <w:tab w:leader="none" w:pos="1182"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the Closing, Seaport or any of its Controlled Affiliates possesses any Excluded Asset, Seaport shall, or shall cause its Controlled Affiliates to, transfer such asset to PureTech at no cost to PureTech.</w:t>
      </w:r>
    </w:p>
    <w:p>
      <w:pPr>
        <w:spacing w:after="0" w:line="124" w:lineRule="exact"/>
        <w:rPr>
          <w:rFonts w:ascii="Times New Roman" w:cs="Times New Roman" w:eastAsia="Times New Roman" w:hAnsi="Times New Roman"/>
          <w:sz w:val="14"/>
          <w:szCs w:val="14"/>
          <w:color w:val="auto"/>
        </w:rPr>
      </w:pPr>
    </w:p>
    <w:p>
      <w:pPr>
        <w:ind w:left="220" w:right="379" w:firstLine="767"/>
        <w:spacing w:after="0" w:line="283" w:lineRule="auto"/>
        <w:tabs>
          <w:tab w:leader="none" w:pos="1190"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the Closing, PureTech or any of its Controlled Affiliates possesses any Transferred Asset, PureTech shall, or shall cause their Controlled Affiliates to, transfer such asset to Seaport at no cost to Seaport.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96" w:name="page497"/>
    <w:bookmarkEnd w:id="4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REPRESENTATIONS AND WARRANTIES OF PURETECH</w:t>
      </w:r>
    </w:p>
    <w:p>
      <w:pPr>
        <w:spacing w:after="0" w:line="177" w:lineRule="exact"/>
        <w:rPr>
          <w:sz w:val="20"/>
          <w:szCs w:val="20"/>
          <w:color w:val="auto"/>
        </w:rPr>
      </w:pPr>
    </w:p>
    <w:p>
      <w:pPr>
        <w:ind w:left="220" w:right="339"/>
        <w:spacing w:after="0" w:line="283" w:lineRule="auto"/>
        <w:rPr>
          <w:sz w:val="20"/>
          <w:szCs w:val="20"/>
          <w:color w:val="auto"/>
        </w:rPr>
      </w:pPr>
      <w:r>
        <w:rPr>
          <w:rFonts w:ascii="Times New Roman" w:cs="Times New Roman" w:eastAsia="Times New Roman" w:hAnsi="Times New Roman"/>
          <w:sz w:val="14"/>
          <w:szCs w:val="14"/>
          <w:color w:val="auto"/>
        </w:rPr>
        <w:t xml:space="preserve">PureTech represents and warrants to Seaport that the statements contained in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are true and correct as of the date of this Agreement, except as set forth in the disclosure schedule delivered by PureTech to Seaport and dated as of the date of this Agreement (the “</w:t>
      </w:r>
      <w:r>
        <w:rPr>
          <w:rFonts w:ascii="Times New Roman" w:cs="Times New Roman" w:eastAsia="Times New Roman" w:hAnsi="Times New Roman"/>
          <w:sz w:val="14"/>
          <w:szCs w:val="14"/>
          <w:u w:val="single" w:color="auto"/>
          <w:color w:val="auto"/>
        </w:rPr>
        <w:t>Disclosure Schedule</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Organization and Good Standing</w:t>
      </w:r>
      <w:r>
        <w:rPr>
          <w:rFonts w:ascii="Times New Roman" w:cs="Times New Roman" w:eastAsia="Times New Roman" w:hAnsi="Times New Roman"/>
          <w:sz w:val="14"/>
          <w:szCs w:val="14"/>
          <w:color w:val="auto"/>
        </w:rPr>
        <w:t>. PureTech Health is a limited liability company and PureTech LYT is a corporation, in each case duly organized, validly existing and in good standing under the Laws of the State of Delaware. PureTech is duly qualified to conduct business and is in limited liability company or corporate and Tax good standing under the Laws of each jurisdiction in which the nature of PureTech’s businesses or the ownership or leasing of its properties requires such qualification or Tax good standing. PureTech has all requisite power and authority (corporate and other) to carry on the businesses in which it is engaged and to own and use the properties owned and used by it. PureTech has made available to Seaport complete and accurate copies of PureTech’s Organizational Documents. PureTech is not in default under or in violation of any provision of its Organizational Documents.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Authority; No Conflict; Required Filings and Consents.</w:t>
      </w:r>
    </w:p>
    <w:p>
      <w:pPr>
        <w:spacing w:after="0" w:line="175" w:lineRule="exact"/>
        <w:rPr>
          <w:sz w:val="20"/>
          <w:szCs w:val="20"/>
          <w:color w:val="auto"/>
        </w:rPr>
      </w:pPr>
    </w:p>
    <w:p>
      <w:pPr>
        <w:ind w:left="220" w:right="239" w:firstLine="767"/>
        <w:spacing w:after="0" w:line="256" w:lineRule="auto"/>
        <w:tabs>
          <w:tab w:leader="none" w:pos="1182"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has all requisite limited liability company or corporate power and authority to execute and deliver this Agreement and the Ancillary Agreements to which it is a party and to perform its obligations hereunder and thereunder. The execution and delivery by PureTech of this Agreement and the Ancillary Agreements to which it is a party and the performance by PureTech of this Agreement and the consummation by PureTech of the transactions contemplated hereby and thereby have been duly and validly authorized by all necessary limited liability company or corporate action on the part of PureTech. This Agreement and the Ancillary Agreements to which it is a party have been or will be as of the Closing Date duly and validly executed and delivered by PureTech and constitute or will constitute valid and binding obligations of PureTech, enforceable against it in accordance with its terms.</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5" w:lineRule="auto"/>
        <w:tabs>
          <w:tab w:leader="none" w:pos="119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execution and delivery by PureTech of this Agreement or any Ancillary Agreement to which it is a party, nor the performance by PureTech of its obligations hereunder or thereunder, nor the consummation by PureTech of the transactions contemplated hereby or thereby, will (i) conflict with or violate any provision of the Organizational Documents of PureTech, each as amended or restated to date, (ii) require any notice to or filing with, or any permit, authorization, consent or approval of, any Governmental Entity, (iii) except as set forth in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 xml:space="preserve"> of the Disclosure Schedule, conflict with, result in a breach of, constitute (with or without due notice or lapse of time or both) a default under, result in the acceleration of obligations under, create in any party the right to accelerate, terminate, modify or cancel, or require any notice, consent or waiver under, any contract, lease, sublease, license, sublicense, franchise, permit, indenture, agreement or mortgage for borrowed money, instrument of Indebtedness, Lien or other arrangement to which PureTech is a party or by which PureTech is bound or to which any of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497" w:name="page498"/>
    <w:bookmarkEnd w:id="497"/>
    <w:p>
      <w:pPr>
        <w:ind w:left="220" w:right="2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assets of PureTech are subject, (iv) result in the imposition of any Lien upon any assets of PureTech (including any Transferred Asset) or (v) violate any Order applicable to PureTech or any of its properties or assets, except in the case of the foregoing clauses (iii) or (iv) for such notices, consents and waivers that, if not obtained or made, and such conflicts, breaches, defaults, accelerations, terminations, modifications, cancellations, Liens and violations that, individually or in the aggregate, have not been and would not reasonably be expected to be material to PureTech, the Products or the Transferred Assets.</w:t>
      </w:r>
    </w:p>
    <w:p>
      <w:pPr>
        <w:spacing w:after="0" w:line="144" w:lineRule="exact"/>
        <w:rPr>
          <w:sz w:val="20"/>
          <w:szCs w:val="20"/>
          <w:color w:val="auto"/>
        </w:rPr>
      </w:pPr>
    </w:p>
    <w:p>
      <w:pPr>
        <w:ind w:left="220" w:right="439" w:firstLine="767"/>
        <w:spacing w:after="0" w:line="267" w:lineRule="auto"/>
        <w:tabs>
          <w:tab w:leader="none" w:pos="1182"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license, permit, Order or authorization of, or registration, declaration, notice or filing with, any Governmental Entity is required in connection with the execution and delivery by PureTech of this Agreement or any Ancillary Agreement to which PureTech is a party, or the consummation by PureTech of the transactions contemplated by this Agreement or any Ancillary Agreement.</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Taxes.</w:t>
      </w:r>
    </w:p>
    <w:p>
      <w:pPr>
        <w:spacing w:after="0" w:line="175" w:lineRule="exact"/>
        <w:rPr>
          <w:sz w:val="20"/>
          <w:szCs w:val="20"/>
          <w:color w:val="auto"/>
        </w:rPr>
      </w:pPr>
    </w:p>
    <w:p>
      <w:pPr>
        <w:ind w:left="220" w:right="419" w:firstLine="767"/>
        <w:spacing w:after="0" w:line="267" w:lineRule="auto"/>
        <w:tabs>
          <w:tab w:leader="none" w:pos="1182" w:val="left"/>
        </w:tabs>
        <w:numPr>
          <w:ilvl w:val="1"/>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has properly filed on a timely basis all material Tax Returns that it was required to file, and all such Tax Returns are true, correct and complete in all material respects and were prepared in compliance with all applicable Laws. PureTech has paid on a timely basis all Taxes that were due and payable, whether or not shown on any Tax Return.</w:t>
      </w:r>
    </w:p>
    <w:p>
      <w:pPr>
        <w:spacing w:after="0" w:line="135" w:lineRule="exact"/>
        <w:rPr>
          <w:rFonts w:ascii="Times New Roman" w:cs="Times New Roman" w:eastAsia="Times New Roman" w:hAnsi="Times New Roman"/>
          <w:sz w:val="14"/>
          <w:szCs w:val="14"/>
          <w:color w:val="auto"/>
        </w:rPr>
      </w:pPr>
    </w:p>
    <w:p>
      <w:pPr>
        <w:ind w:left="220" w:right="359" w:firstLine="767"/>
        <w:spacing w:after="0" w:line="261" w:lineRule="auto"/>
        <w:tabs>
          <w:tab w:leader="none" w:pos="1190" w:val="left"/>
        </w:tabs>
        <w:numPr>
          <w:ilvl w:val="1"/>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has duly withheld or collected all Taxes that PureTech is or was required by Law to withhold or collect and, to the extent required, has properly paid such Taxes to the appropriate Governmental Entity, and PureTech has complied with all information reporting and backup withholding requirements, including the maintenance of required records with respect thereto, in connection with amounts paid to PureTech employee, independent contractor, creditor, or other third party.</w:t>
      </w:r>
    </w:p>
    <w:p>
      <w:pPr>
        <w:spacing w:after="0" w:line="140" w:lineRule="exact"/>
        <w:rPr>
          <w:rFonts w:ascii="Times New Roman" w:cs="Times New Roman" w:eastAsia="Times New Roman" w:hAnsi="Times New Roman"/>
          <w:sz w:val="14"/>
          <w:szCs w:val="14"/>
          <w:color w:val="auto"/>
        </w:rPr>
      </w:pPr>
    </w:p>
    <w:p>
      <w:pPr>
        <w:ind w:left="220" w:right="339" w:firstLine="767"/>
        <w:spacing w:after="0" w:line="275" w:lineRule="auto"/>
        <w:tabs>
          <w:tab w:leader="none" w:pos="1182" w:val="left"/>
        </w:tabs>
        <w:numPr>
          <w:ilvl w:val="1"/>
          <w:numId w:val="3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examination or audit or other action of or relating to any Tax Return of PureTech by any Governmental Entity is currently in progress or, to PureTech’s Knowledge, threatened or contemplated. No deficiencies for Taxes of PureTech have been claimed or proposed in writing or assessed by any Governmental Entity. PureTech has not been informed in writing by any jurisdiction in which PureTech did not file a Tax Return that the jurisdiction believes that PureTech was required to file any Tax Return that was not filed or is subject to Tax in such jurisdiction. PureTech has not</w:t>
      </w:r>
    </w:p>
    <w:p>
      <w:pPr>
        <w:spacing w:after="0" w:line="2" w:lineRule="exact"/>
        <w:rPr>
          <w:rFonts w:ascii="Times New Roman" w:cs="Times New Roman" w:eastAsia="Times New Roman" w:hAnsi="Times New Roman"/>
          <w:sz w:val="13"/>
          <w:szCs w:val="13"/>
          <w:color w:val="auto"/>
        </w:rPr>
      </w:pPr>
    </w:p>
    <w:p>
      <w:pPr>
        <w:ind w:left="220" w:right="559" w:hanging="5"/>
        <w:spacing w:after="0" w:line="250" w:lineRule="auto"/>
        <w:tabs>
          <w:tab w:leader="none" w:pos="387"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waived any statute of limitations with respect to Taxes or agreed to extend the period for assessment or collection of any Taxes, which waiver or extension is still in effect, (ii) requested any extension of time within which to file any Tax Return, which Tax Return has not yet been filed, or</w:t>
      </w:r>
    </w:p>
    <w:p>
      <w:pPr>
        <w:spacing w:after="0" w:line="1" w:lineRule="exact"/>
        <w:rPr>
          <w:rFonts w:ascii="Times New Roman" w:cs="Times New Roman" w:eastAsia="Times New Roman" w:hAnsi="Times New Roman"/>
          <w:sz w:val="14"/>
          <w:szCs w:val="14"/>
          <w:color w:val="auto"/>
        </w:rPr>
      </w:pPr>
    </w:p>
    <w:p>
      <w:pPr>
        <w:ind w:left="460" w:hanging="245"/>
        <w:spacing w:after="0"/>
        <w:tabs>
          <w:tab w:leader="none" w:pos="46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executed or filed any power of attorney with any taxing authority, which is still in effect.</w:t>
      </w:r>
    </w:p>
    <w:p>
      <w:pPr>
        <w:spacing w:after="0" w:line="160" w:lineRule="exact"/>
        <w:rPr>
          <w:rFonts w:ascii="Times New Roman" w:cs="Times New Roman" w:eastAsia="Times New Roman" w:hAnsi="Times New Roman"/>
          <w:sz w:val="14"/>
          <w:szCs w:val="14"/>
          <w:color w:val="auto"/>
        </w:rPr>
      </w:pPr>
    </w:p>
    <w:p>
      <w:pPr>
        <w:ind w:left="4460" w:right="439" w:hanging="3473"/>
        <w:spacing w:after="0" w:line="455" w:lineRule="auto"/>
        <w:tabs>
          <w:tab w:leader="none" w:pos="1176"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with respect to Taxes upon any of the Acquired Assets, other than with respect to Taxes not yet due and payable. 9</w:t>
      </w:r>
    </w:p>
    <w:p>
      <w:pPr>
        <w:sectPr>
          <w:pgSz w:w="11900" w:h="16838" w:orient="portrait"/>
          <w:cols w:equalWidth="0" w:num="1">
            <w:col w:w="9019"/>
          </w:cols>
          <w:pgMar w:left="1440" w:top="240" w:right="1440" w:bottom="1440" w:gutter="0" w:footer="0" w:header="0"/>
        </w:sectPr>
      </w:pPr>
    </w:p>
    <w:bookmarkStart w:id="498" w:name="page499"/>
    <w:bookmarkEnd w:id="498"/>
    <w:p>
      <w:pPr>
        <w:ind w:left="1180" w:hanging="193"/>
        <w:spacing w:after="0"/>
        <w:tabs>
          <w:tab w:leader="none" w:pos="1180"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None of the Acquired Assets are United States real property interests within the meaning of Section 897(c)( 1) of the Code.</w:t>
      </w:r>
    </w:p>
    <w:p>
      <w:pPr>
        <w:spacing w:after="0" w:line="175" w:lineRule="exact"/>
        <w:rPr>
          <w:rFonts w:ascii="Times New Roman" w:cs="Times New Roman" w:eastAsia="Times New Roman" w:hAnsi="Times New Roman"/>
          <w:sz w:val="14"/>
          <w:szCs w:val="14"/>
          <w:color w:val="auto"/>
        </w:rPr>
      </w:pPr>
    </w:p>
    <w:p>
      <w:pPr>
        <w:ind w:left="220" w:right="399" w:firstLine="767"/>
        <w:spacing w:after="0" w:line="283" w:lineRule="auto"/>
        <w:tabs>
          <w:tab w:leader="none" w:pos="1167"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Acquired Assets include an interest in any joint venture, partnership, or other arrangement that is treated as a partnership for federal income Tax purposes.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Intellectual Property.</w:t>
      </w:r>
    </w:p>
    <w:p>
      <w:pPr>
        <w:spacing w:after="0" w:line="175" w:lineRule="exact"/>
        <w:rPr>
          <w:sz w:val="20"/>
          <w:szCs w:val="20"/>
          <w:color w:val="auto"/>
        </w:rPr>
      </w:pPr>
    </w:p>
    <w:p>
      <w:pPr>
        <w:ind w:left="220" w:right="259" w:firstLine="767"/>
        <w:spacing w:after="0" w:line="258" w:lineRule="auto"/>
        <w:tabs>
          <w:tab w:leader="none" w:pos="1182"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Transferred Intellectual Property constitutes all Intellectual Property used by PureTech in, or developed by PureTech during, the conduct or operation of the Glyph Technology or Products, as currently conducted and operated, as conducted and operated since [***], and as currently planned by PureTech to be conducted and operated in the future. PureTech is the sole and exclusive owner or exclusive licensee of, and has good title to, all of the Transferred Intellectual Property, free and clear of all Liens, and PureTech has the right to transfer all right, title and interest in all Transferred Intellectual Property to Seaport.</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6" w:lineRule="auto"/>
        <w:tabs>
          <w:tab w:leader="none" w:pos="119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Monash License, no Intellectual Property used in or related to the Glyph Technology or Products is licensed by PureTech from any third party. PureTech has not licensed or granted any rights under or to the Transferred Intellectual Property to any third party in effect as of the date hereof. All registrations and applications for Transferred Intellectual Property (the “</w:t>
      </w:r>
      <w:r>
        <w:rPr>
          <w:rFonts w:ascii="Times New Roman" w:cs="Times New Roman" w:eastAsia="Times New Roman" w:hAnsi="Times New Roman"/>
          <w:sz w:val="14"/>
          <w:szCs w:val="14"/>
          <w:u w:val="single" w:color="auto"/>
          <w:color w:val="auto"/>
        </w:rPr>
        <w:t>PureTech Registrations</w:t>
      </w:r>
      <w:r>
        <w:rPr>
          <w:rFonts w:ascii="Times New Roman" w:cs="Times New Roman" w:eastAsia="Times New Roman" w:hAnsi="Times New Roman"/>
          <w:sz w:val="14"/>
          <w:szCs w:val="14"/>
          <w:color w:val="auto"/>
        </w:rPr>
        <w:t xml:space="preserve">”) are listed on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of the Disclosure Schedule and all such PureTech Registrations have been duly filed or registered (as applicable) with the applicable Governmental Entity and properly maintained in all material respects, including the timely submission of all necessary filings and payment of fees in accordance with the legal and administrative requirements in the appropriate jurisdictions, and have not lapsed or expired. To PureTech’s Knowledge, all PureTech Registrations are valid and enforceable.</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57" w:lineRule="auto"/>
        <w:tabs>
          <w:tab w:leader="none" w:pos="1182"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has a policy that requires each Person employed or retained by PureTech as a consultant or independent contractor who contributed to the creation or development of any of the Transferred Intellectual Property to enter into a valid and enforceable written agreement covering confidentiality and assignment of inventions and pursuant to which the rights to such contributions are assigned to PureTech, and PureTech has secured such agreements, a form of which has been furnished to Seaport, and agrees to assign to Seaport the ownership of any Glyph IP under such agreements. No current or former employee, officer, director, stockholder, consultant or independent contractor of PureTech has any right, title, claim or interest in, to or under any Transferred Intellectual Property that has not been exclusively assigned and transferred to PureTech.</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Contracts.</w:t>
      </w:r>
    </w:p>
    <w:p>
      <w:pPr>
        <w:spacing w:after="0" w:line="175" w:lineRule="exact"/>
        <w:rPr>
          <w:sz w:val="20"/>
          <w:szCs w:val="20"/>
          <w:color w:val="auto"/>
        </w:rPr>
      </w:pPr>
    </w:p>
    <w:p>
      <w:pPr>
        <w:ind w:left="220" w:right="299" w:firstLine="767"/>
        <w:spacing w:after="0" w:line="283" w:lineRule="auto"/>
        <w:tabs>
          <w:tab w:leader="none" w:pos="1182"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2.5(a)</w:t>
      </w:r>
      <w:r>
        <w:rPr>
          <w:rFonts w:ascii="Times New Roman" w:cs="Times New Roman" w:eastAsia="Times New Roman" w:hAnsi="Times New Roman"/>
          <w:sz w:val="14"/>
          <w:szCs w:val="14"/>
          <w:color w:val="auto"/>
        </w:rPr>
        <w:t xml:space="preserve"> of the Disclosure Schedule lists each of the Contracts that relate to the Transferred Assets and to which PureTech or any Controlled Affiliate is a party.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499" w:name="page500"/>
    <w:bookmarkEnd w:id="499"/>
    <w:p>
      <w:pPr>
        <w:ind w:left="220" w:right="239" w:firstLine="767"/>
        <w:spacing w:after="0" w:line="254" w:lineRule="auto"/>
        <w:tabs>
          <w:tab w:leader="none" w:pos="119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PureTech has delivered to Seaport a complete and accurate copies of each Transferred Contract (as amended to date). With respect to each Transferred Contract: (x) the Transferred Contract is legal, valid, binding and enforceable and in full force and effect against PureTech or any Controlled Affiliate that is the party thereto and, to PureTech’s Knowledge, against each other party thereto; (y) the Transferred Contract will continue to be legal, valid, binding and enforceable and in full force and effect against PureTech or any Controlled Affiliate that is the party thereto and, to PureTech’s Knowledge, against each other party thereto immediately following the Closing in accordance with the terms thereof as in effect immediately prior to the Closing; and (z) neither PureTech, any Controlled Affiliate nor, to the Knowledge of PureTech, any other party, is, in any material respect, in breach or violation of, or default under, any such Transferred Contract, and no event has occurred, is pending or, to the Knowledge of PureTech, is threatened, which, after the giving of notice, with lapse of time, or otherwise, would constitute any such breach or default by PureTech, any Controlled Affiliate or, to the Knowledge of PureTech, any other party under such Transferred Contract.</w:t>
      </w:r>
    </w:p>
    <w:p>
      <w:pPr>
        <w:spacing w:after="0" w:line="149"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 None of the Transferred Assets include owned real property, leased real property, subleased real property or other real property occupancy agreement.</w:t>
      </w:r>
    </w:p>
    <w:p>
      <w:pPr>
        <w:spacing w:after="0" w:line="125"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To PureTech’s Knowledge, PureTech and each Controlled Affiliate of PureTech is, and at all times has been, in substantial compliance with all applicable Environmental Laws relating to the Transferred Assets and the Products, which compliance includes obtaining, maintaining and complying with all permits, licenses, approvals, and authorizations required under Environmental Laws in connection with the Products. To PureTech’s Knowledge, none of PureTech or its Controlled Affiliate is subject to any Liability arising from the Release or threatened Release of any Hazardous Materials into the environment or any failure to comply with any Environmental Law relating to the Transferred Assets.</w:t>
      </w:r>
    </w:p>
    <w:p>
      <w:pPr>
        <w:spacing w:after="0" w:line="128" w:lineRule="exact"/>
        <w:rPr>
          <w:sz w:val="20"/>
          <w:szCs w:val="20"/>
          <w:color w:val="auto"/>
        </w:rPr>
      </w:pPr>
    </w:p>
    <w:p>
      <w:pPr>
        <w:ind w:left="220" w:right="3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Legal Proceeding pending or, to PureTech’s Knowledge, threatened against PureTech or its Controlled Affiliates relating to the Transferred Assets. There are no judgments or outstanding Orders against or with respect to any of the Transferred Assets, the Products, PureTech or its Controlled Affiliates or any current or former officers, directors, employees, consultants, agents or stockholders of PureTech or its Controlled Affiliates (in their respective capacities as such). There is no Legal Proceeding initiated by PureTech or its Controlled Affiliates, or which PureTech or its Controlled Affiliates has commenced preparations to initiate, against any other Person relating to the Transferred Assets.</w:t>
      </w:r>
    </w:p>
    <w:p>
      <w:pPr>
        <w:spacing w:after="0" w:line="144" w:lineRule="exact"/>
        <w:rPr>
          <w:sz w:val="20"/>
          <w:szCs w:val="20"/>
          <w:color w:val="auto"/>
        </w:rPr>
      </w:pPr>
    </w:p>
    <w:p>
      <w:pPr>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To PureTech’s Knowledge, PureTech and each Controlled Affiliate of PureTech has been and is in compliance in all material respects, is not in material violation of and has not received any written notice alleging any material violation with respect to, any applicable Law with respect to the Products or the Transferred Assets.</w:t>
      </w:r>
    </w:p>
    <w:p>
      <w:pPr>
        <w:spacing w:after="0" w:line="136" w:lineRule="exact"/>
        <w:rPr>
          <w:sz w:val="20"/>
          <w:szCs w:val="20"/>
          <w:color w:val="auto"/>
        </w:rPr>
      </w:pPr>
    </w:p>
    <w:p>
      <w:pPr>
        <w:ind w:left="220" w:right="4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Affiliate Transactions</w:t>
      </w:r>
      <w:r>
        <w:rPr>
          <w:rFonts w:ascii="Times New Roman" w:cs="Times New Roman" w:eastAsia="Times New Roman" w:hAnsi="Times New Roman"/>
          <w:sz w:val="14"/>
          <w:szCs w:val="14"/>
          <w:color w:val="auto"/>
        </w:rPr>
        <w:t>. No Affiliate of PureTech other than Seaport, directly or indirectly, (a) owns any property or right, tangible or intangible, which is used in the Products, (b) has any claim or cause of action against PureTech or any Controlled Affiliate relating to the Transferred Assets, or (c) is a party to any Contract relating to the Transferred Assets.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500" w:name="page501"/>
    <w:bookmarkEnd w:id="500"/>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2.11 </w:t>
      </w:r>
      <w:r>
        <w:rPr>
          <w:rFonts w:ascii="Times New Roman" w:cs="Times New Roman" w:eastAsia="Times New Roman" w:hAnsi="Times New Roman"/>
          <w:sz w:val="14"/>
          <w:szCs w:val="14"/>
          <w:u w:val="single" w:color="auto"/>
          <w:color w:val="auto"/>
        </w:rPr>
        <w:t>Suppliers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of the Disclosure Schedule sets forth a list of [***]. No supplier set forth in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of the Disclosure Schedule has indicated in writing within the past year that it will stop, decrease the rate of, or modify in any material respect the pricing, terms or conditions with respect to, supplying materials, products or services, as applicable, to PureTech relating to the Products, other than any such modifications or adjustments set forth in the Contract relating thereto.</w:t>
      </w:r>
    </w:p>
    <w:p>
      <w:pPr>
        <w:spacing w:after="0" w:line="141" w:lineRule="exact"/>
        <w:rPr>
          <w:sz w:val="20"/>
          <w:szCs w:val="20"/>
          <w:color w:val="auto"/>
        </w:rPr>
      </w:pPr>
    </w:p>
    <w:p>
      <w:pPr>
        <w:jc w:val="both"/>
        <w:ind w:left="220" w:right="6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No agent, broker, investment banker, financial advisor or other firm or Person is or shall be entitled, as a result of any action, agreement or commitment of PureTech or any of its Affiliates, to any broker’s, finder’s, financial advisor’s or other similar fee or commission in connection with any of the transactions contemplated by this Agreement.</w:t>
      </w:r>
    </w:p>
    <w:p>
      <w:pPr>
        <w:spacing w:after="0" w:line="136"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Assets</w:t>
      </w:r>
      <w:r>
        <w:rPr>
          <w:rFonts w:ascii="Times New Roman" w:cs="Times New Roman" w:eastAsia="Times New Roman" w:hAnsi="Times New Roman"/>
          <w:sz w:val="14"/>
          <w:szCs w:val="14"/>
          <w:color w:val="auto"/>
        </w:rPr>
        <w:t>. PureTech or its Controlled Affiliates, as applicable, are the sole, exclusive, true and lawful owners, licensees or lessees, as the case may be, of, and have good and marketable title to, or a valid and enforceable leasehold or license interest in or other legal, valid and enforceable right to use, all of the Transferred Assets, free of all Liens. Upon the Closing, Seaport will become the true and lawful owner, licensee or lessee, as the case may be, of, and will receive good and valid title to or a valid and enforceable leasehold or license interest in or other legal, valid and enforceable right to use, the Transferred Assets, free and clear of all Liens. No Transferred Asset is owned by any Person that is not PureTech or a Controlled Affiliate of PureTech.</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Data Privacy and Security.</w:t>
      </w:r>
    </w:p>
    <w:p>
      <w:pPr>
        <w:spacing w:after="0" w:line="175" w:lineRule="exact"/>
        <w:rPr>
          <w:sz w:val="20"/>
          <w:szCs w:val="20"/>
          <w:color w:val="auto"/>
        </w:rPr>
      </w:pPr>
    </w:p>
    <w:p>
      <w:pPr>
        <w:ind w:left="220" w:right="239" w:firstLine="767"/>
        <w:spacing w:after="0" w:line="267" w:lineRule="auto"/>
        <w:tabs>
          <w:tab w:leader="none" w:pos="1182"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PureTech’s Knowledge, PureTech and its Controlled Affiliates have for the past two years complied in all material respects with all applicable Information Privacy and Security Laws, all of PureTech Privacy Policies, and all their contractual obligations to any Person regarding privacy data security, or the Processing of Personal Data.</w:t>
      </w:r>
    </w:p>
    <w:p>
      <w:pPr>
        <w:spacing w:after="0" w:line="135" w:lineRule="exact"/>
        <w:rPr>
          <w:rFonts w:ascii="Times New Roman" w:cs="Times New Roman" w:eastAsia="Times New Roman" w:hAnsi="Times New Roman"/>
          <w:sz w:val="14"/>
          <w:szCs w:val="14"/>
          <w:color w:val="auto"/>
        </w:rPr>
      </w:pPr>
    </w:p>
    <w:p>
      <w:pPr>
        <w:ind w:left="220" w:right="519" w:firstLine="767"/>
        <w:spacing w:after="0" w:line="267" w:lineRule="auto"/>
        <w:tabs>
          <w:tab w:leader="none" w:pos="119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requires third parties that Process Personal Data on behalf of PureTech or its Controlled Affiliates to (i) comply with applicable Information Privacy and Security Laws; and (ii) take reasonable steps to protect and secure Personal Data from unauthorized access, use, disclosure or Processing.</w:t>
      </w:r>
    </w:p>
    <w:p>
      <w:pPr>
        <w:spacing w:after="0" w:line="135" w:lineRule="exact"/>
        <w:rPr>
          <w:rFonts w:ascii="Times New Roman" w:cs="Times New Roman" w:eastAsia="Times New Roman" w:hAnsi="Times New Roman"/>
          <w:sz w:val="14"/>
          <w:szCs w:val="14"/>
          <w:color w:val="auto"/>
        </w:rPr>
      </w:pPr>
    </w:p>
    <w:p>
      <w:pPr>
        <w:ind w:left="220" w:right="499" w:firstLine="767"/>
        <w:spacing w:after="0" w:line="258" w:lineRule="auto"/>
        <w:tabs>
          <w:tab w:leader="none" w:pos="1182"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and its Controlled Affiliates have not received any notice in writing of any claims, audits, investigations (including investigations by regulatory authorities or any data protection authorities), or allegations of violations of Information Privacy and Security Laws by PureTech or any Controlled Affiliate of PureTech or with respect to Personal Data Processed by, or under the control of, PureTech or any Controlled Affiliate of PureTech, and, to PureTech’s Knowledge, there are no facts or circumstances that could form the basis for any such claims, audits, investigations, or allegations.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501" w:name="page502"/>
    <w:bookmarkEnd w:id="501"/>
    <w:p>
      <w:pPr>
        <w:ind w:left="220" w:right="299" w:firstLine="767"/>
        <w:spacing w:after="0" w:line="261" w:lineRule="auto"/>
        <w:tabs>
          <w:tab w:leader="none" w:pos="1190"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PureTech’s Knowledge, for the past two years, PureTech and its Controlled Affiliates and no third party acting on their behalf each have not suffered or incurred a Data Security Incident relating to the Transferred Assets that would result in a material adverse effect on PureTech or such Controlled Affiliates. For the past two years, PureTech and its Controlled Affiliates has not been notified of, or been required to notify, any Person of any Data Security Incident relating to the Transferred Assets.</w:t>
      </w:r>
    </w:p>
    <w:p>
      <w:pPr>
        <w:spacing w:after="0" w:line="141" w:lineRule="exact"/>
        <w:rPr>
          <w:sz w:val="20"/>
          <w:szCs w:val="20"/>
          <w:color w:val="auto"/>
        </w:rPr>
      </w:pPr>
    </w:p>
    <w:p>
      <w:pPr>
        <w:ind w:left="220" w:right="339" w:firstLine="343"/>
        <w:spacing w:after="0" w:line="280" w:lineRule="auto"/>
        <w:rPr>
          <w:sz w:val="20"/>
          <w:szCs w:val="20"/>
          <w:color w:val="auto"/>
        </w:rPr>
      </w:pPr>
      <w:r>
        <w:rPr>
          <w:rFonts w:ascii="Times New Roman" w:cs="Times New Roman" w:eastAsia="Times New Roman" w:hAnsi="Times New Roman"/>
          <w:sz w:val="13"/>
          <w:szCs w:val="13"/>
          <w:color w:val="auto"/>
        </w:rPr>
        <w:t xml:space="preserve">2.15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Except for the representations and warranties contained in this Article II, neither PureTech nor any other Person has made or makes any other express or implied representation or warranty, whether written or oral, on behalf of PureTech, including any representation or warranty as to the accuracy or completeness of any information regarding the Transferred Assets furnished or made available to Seaport and its Representatives or as to the future revenue, profitability or success of the Transferred Assets, or any representation or warranty arising from statute or otherwise in law. Unless the subject of any express representation and warranty set forth in this Article II, the Transferred Assets are being assigned and transferred by PureTech to Seaport as is, where is, without representation, warranty or recourse to PureTech.</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REPRESENTATIONS AND WARRANTIES OF SEAPORT</w:t>
      </w:r>
    </w:p>
    <w:p>
      <w:pPr>
        <w:spacing w:after="0" w:line="177" w:lineRule="exact"/>
        <w:rPr>
          <w:sz w:val="20"/>
          <w:szCs w:val="20"/>
          <w:color w:val="auto"/>
        </w:rPr>
      </w:pPr>
    </w:p>
    <w:p>
      <w:pPr>
        <w:ind w:left="220" w:right="239"/>
        <w:spacing w:after="0" w:line="283" w:lineRule="auto"/>
        <w:rPr>
          <w:sz w:val="20"/>
          <w:szCs w:val="20"/>
          <w:color w:val="auto"/>
        </w:rPr>
      </w:pPr>
      <w:r>
        <w:rPr>
          <w:rFonts w:ascii="Times New Roman" w:cs="Times New Roman" w:eastAsia="Times New Roman" w:hAnsi="Times New Roman"/>
          <w:sz w:val="14"/>
          <w:szCs w:val="14"/>
          <w:color w:val="auto"/>
        </w:rPr>
        <w:t>Seaport represents and warrants to PureTech that the statements contained in this Article III are true and correct as of the date of this Agreement and will be true and correct as of the Closing as though made as of the Closing:</w:t>
      </w:r>
    </w:p>
    <w:p>
      <w:pPr>
        <w:spacing w:after="0" w:line="41"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Organization, Standing and Power</w:t>
      </w:r>
      <w:r>
        <w:rPr>
          <w:rFonts w:ascii="Times New Roman" w:cs="Times New Roman" w:eastAsia="Times New Roman" w:hAnsi="Times New Roman"/>
          <w:sz w:val="14"/>
          <w:szCs w:val="14"/>
          <w:color w:val="auto"/>
        </w:rPr>
        <w:t>. Seaport is a corporation duly organized, validly existing and in good standing under the Laws of the State of Delaware. Seaport has all requisite power and authority (corporate and other) to carry on the businesses in which it is engaged and to own and use the properties owned and used by it.</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Authority; No Conflict; Required Filings and Consents.</w:t>
      </w:r>
    </w:p>
    <w:p>
      <w:pPr>
        <w:spacing w:after="0" w:line="175" w:lineRule="exact"/>
        <w:rPr>
          <w:sz w:val="20"/>
          <w:szCs w:val="20"/>
          <w:color w:val="auto"/>
        </w:rPr>
      </w:pPr>
    </w:p>
    <w:p>
      <w:pPr>
        <w:ind w:left="220" w:right="259" w:firstLine="767"/>
        <w:spacing w:after="0" w:line="261" w:lineRule="auto"/>
        <w:tabs>
          <w:tab w:leader="none" w:pos="1182" w:val="left"/>
        </w:tabs>
        <w:numPr>
          <w:ilvl w:val="1"/>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Seaport has all requisite power and authority to execute and deliver this Agreement and to perform its obligations hereunder. The execution and delivery by Seaport of this Agreement and the consummation by Seaport of the transactions contemplated hereby have been duly and validly authorized by all necessary corporate action on the part of Seaport, This Agreement has been duly and validly executed and delivered by Seaport and constitutes a valid and binding obligation of Seaport, enforceable against it in accordance with its terms.</w:t>
      </w:r>
    </w:p>
    <w:p>
      <w:pPr>
        <w:spacing w:after="0" w:line="140" w:lineRule="exact"/>
        <w:rPr>
          <w:rFonts w:ascii="Times New Roman" w:cs="Times New Roman" w:eastAsia="Times New Roman" w:hAnsi="Times New Roman"/>
          <w:sz w:val="14"/>
          <w:szCs w:val="14"/>
          <w:color w:val="auto"/>
        </w:rPr>
      </w:pPr>
    </w:p>
    <w:p>
      <w:pPr>
        <w:ind w:left="220" w:right="339" w:firstLine="767"/>
        <w:spacing w:after="0" w:line="281" w:lineRule="auto"/>
        <w:tabs>
          <w:tab w:leader="none" w:pos="1190" w:val="left"/>
        </w:tabs>
        <w:numPr>
          <w:ilvl w:val="1"/>
          <w:numId w:val="3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and delivery by Seaport of this Agreement, nor the performance by Seaport of its obligations hereunder, nor the consummation by Seaport of the transactions contemplated hereby, will (i) conflict with or violate any provision of the charter or By-laws of Seaport,</w:t>
      </w:r>
    </w:p>
    <w:p>
      <w:pPr>
        <w:spacing w:after="0" w:line="1" w:lineRule="exact"/>
        <w:rPr>
          <w:rFonts w:ascii="Times New Roman" w:cs="Times New Roman" w:eastAsia="Times New Roman" w:hAnsi="Times New Roman"/>
          <w:sz w:val="13"/>
          <w:szCs w:val="13"/>
          <w:color w:val="auto"/>
        </w:rPr>
      </w:pPr>
    </w:p>
    <w:p>
      <w:pPr>
        <w:ind w:left="220" w:right="339" w:hanging="5"/>
        <w:spacing w:after="0" w:line="256" w:lineRule="auto"/>
        <w:tabs>
          <w:tab w:leader="none" w:pos="426"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on the part of Seaport any filing with, or permit, authorization, consent or approval of, any Governmental Entity, (iii) conflict with, result in breach of, constitute (with or without due notice or lapse of time or both) a default under, result in the acceleration of obligations under, create in any party any right to accelerate, terminate, modify or cancel, 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502" w:name="page503"/>
    <w:bookmarkEnd w:id="502"/>
    <w:p>
      <w:pPr>
        <w:ind w:left="220" w:right="3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require any notice, consent or waiver under, any contract, lease, sublease, license, sublicense, franchise, permit, indenture, agreement or mortgage for borrowed money, instrument of Indebtedness, Lien or other agreement to which Seaport is a party or by which it is bound or to which any of its assets are subject, or (iv) violate any Order applicable to Seaport or any of its properties or assets, except in the case of the foregoing clauses (iii) and (iv) for such notices, consents and waivers that, if not obtained or made, and such conflicts, breaches, defaults, accelerations, terminations, modifications, cancellations and violations that, individually or in the aggregate, have not had and would not reasonably be expected to have a material adverse effect on the ability of Seaport to consummate the transactions contemplated by this Agreement.</w:t>
      </w:r>
    </w:p>
    <w:p>
      <w:pPr>
        <w:spacing w:after="0" w:line="143" w:lineRule="exact"/>
        <w:rPr>
          <w:sz w:val="20"/>
          <w:szCs w:val="20"/>
          <w:color w:val="auto"/>
        </w:rPr>
      </w:pPr>
    </w:p>
    <w:p>
      <w:pPr>
        <w:ind w:left="220" w:right="439" w:firstLine="767"/>
        <w:spacing w:after="0" w:line="267" w:lineRule="auto"/>
        <w:tabs>
          <w:tab w:leader="none" w:pos="1182"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license, permit, Order or authorization of, or registration, declaration, notice or filing with, any Governmental Entity is required by or with respect to Seaport in connection with the execution and delivery of this Agreement by Seaport or the consummation by Seaport of the transactions contemplated by this Agreement.</w:t>
      </w:r>
    </w:p>
    <w:p>
      <w:pPr>
        <w:spacing w:after="0" w:line="136" w:lineRule="exact"/>
        <w:rPr>
          <w:sz w:val="20"/>
          <w:szCs w:val="20"/>
          <w:color w:val="auto"/>
        </w:rPr>
      </w:pPr>
    </w:p>
    <w:p>
      <w:pPr>
        <w:jc w:val="both"/>
        <w:ind w:left="220" w:right="7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No agent, broker, investment banker, financial advisor or other firm or Person is or shall be entitled, as a result of any action, agreement or commitment of Seaport or any of its Affiliates, to any broker’s, finder’s, financial advisor’s or other similar fee or commission in connection with any of the transactions contemplated by this Agreement.</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Capitalization.</w:t>
      </w:r>
    </w:p>
    <w:p>
      <w:pPr>
        <w:spacing w:after="0" w:line="175" w:lineRule="exact"/>
        <w:rPr>
          <w:sz w:val="20"/>
          <w:szCs w:val="20"/>
          <w:color w:val="auto"/>
        </w:rPr>
      </w:pPr>
    </w:p>
    <w:p>
      <w:pPr>
        <w:ind w:left="1180" w:hanging="193"/>
        <w:spacing w:after="0"/>
        <w:tabs>
          <w:tab w:leader="none" w:pos="1180"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of Seaport consists, immediately prior to the Closing, of:</w:t>
      </w:r>
    </w:p>
    <w:p>
      <w:pPr>
        <w:spacing w:after="0" w:line="91" w:lineRule="exact"/>
        <w:rPr>
          <w:rFonts w:ascii="Times New Roman" w:cs="Times New Roman" w:eastAsia="Times New Roman" w:hAnsi="Times New Roman"/>
          <w:sz w:val="14"/>
          <w:szCs w:val="14"/>
          <w:color w:val="auto"/>
        </w:rPr>
      </w:pPr>
    </w:p>
    <w:p>
      <w:pPr>
        <w:ind w:left="220" w:right="899" w:firstLine="1110"/>
        <w:spacing w:after="0" w:line="283" w:lineRule="auto"/>
        <w:tabs>
          <w:tab w:leader="none" w:pos="1502" w:val="left"/>
        </w:tabs>
        <w:numPr>
          <w:ilvl w:val="1"/>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common stock, [***] par value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 shares of which are issued and outstanding immediately prior to the Closing.</w:t>
      </w:r>
    </w:p>
    <w:p>
      <w:pPr>
        <w:spacing w:after="0" w:line="124" w:lineRule="exact"/>
        <w:rPr>
          <w:rFonts w:ascii="Times New Roman" w:cs="Times New Roman" w:eastAsia="Times New Roman" w:hAnsi="Times New Roman"/>
          <w:sz w:val="14"/>
          <w:szCs w:val="14"/>
          <w:color w:val="auto"/>
        </w:rPr>
      </w:pPr>
    </w:p>
    <w:p>
      <w:pPr>
        <w:ind w:left="220" w:right="259" w:firstLine="1110"/>
        <w:spacing w:after="0" w:line="261" w:lineRule="auto"/>
        <w:tabs>
          <w:tab w:leader="none" w:pos="1541" w:val="left"/>
        </w:tabs>
        <w:numPr>
          <w:ilvl w:val="1"/>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preferred stock, [***] par value per share (the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of which [***] shares have been designated Series A-l Preferred Stock, none of which are issued and outstanding immediately prior to the Closing. The rights, privileges and preferences of the Preferred Stock are as stated in the Amended and Restated Certificate of Incorporation of Seaport and as provided by the Delaware General Corporation Law.</w:t>
      </w:r>
    </w:p>
    <w:p>
      <w:pPr>
        <w:spacing w:after="0" w:line="140" w:lineRule="exact"/>
        <w:rPr>
          <w:rFonts w:ascii="Times New Roman" w:cs="Times New Roman" w:eastAsia="Times New Roman" w:hAnsi="Times New Roman"/>
          <w:sz w:val="14"/>
          <w:szCs w:val="14"/>
          <w:color w:val="auto"/>
        </w:rPr>
      </w:pPr>
    </w:p>
    <w:p>
      <w:pPr>
        <w:ind w:left="220" w:right="479" w:firstLine="1110"/>
        <w:spacing w:after="0" w:line="283" w:lineRule="auto"/>
        <w:tabs>
          <w:tab w:leader="none" w:pos="1580" w:val="left"/>
        </w:tabs>
        <w:numPr>
          <w:ilvl w:val="1"/>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outstanding shares of capital stock have been duly authorized, are fully paid and nonassessable and were issued in compliance with all applicable federal and state securities laws.</w:t>
      </w:r>
    </w:p>
    <w:p>
      <w:pPr>
        <w:spacing w:after="0" w:line="124"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Seaport has obtained valid waivers of any rights of all other Persons to purchase any of the Shares covered by this Agreement.</w:t>
      </w:r>
    </w:p>
    <w:p>
      <w:pPr>
        <w:spacing w:after="0" w:line="175"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Valid Issuance of Shares</w:t>
      </w:r>
      <w:r>
        <w:rPr>
          <w:rFonts w:ascii="Times New Roman" w:cs="Times New Roman" w:eastAsia="Times New Roman" w:hAnsi="Times New Roman"/>
          <w:sz w:val="14"/>
          <w:szCs w:val="14"/>
          <w:color w:val="auto"/>
        </w:rPr>
        <w:t>. The Shares, when issued, sold and delivered in accordance with the terms and for the consideration set forth in this Agreement, will be validly issued, fully paid and nonassessable and free of restrictions on transfer other than restrictions on transfer under applicable state and federal securities laws and liens or encumbrances created by or imposed by PureTech. Subject to the filings described in Section 3.6 below, the Shares will be issued in compliance with all applicable federal and state securities laws.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503" w:name="page504"/>
    <w:bookmarkEnd w:id="503"/>
    <w:p>
      <w:pPr>
        <w:jc w:val="both"/>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3.6 </w:t>
      </w:r>
      <w:r>
        <w:rPr>
          <w:rFonts w:ascii="Times New Roman" w:cs="Times New Roman" w:eastAsia="Times New Roman" w:hAnsi="Times New Roman"/>
          <w:sz w:val="14"/>
          <w:szCs w:val="14"/>
          <w:u w:val="single" w:color="auto"/>
          <w:color w:val="auto"/>
        </w:rPr>
        <w:t>Governmental Consents and Filings</w:t>
      </w:r>
      <w:r>
        <w:rPr>
          <w:rFonts w:ascii="Times New Roman" w:cs="Times New Roman" w:eastAsia="Times New Roman" w:hAnsi="Times New Roman"/>
          <w:sz w:val="14"/>
          <w:szCs w:val="14"/>
          <w:color w:val="auto"/>
        </w:rPr>
        <w:t>. No consent, approval, order or authorization of, or registration, qualification, designation, declaration or filing with, any federal, state or local governmental authority is required on the part of Seaport in connection with the consummation of the transactions contemplated by this Agreement, except for filings pursuant to applicable securities laws, which have been made or will be made in a timely manner.</w:t>
      </w:r>
    </w:p>
    <w:p>
      <w:pPr>
        <w:spacing w:after="0" w:line="136"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Independent Investigation</w:t>
      </w:r>
      <w:r>
        <w:rPr>
          <w:rFonts w:ascii="Times New Roman" w:cs="Times New Roman" w:eastAsia="Times New Roman" w:hAnsi="Times New Roman"/>
          <w:sz w:val="14"/>
          <w:szCs w:val="14"/>
          <w:color w:val="auto"/>
        </w:rPr>
        <w:t>. Seaport has conducted its own independent investigation, review and analysis of the business, results of operations, prospects, and condition (financial or otherwise) of the Transferred Assets and the Products, and acknowledges that it has been provided adequate access to the personnel, properties, assets, premises, books and records, and other documents and data of PureTech for such purpose. Seaport acknowledges and agrees that (a) in making its decision to enter into this Agreement and to consummate the transactions contemplated hereby, Seaport has relied solely upon its own investigation and the express representations and warranties of PureTech set forth in Article II of this Agreement; and (b) neither Seaport nor any other Person has made any representation or warranty as to the Transferred Assets, the Products or this Agreement, except as expressly set forth in Article II of this Agreement.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ADDITIONAL AGREEMENTS</w:t>
      </w:r>
    </w:p>
    <w:p>
      <w:pPr>
        <w:spacing w:after="0" w:line="177"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Access to Information</w:t>
      </w:r>
      <w:r>
        <w:rPr>
          <w:rFonts w:ascii="Times New Roman" w:cs="Times New Roman" w:eastAsia="Times New Roman" w:hAnsi="Times New Roman"/>
          <w:sz w:val="14"/>
          <w:szCs w:val="14"/>
          <w:color w:val="auto"/>
        </w:rPr>
        <w:t xml:space="preserve">. For [***] after Net Sales is invoiced or Net Income is received, Seaport shall keep complete and accurate records pertaining to the applicable revenue invoiced or received, in sufficient detail to permit PureTech to confirm the accuracy of all payments made hereunder. PureTech shall have the right to cause an independent, certified public accountant to audit such records to confirm Seaport’s payments pursuant to </w:t>
      </w:r>
      <w:r>
        <w:rPr>
          <w:rFonts w:ascii="Times New Roman" w:cs="Times New Roman" w:eastAsia="Times New Roman" w:hAnsi="Times New Roman"/>
          <w:sz w:val="14"/>
          <w:szCs w:val="14"/>
          <w:u w:val="single" w:color="auto"/>
          <w:color w:val="auto"/>
        </w:rPr>
        <w:t>Section 1.5(b)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auditor shall execute a confidentiality agreement with Seaport in customary form and shall only disclose to PureTech whether Seaport paid PureTech the correct amounts pursuant to Section 1.5(b) during the audit period and if not, any information necessary to explain the source of the discrepancy . If such audit determines that Seaport paid PureTech less than the amount properly due and such determination is not subject to a good faith dispute, then Seaport shall promptly pay to PureTech an amount equal to such underpayment, and if the amount underpaid exceeds the lesser of [***] or [***] percent [***] of the amount actually due over the audited period, Seaport shall also reimburse PureTech for the reasonable costs of such audit (including the fees and expenses of the certified public accountant). In the event such audit determines that Seaport paid PureTech more than the amount properly due in respect of any quarter, then PureTech shall promptly issue a refund to Seaport of such overpayment. Such audits may be exercised [***] and [***] with respect each payment period, within [***] after the payment period to which such records relate, upon reasonable advance notice to Seaport and during normal business hours.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504" w:name="page505"/>
    <w:bookmarkEnd w:id="504"/>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4.2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Each of Seaport and PureTech shall use their respective commercially reasonable efforts to take all actions necessary or appropriate to consummate the transactions contemplated by this Agreement and cause the fulfillment at the earliest practicable date of all of the conditions to the other Party’s obligations to consummate the transactions contemplated by this Agreement, including the delivery of any and all documents, certificates and agreements. In case at any time after the Closing, any further action is necessary or desirable to carry out the purposes of this Agreement, each of the Parties will cooperate with the other and take such further action (including the execution and delivery of such further instruments and documents) as any other Party reasonably may request.</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Tax Matters.</w:t>
      </w:r>
    </w:p>
    <w:p>
      <w:pPr>
        <w:spacing w:after="0" w:line="175" w:lineRule="exact"/>
        <w:rPr>
          <w:sz w:val="20"/>
          <w:szCs w:val="20"/>
          <w:color w:val="auto"/>
        </w:rPr>
      </w:pPr>
    </w:p>
    <w:p>
      <w:pPr>
        <w:jc w:val="both"/>
        <w:ind w:left="220" w:right="339" w:firstLine="767"/>
        <w:spacing w:after="0" w:line="261" w:lineRule="auto"/>
        <w:tabs>
          <w:tab w:leader="none" w:pos="1182"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shall be responsible for and shall pay all Taxes of PureTech for all periods and all Taxes that relate to the Transferred Assets that were incurred in or are attributable to any taxable period (or portion thereof) ending on or before the Closing Date. PureTech shall prepare and file their Tax Returns for all periods and all Tax Returns that relate to the Transferred Assets for any Taxable periods ending on or before the Closing Date. Such returns will be prepared and filed in accordance with applicable Law and in a manner consistent with past practices.</w:t>
      </w:r>
    </w:p>
    <w:p>
      <w:pPr>
        <w:spacing w:after="0" w:line="140" w:lineRule="exact"/>
        <w:rPr>
          <w:rFonts w:ascii="Times New Roman" w:cs="Times New Roman" w:eastAsia="Times New Roman" w:hAnsi="Times New Roman"/>
          <w:sz w:val="14"/>
          <w:szCs w:val="14"/>
          <w:color w:val="auto"/>
        </w:rPr>
      </w:pPr>
    </w:p>
    <w:p>
      <w:pPr>
        <w:ind w:left="220" w:right="299" w:firstLine="767"/>
        <w:spacing w:after="0" w:line="258" w:lineRule="auto"/>
        <w:tabs>
          <w:tab w:leader="none" w:pos="1190"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in this Agreement or the Ancillary Agreements, all transfer, documentary, sales, use, stamp, registration and other such Taxes and fees (including any penalties and interest) incurred in connection with this Agreement and the Ancillary Agreements shall be borne [***] percent [***] by PureTech and [***] percent [***] by Seaport. The Party required by Law shall file all necessary Tax Returns and other documentation with respect to all such transfer, documentary, sales, use, stamp, registration and other Taxes and fees, and, if required by applicable Law, the other Party will join in the execution of any such Tax Returns and other documentation.</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6" w:lineRule="auto"/>
        <w:tabs>
          <w:tab w:leader="none" w:pos="1175"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real property, personal property or similar Taxes applicable to the Transferred Assets for a taxable period that includes but does not end on the Closing Date shall be paid by Seaport or PureTech, as applicable, and such Taxes shall be apportioned between Seaport and PureTech based on the number of days in the portion of the taxable period that ends on the Closing Date (the “</w:t>
      </w:r>
      <w:r>
        <w:rPr>
          <w:rFonts w:ascii="Times New Roman" w:cs="Times New Roman" w:eastAsia="Times New Roman" w:hAnsi="Times New Roman"/>
          <w:sz w:val="14"/>
          <w:szCs w:val="14"/>
          <w:u w:val="single" w:color="auto"/>
          <w:color w:val="auto"/>
        </w:rPr>
        <w:t>Pre-Closing Tax Period</w:t>
      </w:r>
      <w:r>
        <w:rPr>
          <w:rFonts w:ascii="Times New Roman" w:cs="Times New Roman" w:eastAsia="Times New Roman" w:hAnsi="Times New Roman"/>
          <w:sz w:val="14"/>
          <w:szCs w:val="14"/>
          <w:color w:val="auto"/>
        </w:rPr>
        <w:t>”) and the number of days in the entire taxable period. PureTech shall pay Seaport an amount equal to any such Taxes payable by Seaport which are attributable to the Pre-Closing Tax Period, and Seaport shall pay PureTech an amount equal to any such Taxes payable by PureTech which are not attributable to the Pre-Closing Tax Period. Such payments shall be made on or prior to the Closing Date or, if later, on the date such Taxes are due (or thereafter, promptly after request by Seaport or PureTech if such Taxes are not identified by Seaport or PureTech on or prior to the Closing Date).</w:t>
      </w:r>
    </w:p>
    <w:p>
      <w:pPr>
        <w:spacing w:after="0" w:line="143" w:lineRule="exact"/>
        <w:rPr>
          <w:rFonts w:ascii="Times New Roman" w:cs="Times New Roman" w:eastAsia="Times New Roman" w:hAnsi="Times New Roman"/>
          <w:sz w:val="14"/>
          <w:szCs w:val="14"/>
          <w:color w:val="auto"/>
        </w:rPr>
      </w:pPr>
    </w:p>
    <w:p>
      <w:pPr>
        <w:ind w:left="220" w:right="439" w:firstLine="767"/>
        <w:spacing w:after="0" w:line="283" w:lineRule="auto"/>
        <w:tabs>
          <w:tab w:leader="none" w:pos="1190"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shall provide commercially reasonable cooperation with Seaport and make any filings reasonably and timely requested by Seaport to obtain any available Tax clearance certificates in connection with the transactions contemplated pursuant to this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505" w:name="page506"/>
    <w:bookmarkEnd w:id="505"/>
    <w:p>
      <w:pPr>
        <w:jc w:val="both"/>
        <w:ind w:left="220" w:right="21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4.4 </w:t>
      </w:r>
      <w:r>
        <w:rPr>
          <w:rFonts w:ascii="Times New Roman" w:cs="Times New Roman" w:eastAsia="Times New Roman" w:hAnsi="Times New Roman"/>
          <w:sz w:val="14"/>
          <w:szCs w:val="14"/>
          <w:u w:val="single" w:color="auto"/>
          <w:color w:val="auto"/>
        </w:rPr>
        <w:t>Ownership Transfer</w:t>
      </w:r>
      <w:r>
        <w:rPr>
          <w:rFonts w:ascii="Times New Roman" w:cs="Times New Roman" w:eastAsia="Times New Roman" w:hAnsi="Times New Roman"/>
          <w:sz w:val="14"/>
          <w:szCs w:val="14"/>
          <w:color w:val="auto"/>
        </w:rPr>
        <w:t>. Promptly following Closing, to the extent necessary to transfer ownership to Seaport of all Regulatory Applications filed with Regulatory Authorities, the Parties shall execute and deliver to such Regulatory Authorities such documents as shall be required to accomplish such transfer.</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PureTech License.</w:t>
      </w:r>
    </w:p>
    <w:p>
      <w:pPr>
        <w:spacing w:after="0" w:line="175" w:lineRule="exact"/>
        <w:rPr>
          <w:sz w:val="20"/>
          <w:szCs w:val="20"/>
          <w:color w:val="auto"/>
        </w:rPr>
      </w:pPr>
    </w:p>
    <w:p>
      <w:pPr>
        <w:ind w:left="220" w:right="279" w:firstLine="767"/>
        <w:spacing w:after="0" w:line="253" w:lineRule="auto"/>
        <w:tabs>
          <w:tab w:leader="none" w:pos="1182"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PureTech may from time to time request that Seaport grant it a license under the Glyph IP to Utilize products (excluding the Existing Products and any product within a Field Exception as defined under the Monash License so long as the Field Exception continues to be excluded from the Field as defined under the Monash License) directed to Non-CNS Indications by providing Seaport with written notice requesting such a license and identifying the specific products or product concepts (each, an “</w:t>
      </w:r>
      <w:r>
        <w:rPr>
          <w:rFonts w:ascii="Times New Roman" w:cs="Times New Roman" w:eastAsia="Times New Roman" w:hAnsi="Times New Roman"/>
          <w:sz w:val="14"/>
          <w:szCs w:val="14"/>
          <w:u w:val="single" w:color="auto"/>
          <w:color w:val="auto"/>
        </w:rPr>
        <w:t>Identified Product Concept</w:t>
      </w:r>
      <w:r>
        <w:rPr>
          <w:rFonts w:ascii="Times New Roman" w:cs="Times New Roman" w:eastAsia="Times New Roman" w:hAnsi="Times New Roman"/>
          <w:sz w:val="14"/>
          <w:szCs w:val="14"/>
          <w:color w:val="auto"/>
        </w:rPr>
        <w:t>”) that PureTech desires to Utilize (such notice, a “</w:t>
      </w:r>
      <w:r>
        <w:rPr>
          <w:rFonts w:ascii="Times New Roman" w:cs="Times New Roman" w:eastAsia="Times New Roman" w:hAnsi="Times New Roman"/>
          <w:sz w:val="14"/>
          <w:szCs w:val="14"/>
          <w:u w:val="single" w:color="auto"/>
          <w:color w:val="auto"/>
        </w:rPr>
        <w:t>PureTech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License Request Notice</w:t>
      </w:r>
      <w:r>
        <w:rPr>
          <w:rFonts w:ascii="Times New Roman" w:cs="Times New Roman" w:eastAsia="Times New Roman" w:hAnsi="Times New Roman"/>
          <w:sz w:val="14"/>
          <w:szCs w:val="14"/>
          <w:color w:val="auto"/>
        </w:rPr>
        <w:t>”). If PureTech provides such notice to Seaport and the Identified Product Concept(s) are Available, the Parties will enter into a license agreement pursuant to which Seaport will grant PureTech rights under the Glyph IP to Utilize such Identified Product Concept(s) for Non-CNS Indications (each, a “</w:t>
      </w:r>
      <w:r>
        <w:rPr>
          <w:rFonts w:ascii="Times New Roman" w:cs="Times New Roman" w:eastAsia="Times New Roman" w:hAnsi="Times New Roman"/>
          <w:sz w:val="14"/>
          <w:szCs w:val="14"/>
          <w:u w:val="single" w:color="auto"/>
          <w:color w:val="auto"/>
        </w:rPr>
        <w:t>PureTech License</w:t>
      </w:r>
      <w:r>
        <w:rPr>
          <w:rFonts w:ascii="Times New Roman" w:cs="Times New Roman" w:eastAsia="Times New Roman" w:hAnsi="Times New Roman"/>
          <w:sz w:val="14"/>
          <w:szCs w:val="14"/>
          <w:color w:val="auto"/>
        </w:rPr>
        <w:t xml:space="preserve">”). Each PureTech License will be substantially in the form attached hereto as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with changes only to conform the Licensed Products definition to the Identified Product Concept(s) unless the Parties otherwise mutually agree. For the avoidance of doubt, PureTech will not be required to make any payment to Seaport under any PureTech License, other than those payments required to be made to Monash under the Monash License with respect to the Licensed Products or Identified Product Concept under such PureTech License. For clarity, the payment obligations set forth in Section 1.5(b) will not apply to any product commercialized by or on behalf of PureTech, PureTech’s Affiliates (other than Seaport and Seaport’s Controlled Affiliates) or any sublicensee of PureTech or PureTech’s Affiliates (other than Seaport and Seaport’s Controlled Affiliates). [***].</w:t>
      </w:r>
    </w:p>
    <w:p>
      <w:pPr>
        <w:spacing w:after="0" w:line="148" w:lineRule="exact"/>
        <w:rPr>
          <w:rFonts w:ascii="Times New Roman" w:cs="Times New Roman" w:eastAsia="Times New Roman" w:hAnsi="Times New Roman"/>
          <w:sz w:val="14"/>
          <w:szCs w:val="14"/>
          <w:color w:val="auto"/>
        </w:rPr>
      </w:pPr>
    </w:p>
    <w:p>
      <w:pPr>
        <w:ind w:left="220" w:right="279" w:firstLine="767"/>
        <w:spacing w:after="0" w:line="258" w:lineRule="auto"/>
        <w:tabs>
          <w:tab w:leader="none" w:pos="1190"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PureTech’s request and subject to a technology transfer plan agreed to between the Parties, Seaport will use good faith efforts to provide PureTech with services as necessary to transfer any know-how within the Glyph IP or any material data and information within the Transferred Assets related to the licensed Glyph IP to the extent reasonably required to enable PureTech to develop the Identified Product Concepts. PureTech will reimburse Seaport for its costs of providing such technology transfer on a reasonable fee-for-services basis based on market FTE rates for the applicable categories of Seaport personnel.</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61" w:lineRule="auto"/>
        <w:tabs>
          <w:tab w:leader="none" w:pos="1182"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PureTech’s request set forth in the PureTech License Request Notice, Seaport agrees to negotiate in good faith a license on commercially reasonable terms to any Intellectual Property other than the Glyph IP that: (i) is owned or controlled (with the ability to grant a license) by Seaport or any of its Controlled Affiliates; (ii) relates to the subject matter of the Glyph IP; and (iii) is necessary or reasonably useful for PureTech to Utilize the Identified Product Concept(s) for Non-CNS Indications.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506" w:name="page507"/>
    <w:bookmarkEnd w:id="506"/>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(d) PureTech’s right to request a PureTech License pursuant to this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 xml:space="preserve"> will terminate upon a Change of Control of Seaport.</w:t>
      </w:r>
    </w:p>
    <w:p>
      <w:pPr>
        <w:spacing w:after="0" w:line="175"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Protection and Maintenance of Transferred Patents</w:t>
      </w:r>
      <w:r>
        <w:rPr>
          <w:rFonts w:ascii="Times New Roman" w:cs="Times New Roman" w:eastAsia="Times New Roman" w:hAnsi="Times New Roman"/>
          <w:sz w:val="14"/>
          <w:szCs w:val="14"/>
          <w:color w:val="auto"/>
        </w:rPr>
        <w:t>. After the Closing, Seaport will be solely responsible for all patent prosecution and maintenance activities with respect to the Transferred Patents, provided that, during the period in which PureTech’s right to request the PureTech License is in effect and continuing for any period in which any PureTech License is in effect: (i) Seaport will (a) provide PureTech with copies of all material filings and material formal correspondences relating to the Transferred Patents to and from the United States Patent and Trademark Office and any other patent office (including copies of each patent application, office action, response to office action, request for terminal disclaimer, and request for reissue or reexamination of any patent or patent application) at least [***] Business Days in advance of any material filing, (b) consider in good faith any input provided by PureTech regarding the prosecution and maintenance of the Transferred Patents, and (c) consult with PureTech prior to material decisions with respect to the prosecution and maintenance of the Transferred Patents; and (ii) to the extent that any Transferred Patents solely cover products subject to the PureTech License, the PureTech License will provide that PureTech will have the first right to prosecute and maintain such Transferred Patents. In addition, Seaport must obtain PureTech’s prior written consent to any decision regarding prosecution or enforcement of the Transferred Patents to the extent such decision would be reasonably likely to materially and adversely impact PureTech’s rights under this Agreement or any PureTech License. If PureTech does not respond to any materials provided by Seaport, any consent request, or any action or inaction suggested by Seaport with respect to prosecution and maintenance of the Transferred Patents within [***] Business Days, PureTech will be deemed not to have any comments regarding such information and materials and will be deemed to have provided consent to any such action or inaction.</w:t>
      </w:r>
    </w:p>
    <w:p>
      <w:pPr>
        <w:spacing w:after="0" w:line="147" w:lineRule="exact"/>
        <w:rPr>
          <w:sz w:val="20"/>
          <w:szCs w:val="20"/>
          <w:color w:val="auto"/>
        </w:rPr>
      </w:pPr>
    </w:p>
    <w:p>
      <w:pPr>
        <w:ind w:left="220" w:right="2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Services Agreement</w:t>
      </w:r>
      <w:r>
        <w:rPr>
          <w:rFonts w:ascii="Times New Roman" w:cs="Times New Roman" w:eastAsia="Times New Roman" w:hAnsi="Times New Roman"/>
          <w:sz w:val="14"/>
          <w:szCs w:val="14"/>
          <w:color w:val="auto"/>
        </w:rPr>
        <w:t>. Pursuant to the Services Agreement, PureTech shall (and shall cause its Affiliates to, as applicable) provide services to Seaport and its Controlled Affiliates as set forth in the Services Agreement to transition the Transferred Assets to Seaport. All Intellectual Property to the extent directly related to the Glyph Technology invented, developed, generated, acquired or reduced to practice by or on behalf of PureTech as part of the services provided in connection with the Services Agreement will be owned by Seaport and shall constitute Glyph IP. PureTech agrees to assign to Seaport the ownership of any such Glyph IP invented, developed, generated, acquired or reduced to practice as part of the services provided in connection with the Services Agreement.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CONFIDENTIALITY</w:t>
      </w:r>
    </w:p>
    <w:p>
      <w:pPr>
        <w:spacing w:after="0" w:line="177" w:lineRule="exact"/>
        <w:rPr>
          <w:sz w:val="20"/>
          <w:szCs w:val="20"/>
          <w:color w:val="auto"/>
        </w:rPr>
      </w:pPr>
    </w:p>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Except to the extent expressly authorized by this Agreement or otherwise agreed in writing by the other Party, each Party agrees that it shall keep confidential and shall not publish or otherwise disclose and shall not use for any purpose other than as provided for in this Agreement any Confidential Information of the other Party unless such Party can demonstrate by competent proof that such Confidential Information:</w:t>
      </w:r>
    </w:p>
    <w:p>
      <w:pPr>
        <w:spacing w:after="0" w:line="51" w:lineRule="exact"/>
        <w:rPr>
          <w:sz w:val="20"/>
          <w:szCs w:val="20"/>
          <w:color w:val="auto"/>
        </w:rPr>
      </w:pPr>
    </w:p>
    <w:p>
      <w:pPr>
        <w:ind w:left="220" w:right="499" w:firstLine="767"/>
        <w:spacing w:after="0" w:line="283" w:lineRule="auto"/>
        <w:tabs>
          <w:tab w:leader="none" w:pos="1182"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already known to it or its Controlled Affiliate, other than under an obligation of confidentiality, at the time of disclosure by the other Party or its Controlled Affiliate;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507" w:name="page508"/>
    <w:bookmarkEnd w:id="507"/>
    <w:p>
      <w:pPr>
        <w:ind w:left="1180" w:hanging="193"/>
        <w:spacing w:after="0"/>
        <w:tabs>
          <w:tab w:leader="none" w:pos="1180"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was generally available to the public or otherwise part of the public domain at the time of its disclosure to it or its Controlled Affiliate;</w:t>
      </w:r>
    </w:p>
    <w:p>
      <w:pPr>
        <w:spacing w:after="0" w:line="175" w:lineRule="exact"/>
        <w:rPr>
          <w:rFonts w:ascii="Times New Roman" w:cs="Times New Roman" w:eastAsia="Times New Roman" w:hAnsi="Times New Roman"/>
          <w:sz w:val="14"/>
          <w:szCs w:val="14"/>
          <w:color w:val="auto"/>
        </w:rPr>
      </w:pPr>
    </w:p>
    <w:p>
      <w:pPr>
        <w:ind w:left="220" w:right="439" w:firstLine="767"/>
        <w:spacing w:after="0" w:line="283" w:lineRule="auto"/>
        <w:tabs>
          <w:tab w:leader="none" w:pos="1182"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became generally available to the public or otherwise part of the public domain after its disclosure and other than through any act or omission of it or its Controlled Affiliate in breach of this Agreement;</w:t>
      </w:r>
    </w:p>
    <w:p>
      <w:pPr>
        <w:spacing w:after="0" w:line="124" w:lineRule="exact"/>
        <w:rPr>
          <w:rFonts w:ascii="Times New Roman" w:cs="Times New Roman" w:eastAsia="Times New Roman" w:hAnsi="Times New Roman"/>
          <w:sz w:val="14"/>
          <w:szCs w:val="14"/>
          <w:color w:val="auto"/>
        </w:rPr>
      </w:pPr>
    </w:p>
    <w:p>
      <w:pPr>
        <w:ind w:left="220" w:right="439" w:firstLine="767"/>
        <w:spacing w:after="0" w:line="283" w:lineRule="auto"/>
        <w:tabs>
          <w:tab w:leader="none" w:pos="1190"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disclosed to it without any obligation of confidentiality by a Third Party who had a legal right to make such disclosure and who did not obtain such information directly or indirectly from the other Party or its Controlled Affiliate; or</w:t>
      </w:r>
    </w:p>
    <w:p>
      <w:pPr>
        <w:spacing w:after="0" w:line="124" w:lineRule="exact"/>
        <w:rPr>
          <w:rFonts w:ascii="Times New Roman" w:cs="Times New Roman" w:eastAsia="Times New Roman" w:hAnsi="Times New Roman"/>
          <w:sz w:val="14"/>
          <w:szCs w:val="14"/>
          <w:color w:val="auto"/>
        </w:rPr>
      </w:pPr>
    </w:p>
    <w:p>
      <w:pPr>
        <w:ind w:left="220" w:right="339" w:firstLine="767"/>
        <w:spacing w:after="0" w:line="283" w:lineRule="auto"/>
        <w:tabs>
          <w:tab w:leader="none" w:pos="1182"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independently discovered or developed by it or its Controlled Affiliate without access to or aid, application or use of Confidential Information, as evidenced by a contemporaneous writing.</w:t>
      </w:r>
    </w:p>
    <w:p>
      <w:pPr>
        <w:spacing w:after="0" w:line="125"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Authorized Disclosure</w:t>
      </w:r>
      <w:r>
        <w:rPr>
          <w:rFonts w:ascii="Times New Roman" w:cs="Times New Roman" w:eastAsia="Times New Roman" w:hAnsi="Times New Roman"/>
          <w:sz w:val="14"/>
          <w:szCs w:val="14"/>
          <w:color w:val="auto"/>
        </w:rPr>
        <w:t>. A Party or its Controlled Affiliate may disclose Confidential Information of the other Party to the extent such disclosure is reasonably necessary to comply with applicable laws, governmental regulations or court orders. In the event such Party or its Controlled Affiliate is legally required to make a disclosure of Confidential Information, such Party shall give reasonable advance notice to the other Party of such required disclosure so that the other Party may seek a protective order or other measure preventing or limiting the required disclosure or if, as between the Parties, only the Party required to make such disclosure is permitted to seek such order or measure, so that the Party required to make such disclosure may reasonably consider doing so at the other Party’s request and expense.</w:t>
      </w:r>
    </w:p>
    <w:p>
      <w:pPr>
        <w:spacing w:after="0" w:line="14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Terms of this Agreement</w:t>
      </w:r>
      <w:r>
        <w:rPr>
          <w:rFonts w:ascii="Times New Roman" w:cs="Times New Roman" w:eastAsia="Times New Roman" w:hAnsi="Times New Roman"/>
          <w:sz w:val="14"/>
          <w:szCs w:val="14"/>
          <w:color w:val="auto"/>
        </w:rPr>
        <w:t>. The Parties agree that the material financial terms of this Agreement shall be considered confidential information of both Parties and that each Party shall keep such terms confidential unless otherwise agreed by the Parties; provided, however, that either Party may disclose such terms in confidence to any bona fide potential or actual investor, lender, acquiror, licensee and other financial or commercial partner solely for the purpose of evaluating or participating in a potential or actual investment, loan, acquisition, license or collaboration. The Parties will consult with one another and use reasonable efforts to agree on the provisions of this Agreement to be redacted in any filings required to be made by either Party with the Securities and Exchange Commission or as otherwise required by law, provided that each Party shall have the right to make any required disclosures as it deems necessary in order to comply with applicable laws and regulations, the rules of any stock exchange and other legal requirements. Notwithstanding the foregoing, PureTech shall have the right to disclose publicly the following terms: right to receive development and commercial milestones, sublicense income and tiered royalties in the range of 3-5% of Net Sales.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508" w:name="page509"/>
    <w:bookmarkEnd w:id="50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VI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77"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Indemnification by PureTech</w:t>
      </w:r>
      <w:r>
        <w:rPr>
          <w:rFonts w:ascii="Times New Roman" w:cs="Times New Roman" w:eastAsia="Times New Roman" w:hAnsi="Times New Roman"/>
          <w:sz w:val="14"/>
          <w:szCs w:val="14"/>
          <w:color w:val="auto"/>
        </w:rPr>
        <w:t>. Subject to the terms and conditions of this Article VI, PureTech covenants and agrees to defend, indemnify and hold Seaport and its Controlled Affiliates, and each of Seaport’s and its Controlled Affiliates’ respective Representatives (individually, a “Seaport Indemnified Party” and collectively, the “Seaport Indemnified Parties”) harmless against, and compensate and reimburse Seaport Indemnified Parties for, any and all losses, damages, Liabilities, fines, fees, penalties, interest, awards, judgments and claims of any kind, including attorneys’ and consultants’ fees and expenses and other legal costs and expenses incurred in prosecution, investigation, remediation, defense or settlement (collectively, “Damages”) incurred or suffered by any Seaport Indemnified Party (regardless of whether such Damages relate to any Third Party Action) resulting from, relating to or constituting:</w:t>
      </w:r>
    </w:p>
    <w:p>
      <w:pPr>
        <w:spacing w:after="0" w:line="59" w:lineRule="exact"/>
        <w:rPr>
          <w:sz w:val="20"/>
          <w:szCs w:val="20"/>
          <w:color w:val="auto"/>
        </w:rPr>
      </w:pPr>
    </w:p>
    <w:p>
      <w:pPr>
        <w:ind w:left="220" w:right="259" w:firstLine="767"/>
        <w:spacing w:after="0" w:line="267" w:lineRule="auto"/>
        <w:tabs>
          <w:tab w:leader="none" w:pos="1182"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or inaccuracy in any representation or warranty of PureTech set forth in this Agreement, any Ancillary Agreement or any certificate delivered by or on behalf of PureTech in connection herewith, and any claim asserted by a third party against any Seaport Indemnified Party that, if meritorious, would constitute or give rise to any such breach;</w:t>
      </w:r>
    </w:p>
    <w:p>
      <w:pPr>
        <w:spacing w:after="0" w:line="135" w:lineRule="exact"/>
        <w:rPr>
          <w:rFonts w:ascii="Times New Roman" w:cs="Times New Roman" w:eastAsia="Times New Roman" w:hAnsi="Times New Roman"/>
          <w:sz w:val="14"/>
          <w:szCs w:val="14"/>
          <w:color w:val="auto"/>
        </w:rPr>
      </w:pPr>
    </w:p>
    <w:p>
      <w:pPr>
        <w:ind w:left="220" w:right="639" w:firstLine="767"/>
        <w:spacing w:after="0" w:line="283" w:lineRule="auto"/>
        <w:tabs>
          <w:tab w:leader="none" w:pos="1190"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perform any covenant or agreement of PureTech contained in this Agreement or any Ancillary Agreement or other instrument furnished by PureTech to Seaport pursuant to this Agreement or any Ancillary Agreement;</w:t>
      </w:r>
    </w:p>
    <w:p>
      <w:pPr>
        <w:spacing w:after="0" w:line="124"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Retained Liabilities; or</w:t>
      </w:r>
    </w:p>
    <w:p>
      <w:pPr>
        <w:spacing w:after="0" w:line="175" w:lineRule="exact"/>
        <w:rPr>
          <w:rFonts w:ascii="Times New Roman" w:cs="Times New Roman" w:eastAsia="Times New Roman" w:hAnsi="Times New Roman"/>
          <w:sz w:val="14"/>
          <w:szCs w:val="14"/>
          <w:color w:val="auto"/>
        </w:rPr>
      </w:pPr>
    </w:p>
    <w:p>
      <w:pPr>
        <w:ind w:left="220" w:right="359" w:firstLine="767"/>
        <w:spacing w:after="0" w:line="261" w:lineRule="auto"/>
        <w:tabs>
          <w:tab w:leader="none" w:pos="1190"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any Assumed Liability, any Liability (including any Liability related to Taxes) imposed upon Seaport or any of its Controlled Affiliates by reason of its status as transferee of, or successor to, the Products or the Transferred Assets (including any Liability imposed upon Seaport or any of its Controlled Affiliates as a result of the failure by PureTech to comply with its obligations under any applicable bulk transfers Laws or Tax clearance certificate requirements under applicable state Tax law).</w:t>
      </w:r>
    </w:p>
    <w:p>
      <w:pPr>
        <w:spacing w:after="0" w:line="141"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Indemnification by Seaport</w:t>
      </w:r>
      <w:r>
        <w:rPr>
          <w:rFonts w:ascii="Times New Roman" w:cs="Times New Roman" w:eastAsia="Times New Roman" w:hAnsi="Times New Roman"/>
          <w:sz w:val="14"/>
          <w:szCs w:val="14"/>
          <w:color w:val="auto"/>
        </w:rPr>
        <w:t>. Subject to the terms and conditions of this Article VI, from and after the Closing, Seaport shall defend, indemnify and hold PureTech and its Controlled Affiliates and each of PureTech’s and its Controlled Affiliates’ respective Representatives (individually, a “PureTech Indemnified Party” and collectively, the “PureTech Indemnified Parties”) harmless against, and compensate and reimburse PureTech Indemnified Parties for, any and all Damages incurred or suffered by any PureTech Indemnified Party (regardless of whether such Damages relate to any Third Party Action) resulting from, relating to or constituting:</w:t>
      </w:r>
    </w:p>
    <w:p>
      <w:pPr>
        <w:spacing w:after="0" w:line="60" w:lineRule="exact"/>
        <w:rPr>
          <w:sz w:val="20"/>
          <w:szCs w:val="20"/>
          <w:color w:val="auto"/>
        </w:rPr>
      </w:pPr>
    </w:p>
    <w:p>
      <w:pPr>
        <w:ind w:left="220" w:right="279" w:firstLine="767"/>
        <w:spacing w:after="0" w:line="267" w:lineRule="auto"/>
        <w:tabs>
          <w:tab w:leader="none" w:pos="1182"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or inaccuracy in any representation or warranty of Seaport contained in this Agreement, any Ancillary Agreement or any certificate delivered by or on behalf of Seaport in connection herewith, and any claim asserted by a third party against any PureTech Indemnified Party that, if meritorious, would constitute or give rise to any such breach;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509" w:name="page510"/>
    <w:bookmarkEnd w:id="509"/>
    <w:p>
      <w:pPr>
        <w:ind w:left="220" w:right="739" w:firstLine="767"/>
        <w:spacing w:after="0" w:line="283" w:lineRule="auto"/>
        <w:tabs>
          <w:tab w:leader="none" w:pos="119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any failure to perform any covenant or agreement of Seaport contained in this Agreement or any Ancillary Agreement or other instrument furnished by Seaport to PureTech pursuant to this Agreement or any Ancillary Agreement;</w:t>
      </w:r>
    </w:p>
    <w:p>
      <w:pPr>
        <w:spacing w:after="0" w:line="124"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resulting from Seaport’s failure to comply with the terms of the Monash License from and after the Closing; or</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Assumed Liabilities.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Indemnification Claims.</w:t>
      </w:r>
    </w:p>
    <w:p>
      <w:pPr>
        <w:spacing w:after="0" w:line="175" w:lineRule="exact"/>
        <w:rPr>
          <w:sz w:val="20"/>
          <w:szCs w:val="20"/>
          <w:color w:val="auto"/>
        </w:rPr>
      </w:pPr>
    </w:p>
    <w:p>
      <w:pPr>
        <w:ind w:left="220" w:right="239" w:firstLine="767"/>
        <w:spacing w:after="0" w:line="252" w:lineRule="auto"/>
        <w:tabs>
          <w:tab w:leader="none" w:pos="1182" w:val="left"/>
        </w:tabs>
        <w:numPr>
          <w:ilvl w:val="1"/>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Indemnified Party shall give written notification to the Indemnifying Party of the commencement of any Third Party Action. Such notification shall be given within 20 days after receipt by the Indemnified Party of notice of such Third Party Action, and shall describe in reasonable detail (to the extent then known by the Indemnified Party) the facts constituting the basis for such Third Party Action and the amount of the claimed damages. No delay or failure on the part of the Indemnified Party in so notifying the Indemnifying Party shall relieve the Indemnifying Party of any Liability hereunder except to the extent of the Indemnifying Party’s rights or defenses are prejudiced, or its Liability increased, as a result of such delay or failure. Following delivery of such notification, the Indemnifying Party shall have the right to assume control of the defense of such Third Party Action with counsel reasonably satisfactory to the Indemnified Party; provided, that, if the Indemnifying Party does not promptly undertake and diligently pursue the defense, the Indemnified Party shall have the right to assume sole control thereof upon delivery of written notice to the Indemnifying Party. The Indemnified Party may, upon written notice to the Indemnifying Party, participate in the defense thereof, at its own expense, through its counsel, who shall be reasonably acceptable to the Indemnifying Party (which right of participation shall be in addition to the right of the Non-controlling Party to be advised and make recommendations set forth below). The Controlling Party shall keep the Non-controlling Party advised of the status of such Third Party Action and the defense thereof and shall consider in good faith recommendations made by the Non-controlling Party with respect thereto. The Non-controlling Party shall furnish the Controlling Party with such information as it may have with respect to such Third Party Action (including copies of any summons, complaint or other pleading which may have been served on such party and any written claim, demand, invoice, billing or other document evidencing or asserting the same) and shall otherwise cooperate with and assist the Controlling Party in the defense of such Third Party Action. The fees and expenses of counsel to the Indemnified Party with respect to a Third Party Action shall be considered Damages for purposes of this Agreement if (i) the Indemnified Party controls the defense of such Third Party Action pursuant to the terms of this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or</w:t>
      </w:r>
    </w:p>
    <w:p>
      <w:pPr>
        <w:ind w:left="420" w:hanging="205"/>
        <w:spacing w:after="0"/>
        <w:tabs>
          <w:tab w:leader="none" w:pos="420"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Indemnifying Party assumes control of such defense and the Indemnified Party reasonably concludes, based on independent legal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510" w:name="page511"/>
    <w:bookmarkEnd w:id="510"/>
    <w:p>
      <w:pPr>
        <w:ind w:left="220" w:right="2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advice, that the Indemnifying Party and the Indemnified Party have conflicting interests such that the Indemnifying Party would be prohibited under applicable legal ethics or disciplinary rules from representing the Indemnified Party in such Third Party Action. The Indemnifying Party shall not agree to any settlement of, or the entry of any judgment arising from, any Third Party Action without the prior written consent of the Indemnified Party, which shall not be unreasonably withheld, conditioned or delayed; provided that the consent of the Indemnified Party shall not be required if the Indemnifying Party agrees in writing to pay any amounts payable pursuant to such settlement or judgment and such settlement or judgment includes a complete release of the Indemnified Party from further Liability and has no other adverse effect on Seaport Indemnified Party. The Indemnified Party shall not agree to any settlement of, or the entry of any judgment arising from, any such Third Party Action without the prior written consent of the Indemnifying Party.</w:t>
      </w:r>
    </w:p>
    <w:p>
      <w:pPr>
        <w:spacing w:after="0" w:line="145" w:lineRule="exact"/>
        <w:rPr>
          <w:sz w:val="20"/>
          <w:szCs w:val="20"/>
          <w:color w:val="auto"/>
        </w:rPr>
      </w:pPr>
    </w:p>
    <w:p>
      <w:pPr>
        <w:ind w:left="1180" w:hanging="193"/>
        <w:spacing w:after="0"/>
        <w:tabs>
          <w:tab w:leader="none" w:pos="118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order to seek indemnification under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the Indemnified Party shall deliver a Claim Notice to the Indemnifying Party.</w:t>
      </w:r>
    </w:p>
    <w:p>
      <w:pPr>
        <w:spacing w:after="0" w:line="175" w:lineRule="exact"/>
        <w:rPr>
          <w:rFonts w:ascii="Times New Roman" w:cs="Times New Roman" w:eastAsia="Times New Roman" w:hAnsi="Times New Roman"/>
          <w:sz w:val="14"/>
          <w:szCs w:val="14"/>
          <w:color w:val="auto"/>
        </w:rPr>
      </w:pPr>
    </w:p>
    <w:p>
      <w:pPr>
        <w:ind w:left="1160" w:hanging="173"/>
        <w:spacing w:after="0"/>
        <w:tabs>
          <w:tab w:leader="none" w:pos="116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dispute under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be resolved in accordance with </w:t>
      </w:r>
      <w:r>
        <w:rPr>
          <w:rFonts w:ascii="Times New Roman" w:cs="Times New Roman" w:eastAsia="Times New Roman" w:hAnsi="Times New Roman"/>
          <w:sz w:val="14"/>
          <w:szCs w:val="14"/>
          <w:u w:val="single" w:color="auto"/>
          <w:color w:val="auto"/>
        </w:rPr>
        <w:t>Section 8.8</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Survival.</w:t>
      </w:r>
    </w:p>
    <w:p>
      <w:pPr>
        <w:spacing w:after="0" w:line="175" w:lineRule="exact"/>
        <w:rPr>
          <w:sz w:val="20"/>
          <w:szCs w:val="20"/>
          <w:color w:val="auto"/>
        </w:rPr>
      </w:pPr>
    </w:p>
    <w:p>
      <w:pPr>
        <w:ind w:left="220" w:right="219" w:firstLine="767"/>
        <w:spacing w:after="0" w:line="239" w:lineRule="auto"/>
        <w:tabs>
          <w:tab w:leader="none" w:pos="1182"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specified in this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or elsewhere in this Agreement, all provisions of this Agreement shall survive the Closing and the consummation of the transactions contemplated hereby and shall continue in full force and effect in accordance with their terms until the expiration of the applicable statute of limitations; provided, however, that, except with respect to claims based on fraud, intentional misrepresentation or willful breach, (i) the representations and warranties set forth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(Taxes) shall expire on the [***] day after the relevant statute of limitations relating to any breach of any such representation or warranty has expired, (ii) the representations and warranties set forth in </w:t>
      </w:r>
      <w:r>
        <w:rPr>
          <w:rFonts w:ascii="Times New Roman" w:cs="Times New Roman" w:eastAsia="Times New Roman" w:hAnsi="Times New Roman"/>
          <w:sz w:val="14"/>
          <w:szCs w:val="14"/>
          <w:u w:val="single" w:color="auto"/>
          <w:color w:val="auto"/>
        </w:rPr>
        <w:t>Sections 2.1</w:t>
      </w:r>
      <w:r>
        <w:rPr>
          <w:rFonts w:ascii="Times New Roman" w:cs="Times New Roman" w:eastAsia="Times New Roman" w:hAnsi="Times New Roman"/>
          <w:sz w:val="14"/>
          <w:szCs w:val="14"/>
          <w:color w:val="auto"/>
        </w:rPr>
        <w:t xml:space="preserve"> (Organization and Good Standing), </w:t>
      </w:r>
      <w:r>
        <w:rPr>
          <w:rFonts w:ascii="Times New Roman" w:cs="Times New Roman" w:eastAsia="Times New Roman" w:hAnsi="Times New Roman"/>
          <w:sz w:val="14"/>
          <w:szCs w:val="14"/>
          <w:u w:val="single" w:color="auto"/>
          <w:color w:val="auto"/>
        </w:rPr>
        <w:t>2.2(a)</w:t>
      </w:r>
      <w:r>
        <w:rPr>
          <w:rFonts w:ascii="Times New Roman" w:cs="Times New Roman" w:eastAsia="Times New Roman" w:hAnsi="Times New Roman"/>
          <w:sz w:val="14"/>
          <w:szCs w:val="14"/>
          <w:color w:val="auto"/>
        </w:rPr>
        <w:t xml:space="preserve"> (Authority), </w:t>
      </w:r>
      <w:r>
        <w:rPr>
          <w:rFonts w:ascii="Times New Roman" w:cs="Times New Roman" w:eastAsia="Times New Roman" w:hAnsi="Times New Roman"/>
          <w:sz w:val="14"/>
          <w:szCs w:val="14"/>
          <w:u w:val="single" w:color="auto"/>
          <w:color w:val="auto"/>
        </w:rPr>
        <w:t>2.2(b)(i)</w:t>
      </w:r>
      <w:r>
        <w:rPr>
          <w:rFonts w:ascii="Times New Roman" w:cs="Times New Roman" w:eastAsia="Times New Roman" w:hAnsi="Times New Roman"/>
          <w:sz w:val="14"/>
          <w:szCs w:val="14"/>
          <w:color w:val="auto"/>
        </w:rPr>
        <w:t xml:space="preserve"> (No Conflict with Organizational Documents), </w:t>
      </w:r>
      <w:r>
        <w:rPr>
          <w:rFonts w:ascii="Times New Roman" w:cs="Times New Roman" w:eastAsia="Times New Roman" w:hAnsi="Times New Roman"/>
          <w:sz w:val="14"/>
          <w:szCs w:val="14"/>
          <w:u w:val="single" w:color="auto"/>
          <w:color w:val="auto"/>
        </w:rPr>
        <w:t>2.12</w:t>
      </w:r>
      <w:r>
        <w:rPr>
          <w:rFonts w:ascii="Times New Roman" w:cs="Times New Roman" w:eastAsia="Times New Roman" w:hAnsi="Times New Roman"/>
          <w:sz w:val="14"/>
          <w:szCs w:val="14"/>
          <w:color w:val="auto"/>
        </w:rPr>
        <w:t xml:space="preserve"> (Brokers), </w:t>
      </w:r>
      <w:r>
        <w:rPr>
          <w:rFonts w:ascii="Times New Roman" w:cs="Times New Roman" w:eastAsia="Times New Roman" w:hAnsi="Times New Roman"/>
          <w:sz w:val="14"/>
          <w:szCs w:val="14"/>
          <w:u w:val="single" w:color="auto"/>
          <w:color w:val="auto"/>
        </w:rPr>
        <w:t>3.1</w:t>
      </w:r>
      <w:r>
        <w:rPr>
          <w:rFonts w:ascii="Times New Roman" w:cs="Times New Roman" w:eastAsia="Times New Roman" w:hAnsi="Times New Roman"/>
          <w:sz w:val="14"/>
          <w:szCs w:val="14"/>
          <w:color w:val="auto"/>
        </w:rPr>
        <w:t xml:space="preserve"> (Organization, Standing and Power), </w:t>
      </w:r>
      <w:r>
        <w:rPr>
          <w:rFonts w:ascii="Times New Roman" w:cs="Times New Roman" w:eastAsia="Times New Roman" w:hAnsi="Times New Roman"/>
          <w:sz w:val="14"/>
          <w:szCs w:val="14"/>
          <w:u w:val="single" w:color="auto"/>
          <w:color w:val="auto"/>
        </w:rPr>
        <w:t>3.2(a)</w:t>
      </w:r>
      <w:r>
        <w:rPr>
          <w:rFonts w:ascii="Times New Roman" w:cs="Times New Roman" w:eastAsia="Times New Roman" w:hAnsi="Times New Roman"/>
          <w:sz w:val="14"/>
          <w:szCs w:val="14"/>
          <w:color w:val="auto"/>
        </w:rPr>
        <w:t xml:space="preserve"> (Authority), </w:t>
      </w:r>
      <w:r>
        <w:rPr>
          <w:rFonts w:ascii="Times New Roman" w:cs="Times New Roman" w:eastAsia="Times New Roman" w:hAnsi="Times New Roman"/>
          <w:sz w:val="14"/>
          <w:szCs w:val="14"/>
          <w:u w:val="single" w:color="auto"/>
          <w:color w:val="auto"/>
        </w:rPr>
        <w:t>3.2(b)(i)</w:t>
      </w:r>
      <w:r>
        <w:rPr>
          <w:rFonts w:ascii="Times New Roman" w:cs="Times New Roman" w:eastAsia="Times New Roman" w:hAnsi="Times New Roman"/>
          <w:sz w:val="14"/>
          <w:szCs w:val="14"/>
          <w:color w:val="auto"/>
        </w:rPr>
        <w:t xml:space="preserve"> (No Conflict with Organizational Documents), and </w:t>
      </w:r>
      <w:r>
        <w:rPr>
          <w:rFonts w:ascii="Times New Roman" w:cs="Times New Roman" w:eastAsia="Times New Roman" w:hAnsi="Times New Roman"/>
          <w:sz w:val="14"/>
          <w:szCs w:val="14"/>
          <w:u w:val="single" w:color="auto"/>
          <w:color w:val="auto"/>
        </w:rPr>
        <w:t>3.3</w:t>
      </w:r>
      <w:r>
        <w:rPr>
          <w:rFonts w:ascii="Times New Roman" w:cs="Times New Roman" w:eastAsia="Times New Roman" w:hAnsi="Times New Roman"/>
          <w:sz w:val="14"/>
          <w:szCs w:val="14"/>
          <w:color w:val="auto"/>
        </w:rPr>
        <w:t xml:space="preserve"> (Brokers) shall expire [***] years after the Closing Date (together, the foregoing clauses (i) and (ii), the “</w:t>
      </w:r>
      <w:r>
        <w:rPr>
          <w:rFonts w:ascii="Times New Roman" w:cs="Times New Roman" w:eastAsia="Times New Roman" w:hAnsi="Times New Roman"/>
          <w:sz w:val="14"/>
          <w:szCs w:val="14"/>
          <w:u w:val="single" w:color="auto"/>
          <w:color w:val="auto"/>
        </w:rPr>
        <w:t>Fundamental Reps</w:t>
      </w:r>
      <w:r>
        <w:rPr>
          <w:rFonts w:ascii="Times New Roman" w:cs="Times New Roman" w:eastAsia="Times New Roman" w:hAnsi="Times New Roman"/>
          <w:sz w:val="14"/>
          <w:szCs w:val="14"/>
          <w:color w:val="auto"/>
        </w:rPr>
        <w:t>”) and (iv) all other representations and warranties shall expire on the first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anniversary of the Closing Date (the “</w:t>
      </w:r>
      <w:r>
        <w:rPr>
          <w:rFonts w:ascii="Times New Roman" w:cs="Times New Roman" w:eastAsia="Times New Roman" w:hAnsi="Times New Roman"/>
          <w:sz w:val="14"/>
          <w:szCs w:val="14"/>
          <w:u w:val="single" w:color="auto"/>
          <w:color w:val="auto"/>
        </w:rPr>
        <w:t>General Expiration Date</w:t>
      </w:r>
      <w:r>
        <w:rPr>
          <w:rFonts w:ascii="Times New Roman" w:cs="Times New Roman" w:eastAsia="Times New Roman" w:hAnsi="Times New Roman"/>
          <w:sz w:val="14"/>
          <w:szCs w:val="14"/>
          <w:color w:val="auto"/>
        </w:rPr>
        <w:t>”).</w:t>
      </w:r>
    </w:p>
    <w:p>
      <w:pPr>
        <w:spacing w:after="0" w:line="158"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Seaport delivers to PureTech, before expiration of a representation, warranty, covenant or agreement, either a Claim Notice or an Expected Claim Notice based upon a breach of such representation, warranty, covenant or agreement then the applicable representation, warranty, covenant or agreement shall survive until, but only for purposes of, the resolution of the matter covered by such notice. If the legal proceeding or written claim with respect to which an Expected Claim Notice has been given is definitively withdrawn or resolved in favor of Seaport, Seaport shall promptly so notify PureTech.</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511" w:name="page512"/>
    <w:bookmarkEnd w:id="511"/>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6.5 </w:t>
      </w:r>
      <w:r>
        <w:rPr>
          <w:rFonts w:ascii="Times New Roman" w:cs="Times New Roman" w:eastAsia="Times New Roman" w:hAnsi="Times New Roman"/>
          <w:sz w:val="14"/>
          <w:szCs w:val="14"/>
          <w:u w:val="single" w:color="auto"/>
          <w:color w:val="auto"/>
        </w:rPr>
        <w:t>Limitations.</w:t>
      </w:r>
    </w:p>
    <w:p>
      <w:pPr>
        <w:spacing w:after="0" w:line="175" w:lineRule="exact"/>
        <w:rPr>
          <w:sz w:val="20"/>
          <w:szCs w:val="20"/>
          <w:color w:val="auto"/>
        </w:rPr>
      </w:pPr>
    </w:p>
    <w:p>
      <w:pPr>
        <w:ind w:left="220" w:right="339" w:firstLine="767"/>
        <w:spacing w:after="0" w:line="258" w:lineRule="auto"/>
        <w:tabs>
          <w:tab w:leader="none" w:pos="1182"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this Agreement or in any other agreement executed in connection herewith, with respect to claims arising under </w:t>
      </w: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6.2(a)</w:t>
      </w:r>
      <w:r>
        <w:rPr>
          <w:rFonts w:ascii="Times New Roman" w:cs="Times New Roman" w:eastAsia="Times New Roman" w:hAnsi="Times New Roman"/>
          <w:sz w:val="14"/>
          <w:szCs w:val="14"/>
          <w:color w:val="auto"/>
        </w:rPr>
        <w:t xml:space="preserve">, the Indemnifying Party shall not be liable until all Damages suffered by the Indemnified Party equal [***] in the aggregate (at which point the Indemnifying Party shall become liable for Damages only in excess of that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limitations set forth in this </w:t>
      </w:r>
      <w:r>
        <w:rPr>
          <w:rFonts w:ascii="Times New Roman" w:cs="Times New Roman" w:eastAsia="Times New Roman" w:hAnsi="Times New Roman"/>
          <w:sz w:val="14"/>
          <w:szCs w:val="14"/>
          <w:u w:val="single" w:color="auto"/>
          <w:color w:val="auto"/>
        </w:rPr>
        <w:t>Section 6.5(a)</w:t>
      </w:r>
      <w:r>
        <w:rPr>
          <w:rFonts w:ascii="Times New Roman" w:cs="Times New Roman" w:eastAsia="Times New Roman" w:hAnsi="Times New Roman"/>
          <w:sz w:val="14"/>
          <w:szCs w:val="14"/>
          <w:color w:val="auto"/>
        </w:rPr>
        <w:t xml:space="preserve"> shall not apply to claims based on fraud, intentional misrepresentation or willful breach or the breach of or inaccuracy in any Fundamental Rep.</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61" w:lineRule="auto"/>
        <w:tabs>
          <w:tab w:leader="none" w:pos="1190"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except in the case of fraud, intentional misrepresentation, or willful breach, claims for which shall not be capped, the aggregate amount of Damages that may be recovered by Seaport Indemnified Parties under</w:t>
      </w:r>
    </w:p>
    <w:p>
      <w:pPr>
        <w:ind w:left="220" w:right="6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xml:space="preserve"> or by PureTech Indemnified Parties under </w:t>
      </w:r>
      <w:r>
        <w:rPr>
          <w:rFonts w:ascii="Times New Roman" w:cs="Times New Roman" w:eastAsia="Times New Roman" w:hAnsi="Times New Roman"/>
          <w:sz w:val="14"/>
          <w:szCs w:val="14"/>
          <w:u w:val="single" w:color="auto"/>
          <w:color w:val="auto"/>
        </w:rPr>
        <w:t>Section 6.2(a)</w:t>
      </w:r>
      <w:r>
        <w:rPr>
          <w:rFonts w:ascii="Times New Roman" w:cs="Times New Roman" w:eastAsia="Times New Roman" w:hAnsi="Times New Roman"/>
          <w:sz w:val="14"/>
          <w:szCs w:val="14"/>
          <w:color w:val="auto"/>
        </w:rPr>
        <w:t xml:space="preserve"> shall be (i) [***] for breaches of or inaccuracies in any representations or warranties that are not Fundamental Reps, and [***] for breaches of or inaccuracies in Fundamental Reps.</w:t>
      </w:r>
    </w:p>
    <w:p>
      <w:pPr>
        <w:spacing w:after="0" w:line="139" w:lineRule="exact"/>
        <w:rPr>
          <w:rFonts w:ascii="Times New Roman" w:cs="Times New Roman" w:eastAsia="Times New Roman" w:hAnsi="Times New Roman"/>
          <w:sz w:val="14"/>
          <w:szCs w:val="14"/>
          <w:color w:val="auto"/>
        </w:rPr>
      </w:pPr>
    </w:p>
    <w:p>
      <w:pPr>
        <w:ind w:left="220" w:right="299" w:firstLine="767"/>
        <w:spacing w:after="0" w:line="267" w:lineRule="auto"/>
        <w:tabs>
          <w:tab w:leader="none" w:pos="1182"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purposes of determining whether there has been a breach of any representation or warranty requiring PureTech or Seaport to indemnify as provided in </w:t>
      </w:r>
      <w:r>
        <w:rPr>
          <w:rFonts w:ascii="Times New Roman" w:cs="Times New Roman" w:eastAsia="Times New Roman" w:hAnsi="Times New Roman"/>
          <w:sz w:val="14"/>
          <w:szCs w:val="14"/>
          <w:u w:val="single" w:color="auto"/>
          <w:color w:val="auto"/>
        </w:rPr>
        <w:t>Section 6.1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6.2(a)</w:t>
      </w:r>
      <w:r>
        <w:rPr>
          <w:rFonts w:ascii="Times New Roman" w:cs="Times New Roman" w:eastAsia="Times New Roman" w:hAnsi="Times New Roman"/>
          <w:sz w:val="14"/>
          <w:szCs w:val="14"/>
          <w:color w:val="auto"/>
        </w:rPr>
        <w:t>, respectively, and the amount of any Damages with respect thereto, the representations and warranties shall be deemed to have been made without any qualifications or limitations as to materiality or similar qualifiers.</w:t>
      </w:r>
    </w:p>
    <w:p>
      <w:pPr>
        <w:spacing w:after="0" w:line="135" w:lineRule="exact"/>
        <w:rPr>
          <w:rFonts w:ascii="Times New Roman" w:cs="Times New Roman" w:eastAsia="Times New Roman" w:hAnsi="Times New Roman"/>
          <w:sz w:val="14"/>
          <w:szCs w:val="14"/>
          <w:color w:val="auto"/>
        </w:rPr>
      </w:pPr>
    </w:p>
    <w:p>
      <w:pPr>
        <w:ind w:left="220" w:right="359" w:firstLine="767"/>
        <w:spacing w:after="0" w:line="267" w:lineRule="auto"/>
        <w:tabs>
          <w:tab w:leader="none" w:pos="1190"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Agreement shall limit the Liability of any Person who perpetrated, participated in or had knowledge of fraud. Notwithstanding anything to the contrary set forth in this Agreement, none of the limitations set forth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whether time-based, monetary or otherwise, including the survival periods set forth in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 xml:space="preserve"> and the limitations set forth in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shall apply to claims for fraud.</w:t>
      </w:r>
    </w:p>
    <w:p>
      <w:pPr>
        <w:spacing w:after="0" w:line="135" w:lineRule="exact"/>
        <w:rPr>
          <w:rFonts w:ascii="Times New Roman" w:cs="Times New Roman" w:eastAsia="Times New Roman" w:hAnsi="Times New Roman"/>
          <w:sz w:val="14"/>
          <w:szCs w:val="14"/>
          <w:color w:val="auto"/>
        </w:rPr>
      </w:pPr>
    </w:p>
    <w:p>
      <w:pPr>
        <w:ind w:left="220" w:right="339" w:firstLine="767"/>
        <w:spacing w:after="0" w:line="258" w:lineRule="auto"/>
        <w:tabs>
          <w:tab w:leader="none" w:pos="1182"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WITH RESPECT TO A BREACH OF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A PARTY’S LIABILITY PURSUANT TO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WITH RESPECT TO LIABILITIES FOR THIRD PARTY CLAIMS, NONE OF THE PARTIES WILL BE LIABLE FOR ANY CONSEQUENTIAL, EXEMPLARY OR PUNITIVE DAMAGES, ARISING IN ANY WAY OUT OF THIS AGREEMENT OR THE EXERCISE OF ITS RIGHTS HEREUNDER, WHETHER BASED UPON WARRANTY, CONTRACT, TORT, STRICT LIABILITY, OR OTHERWISE, EVEN IF SUCH PARTY HAS BEEN ADVISED OF THE POSSIBILITY OF SUCH DAMAGES OR LOSS.</w:t>
      </w:r>
    </w:p>
    <w:p>
      <w:pPr>
        <w:spacing w:after="0" w:line="144"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Effect of Due Diligence</w:t>
      </w:r>
      <w:r>
        <w:rPr>
          <w:rFonts w:ascii="Times New Roman" w:cs="Times New Roman" w:eastAsia="Times New Roman" w:hAnsi="Times New Roman"/>
          <w:sz w:val="14"/>
          <w:szCs w:val="14"/>
          <w:color w:val="auto"/>
        </w:rPr>
        <w:t>. The rights to indemnification set forth in this Article VI shall not be affected by any investigation conducted by or on behalf of the Party seeking indemnification or any knowledge acquired (or capable of being acquired) by such Party, whether before or after the date of this Agreement, with respect to the inaccuracy or noncompliance with any representation, warranty, covenant or obligation which is the subject of indemnification hereunder.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512" w:name="page513"/>
    <w:bookmarkEnd w:id="512"/>
    <w:p>
      <w:pPr>
        <w:ind w:left="220" w:right="5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6.7 </w:t>
      </w:r>
      <w:r>
        <w:rPr>
          <w:rFonts w:ascii="Times New Roman" w:cs="Times New Roman" w:eastAsia="Times New Roman" w:hAnsi="Times New Roman"/>
          <w:sz w:val="14"/>
          <w:szCs w:val="14"/>
          <w:u w:val="single" w:color="auto"/>
          <w:color w:val="auto"/>
        </w:rPr>
        <w:t>Indemnification Payments</w:t>
      </w:r>
      <w:r>
        <w:rPr>
          <w:rFonts w:ascii="Times New Roman" w:cs="Times New Roman" w:eastAsia="Times New Roman" w:hAnsi="Times New Roman"/>
          <w:sz w:val="14"/>
          <w:szCs w:val="14"/>
          <w:color w:val="auto"/>
        </w:rPr>
        <w:t>. All indemnification payments made hereunder shall be treated by all Parties as adjustments to the value of the issuance and payments, if any, made pursuant to Section 1.5 for Tax purposes unless otherwise required by Law.</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DEFINED TERMS; INTERPRETATION</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As used in this Agreement, the following terms shall have the meanings set forth or as referenced below:</w:t>
      </w:r>
    </w:p>
    <w:p>
      <w:pPr>
        <w:spacing w:after="0" w:line="91" w:lineRule="exact"/>
        <w:rPr>
          <w:sz w:val="20"/>
          <w:szCs w:val="20"/>
          <w:color w:val="auto"/>
        </w:rPr>
      </w:pPr>
    </w:p>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 Person, any other Person who is an “affiliate” of that Person within the meaning of Rule 405 promulgated under the Securities Act of 1933, as amended.</w:t>
      </w:r>
    </w:p>
    <w:p>
      <w:pPr>
        <w:spacing w:after="0" w:line="125" w:lineRule="exact"/>
        <w:rPr>
          <w:sz w:val="20"/>
          <w:szCs w:val="20"/>
          <w:color w:val="auto"/>
        </w:rPr>
      </w:pPr>
    </w:p>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Agreements</w:t>
      </w:r>
      <w:r>
        <w:rPr>
          <w:rFonts w:ascii="Times New Roman" w:cs="Times New Roman" w:eastAsia="Times New Roman" w:hAnsi="Times New Roman"/>
          <w:sz w:val="14"/>
          <w:szCs w:val="14"/>
          <w:color w:val="auto"/>
        </w:rPr>
        <w:t>” means each the Patent Assignment, the Trademark Assignment, the Additional Transfer Documents and the Services Agreement.</w:t>
      </w:r>
    </w:p>
    <w:p>
      <w:pPr>
        <w:spacing w:after="0" w:line="125" w:lineRule="exact"/>
        <w:rPr>
          <w:sz w:val="20"/>
          <w:szCs w:val="20"/>
          <w:color w:val="auto"/>
        </w:rPr>
      </w:pPr>
    </w:p>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Annual Net Sales</w:t>
      </w:r>
      <w:r>
        <w:rPr>
          <w:rFonts w:ascii="Times New Roman" w:cs="Times New Roman" w:eastAsia="Times New Roman" w:hAnsi="Times New Roman"/>
          <w:sz w:val="14"/>
          <w:szCs w:val="14"/>
          <w:color w:val="auto"/>
        </w:rPr>
        <w:t>” means, with respect to any Seaport Glyph Product, the aggregate, worldwide Net Sales of such Seaport Glyph Product in a single Calendar Year.</w:t>
      </w:r>
    </w:p>
    <w:p>
      <w:pPr>
        <w:spacing w:after="0" w:line="125" w:lineRule="exact"/>
        <w:rPr>
          <w:sz w:val="20"/>
          <w:szCs w:val="20"/>
          <w:color w:val="auto"/>
        </w:rPr>
      </w:pPr>
    </w:p>
    <w:p>
      <w:pPr>
        <w:ind w:left="220" w:right="279" w:firstLine="34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Available</w:t>
      </w:r>
      <w:r>
        <w:rPr>
          <w:rFonts w:ascii="Times New Roman" w:cs="Times New Roman" w:eastAsia="Times New Roman" w:hAnsi="Times New Roman"/>
          <w:sz w:val="14"/>
          <w:szCs w:val="14"/>
          <w:color w:val="auto"/>
        </w:rPr>
        <w:t xml:space="preserve">” means, with respect to any Identified Product Concept, that, as of the date of Seaport’s receipt of the applicable PureTech License Request Notice: (a) such Identified Product Concept is not subject to a license, collaboration or similar arrangement with an independent third party that includes contractual obligations (including an exclusive license, exclusive option, covenant not to sue or noncompete obligation) that will prevent Seaport from granting PureTech the PureTech License with respect to such Identified Product Concept; (b) Seaport is not then actively engaged in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negotiations (as evidenced by a written term sheet that has been delivered by either Seaport or the third party to the other) regarding a potential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license, collaboration or similar arrangement with an independent third party that will, if consummated, include contractual obligations (including an exclusive license, exclusive option, covenant not to sue or noncompete obligation) that will prevent Seaport from granting PureTech the PureTech License with respect to such Identified Product Concept; (c) the Identified Product Concept is not then the subject </w:t>
      </w:r>
      <w:r>
        <w:rPr>
          <w:rFonts w:ascii="Times New Roman" w:cs="Times New Roman" w:eastAsia="Times New Roman" w:hAnsi="Times New Roman"/>
          <w:sz w:val="14"/>
          <w:szCs w:val="14"/>
          <w:i w:val="1"/>
          <w:iCs w:val="1"/>
          <w:color w:val="auto"/>
        </w:rPr>
        <w:t>of a bona fide</w:t>
      </w:r>
      <w:r>
        <w:rPr>
          <w:rFonts w:ascii="Times New Roman" w:cs="Times New Roman" w:eastAsia="Times New Roman" w:hAnsi="Times New Roman"/>
          <w:sz w:val="14"/>
          <w:szCs w:val="14"/>
          <w:color w:val="auto"/>
        </w:rPr>
        <w:t xml:space="preserve"> internal research and development program at Seaport that includes prodrug generation and/or preclinical or later stage studies then actively in progress with respect to a particular named product candidate, as evidenced by written records confirming such activities have been in progress for [***]; and (d) such Identified Product Concept has not been demonstrated (as demonstrated in peer reviewed scientific literature, unpublished data shared under confidentiality with Seaport, or pursuant to internal research by Seaport, Monash, or any of their Controlled Affiliates, in each case based upon a validated pre-clinical model or clinical evidence) or under experimental investigation at Seaport to be potentially useful as a therapeutic for any CNS Indication, with respect to experimental investigation at Seaport as evidenced by written records confirming such activities have been in progress for [***].</w:t>
      </w:r>
    </w:p>
    <w:p>
      <w:pPr>
        <w:spacing w:after="0" w:line="147"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Books and Records</w:t>
      </w:r>
      <w:r>
        <w:rPr>
          <w:rFonts w:ascii="Times New Roman" w:cs="Times New Roman" w:eastAsia="Times New Roman" w:hAnsi="Times New Roman"/>
          <w:sz w:val="14"/>
          <w:szCs w:val="14"/>
          <w:color w:val="auto"/>
        </w:rPr>
        <w:t>” means any and all business records, financial books and records, sales order files, purchase order files, warranty and repair files, supplier lists, customer lists, franchisee, representative and distributor lists, billing and route sheets, mailing lists, studies, surveys, analyses, strategies, plans, forms, designs, diagrams, drawings, specifications, technical data, production and quality control records and formulations, data, databases, user names, passwords, any information related to customers, suppliers, vendors, consultants, marketing channels, and business partners in any medium, but excluding personnel records.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513" w:name="page514"/>
    <w:bookmarkEnd w:id="513"/>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(a) a Saturday or Sunday or (b) a day on which banking institutions located in Boston, Massachusetts are permitted or required by Law, executive order or governmental decree to remain closed.</w:t>
      </w:r>
    </w:p>
    <w:p>
      <w:pPr>
        <w:spacing w:after="0" w:line="125" w:lineRule="exact"/>
        <w:rPr>
          <w:sz w:val="20"/>
          <w:szCs w:val="20"/>
          <w:color w:val="auto"/>
        </w:rPr>
      </w:pPr>
    </w:p>
    <w:p>
      <w:pPr>
        <w:ind w:left="220" w:right="5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Calendar Quarter</w:t>
      </w:r>
      <w:r>
        <w:rPr>
          <w:rFonts w:ascii="Times New Roman" w:cs="Times New Roman" w:eastAsia="Times New Roman" w:hAnsi="Times New Roman"/>
          <w:sz w:val="14"/>
          <w:szCs w:val="14"/>
          <w:color w:val="auto"/>
        </w:rPr>
        <w:t>” means a period of three (3) consecutive months ending on the last day of each March, June, September, or December, respectively, except that the first Calendar Quarter during the Term will begin on the Closing and end on the last day of the Calendar Quarter within which the Closing falls.</w:t>
      </w:r>
    </w:p>
    <w:p>
      <w:pPr>
        <w:spacing w:after="0" w:line="136"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Calendar Year</w:t>
      </w:r>
      <w:r>
        <w:rPr>
          <w:rFonts w:ascii="Times New Roman" w:cs="Times New Roman" w:eastAsia="Times New Roman" w:hAnsi="Times New Roman"/>
          <w:sz w:val="14"/>
          <w:szCs w:val="14"/>
          <w:color w:val="auto"/>
        </w:rPr>
        <w:t>” means each period of twelve (12) consecutive months beginning on January 1 and ending on December 31, except that the first Calendar Year starts on the Closing and ends on December 31, 2024.</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w:t>
      </w:r>
      <w:r>
        <w:rPr>
          <w:rFonts w:ascii="Times New Roman" w:cs="Times New Roman" w:eastAsia="Times New Roman" w:hAnsi="Times New Roman"/>
          <w:sz w:val="14"/>
          <w:szCs w:val="14"/>
          <w:color w:val="auto"/>
        </w:rPr>
        <w:t>” means any change, event, circumstance or development.</w:t>
      </w:r>
    </w:p>
    <w:p>
      <w:pPr>
        <w:spacing w:after="0" w:line="175"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xml:space="preserve">” means, with respect to a Person, that a such Person sells, conveys, exclusively licenses or otherwise disposes of all or substantially all of its property or business or merges with or into or consolidates with any other corporation, limited liability company or other entity [***], or if any other transaction occurs which results in (assuming an immediate and maximum exercise/conversion of all derivative securities issued in the transaction) the stockholder(s) of such Person immediately prior to the transaction owning less than 50% of the voting stock of such Person immediately following the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none of the following shall be considered a Change of Control: (a) a merger effected exclusively for the purpose of changing the domicile of a Person, (b) a transaction in which the stockholders of a Person immediately prior to the transaction own 50% or more of the voting stock or equity interests of the surviving corporation or entity (or, if the surviving corporation or entity is a wholly owned subsidiary, its parent) following the transaction (taking into account only stock of such Person held by such stockholders prior to the transaction), or (c) a financing transaction or series of financing transactions as a consequence of which investors acquire from a Person the equity securities or securities convertible into equity securities of such Person, regardless of whether the stockholders of such Person continue to own 50% or more of the voting stock of such Person immediately following the transaction.</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Claim Notice</w:t>
      </w:r>
      <w:r>
        <w:rPr>
          <w:rFonts w:ascii="Times New Roman" w:cs="Times New Roman" w:eastAsia="Times New Roman" w:hAnsi="Times New Roman"/>
          <w:sz w:val="14"/>
          <w:szCs w:val="14"/>
          <w:color w:val="auto"/>
        </w:rPr>
        <w:t xml:space="preserve">” means written notification which contains (a) a description of the Damages incurred or reasonably expected to be incurred by the Indemnified Party and the Claimed Amount of such Damages, to the extent then known, (b) a statement that the Indemnified Party is entitled to indemnification under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for such Damages and a reasonable explanation of the basis therefor, and (c) a demand for payment in the amount of such Damages.</w:t>
      </w:r>
    </w:p>
    <w:p>
      <w:pPr>
        <w:spacing w:after="0" w:line="141" w:lineRule="exact"/>
        <w:rPr>
          <w:sz w:val="20"/>
          <w:szCs w:val="20"/>
          <w:color w:val="auto"/>
        </w:rPr>
      </w:pPr>
    </w:p>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t>“Claimed Amount” means the amount of any Damages incurred or reasonably expected to be incurred by the Indemnified Party in connection with a claim for indemnification pursuant to Section 6.3.</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1" w:right="1440" w:bottom="1440" w:gutter="0" w:footer="0" w:header="0"/>
        </w:sectPr>
      </w:pPr>
    </w:p>
    <w:bookmarkStart w:id="514" w:name="page515"/>
    <w:bookmarkEnd w:id="514"/>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CNS Indication</w:t>
      </w:r>
      <w:r>
        <w:rPr>
          <w:rFonts w:ascii="Times New Roman" w:cs="Times New Roman" w:eastAsia="Times New Roman" w:hAnsi="Times New Roman"/>
          <w:sz w:val="14"/>
          <w:szCs w:val="14"/>
          <w:color w:val="auto"/>
        </w:rPr>
        <w:t>” means any disease, disorder, or condition primarily affecting or manifesting in the brain, spinal cord, or peripheral nervous system (with the exception of and not including the enteric nervous system), including neurological, psychiatric, neuropsychiatric, pain, mental, and behavioral indications. Without limiting the foregoing, CNS Indications includes all indications within the ICD-10 code range of F01-F99 and G01-99. “CNS Symptoms” means a physiologically expressed symptom primarily manifesting in the brain, spinal cord or peripheral nervous system (with the exception of and not including the enteric nervous system) that is secondary to non-CNS Indications. CNS Indications shall include CNS Symptoms for the purposes of this Agreement. For clarity, indications that do not fall within the first sentence of this definition are not deemed to be CNS Indications by nature of the presence of CNS Symptoms.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means the closing of the transactions contemplated by this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Combination Product</w:t>
      </w:r>
      <w:r>
        <w:rPr>
          <w:rFonts w:ascii="Times New Roman" w:cs="Times New Roman" w:eastAsia="Times New Roman" w:hAnsi="Times New Roman"/>
          <w:sz w:val="14"/>
          <w:szCs w:val="14"/>
          <w:color w:val="auto"/>
        </w:rPr>
        <w:t>” has the meaning set forth in the definition of “</w:t>
      </w:r>
      <w:r>
        <w:rPr>
          <w:rFonts w:ascii="Times New Roman" w:cs="Times New Roman" w:eastAsia="Times New Roman" w:hAnsi="Times New Roman"/>
          <w:sz w:val="14"/>
          <w:szCs w:val="14"/>
          <w:u w:val="single" w:color="auto"/>
          <w:color w:val="auto"/>
        </w:rPr>
        <w:t>Net Sales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175"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means any and all Information that (a) is disclosed by one Party or its Affiliates to the other Party or its Affiliates under or in connection with this Agreement, whether in oral, written, graphic, or electronic form, and (b) concerns the Products, the Monash License (or the inventions disclosed or claimed therein), any Transferred Asset (including the Glyph Technology and the Monash License), which, in the case of the Confidential Information described in this subsection (b), will be deemed Seaport’s Confidential Information notwithstanding any prior access or knowledge by PureTech or any of its Controlled Affiliates, except that any such Confidential Information to the extent primarily relating to any Identified Product Concepts (and not any then-existing Products of Seaport) that is disclosed by PureTech to Seaport in furtherance of exercise of PureTech’s rights with respect to a PureTech License will be deemed PureTech’s Confidential Information notwithstanding any prior access or knowledge by Seaport or any of its Controlled Affiliates.</w:t>
      </w:r>
    </w:p>
    <w:p>
      <w:pPr>
        <w:spacing w:after="0" w:line="145" w:lineRule="exact"/>
        <w:rPr>
          <w:sz w:val="20"/>
          <w:szCs w:val="20"/>
          <w:color w:val="auto"/>
        </w:rPr>
      </w:pPr>
    </w:p>
    <w:p>
      <w:pPr>
        <w:jc w:val="both"/>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means any written or oral agreement, contract, subcontract, settlement agreement, lease, sublease, binding understanding, instrument, note, option, bond, mortgage, indenture, trust document, loan or credit agreement, license, sublicense, insurance policy or legally binding commitment or undertaking of any nature, as in effect as of the date hereof or as may hereinafter be in effect.</w:t>
      </w:r>
    </w:p>
    <w:p>
      <w:pPr>
        <w:spacing w:after="0" w:line="136"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Controlled Affiliate</w:t>
      </w:r>
      <w:r>
        <w:rPr>
          <w:rFonts w:ascii="Times New Roman" w:cs="Times New Roman" w:eastAsia="Times New Roman" w:hAnsi="Times New Roman"/>
          <w:sz w:val="14"/>
          <w:szCs w:val="14"/>
          <w:color w:val="auto"/>
        </w:rPr>
        <w:t>” means, with respect to any Person, Affiliates of such Person that are controlled by such Person. For purposes of this definition, the term “control” means as to such Person, direct or indirect ownership of (i) more than fifty percent (50%) in the aggregate of the voting power of all outstanding shares entitled to vote at a general election of directors of such Person, (ii) more than fifty percent (50%) of the equity interests in such Person, or (iii) more than fifty percent (50%) of the assets of such Person.</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Controlling Party</w:t>
      </w:r>
      <w:r>
        <w:rPr>
          <w:rFonts w:ascii="Times New Roman" w:cs="Times New Roman" w:eastAsia="Times New Roman" w:hAnsi="Times New Roman"/>
          <w:sz w:val="14"/>
          <w:szCs w:val="14"/>
          <w:color w:val="auto"/>
        </w:rPr>
        <w:t>” means the Party controlling the defense of any Third Party Action.</w:t>
      </w:r>
    </w:p>
    <w:p>
      <w:pPr>
        <w:spacing w:after="0" w:line="175"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w:t>
      </w:r>
      <w:r>
        <w:rPr>
          <w:rFonts w:ascii="Times New Roman" w:cs="Times New Roman" w:eastAsia="Times New Roman" w:hAnsi="Times New Roman"/>
          <w:sz w:val="14"/>
          <w:szCs w:val="14"/>
          <w:color w:val="auto"/>
        </w:rPr>
        <w:t>” means, with respect to a product or technology and any Intellectual Property, that, but for ownership of or a license under such Intellectual Property, the Utilization of such product or technology by a Person would infringe, violate or misappropriate such Intellectual Property (or, with respect to any claim included in any patent application, would infringe such claim if such patent application were to issue as a patent). “</w:t>
      </w:r>
      <w:r>
        <w:rPr>
          <w:rFonts w:ascii="Times New Roman" w:cs="Times New Roman" w:eastAsia="Times New Roman" w:hAnsi="Times New Roman"/>
          <w:sz w:val="14"/>
          <w:szCs w:val="14"/>
          <w:u w:val="single" w:color="auto"/>
          <w:color w:val="auto"/>
        </w:rPr>
        <w:t>Covers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Covered by</w:t>
      </w:r>
      <w:r>
        <w:rPr>
          <w:rFonts w:ascii="Times New Roman" w:cs="Times New Roman" w:eastAsia="Times New Roman" w:hAnsi="Times New Roman"/>
          <w:sz w:val="14"/>
          <w:szCs w:val="14"/>
          <w:color w:val="auto"/>
        </w:rPr>
        <w:t>” have correlating meanings.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515" w:name="page516"/>
    <w:bookmarkEnd w:id="515"/>
    <w:p>
      <w:pPr>
        <w:ind w:left="220" w:right="33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Data Security Incident</w:t>
      </w:r>
      <w:r>
        <w:rPr>
          <w:rFonts w:ascii="Times New Roman" w:cs="Times New Roman" w:eastAsia="Times New Roman" w:hAnsi="Times New Roman"/>
          <w:sz w:val="14"/>
          <w:szCs w:val="14"/>
          <w:color w:val="auto"/>
        </w:rPr>
        <w:t>” means any actual, suspected, reported, or claimed breach of security of PureTech Data or any systems, databases, or other locations where PureTech Data is Processed regardless of whether such an incident triggers any notice or reporting obligations under applicable Information Privacy and Security Laws, including any’ actual, suspected, reported, or claimed (a) unauthorized access to, acquisition of, or Processing of PureTech Data; (b) unauthorized or accidental loss, alteration, disclosure, deletion or destruction of PureTech Data; (c) compromise, intrusion, interference with or unauthorized access to networks, systems, databases, servers, or electronic or other media of PureTech’s internal systems on which PureTech Data is Processed or from which PureTech Data may be accessed; or (d) other event that could compromise the privacy, confidentiality, or integrity of PureTech Data.</w:t>
      </w:r>
    </w:p>
    <w:p>
      <w:pPr>
        <w:spacing w:after="0" w:line="144" w:lineRule="exact"/>
        <w:rPr>
          <w:sz w:val="20"/>
          <w:szCs w:val="20"/>
          <w:color w:val="auto"/>
        </w:rPr>
      </w:pPr>
    </w:p>
    <w:p>
      <w:pPr>
        <w:ind w:left="220" w:right="39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Employment Claims</w:t>
      </w:r>
      <w:r>
        <w:rPr>
          <w:rFonts w:ascii="Times New Roman" w:cs="Times New Roman" w:eastAsia="Times New Roman" w:hAnsi="Times New Roman"/>
          <w:sz w:val="14"/>
          <w:szCs w:val="14"/>
          <w:color w:val="auto"/>
        </w:rPr>
        <w:t>” means any and all Legal Proceedings of any kind by any employee, former employee, contractor or former contractor of PureTech or any Controlled Affiliate or, with respect to New Seaport Employees, any Affiliate that in any way arise, in whole or in part, out of employment or a service-providing relationship with PureTech or any Controlled Affiliate or, with respect to New Seaport Employees, any Affiliate through the date hereof (or such later date of employment of the New Seaport Employees), including any termination of employment or a contractual relationship with PureTech or any Controlled Affiliate.</w:t>
      </w:r>
    </w:p>
    <w:p>
      <w:pPr>
        <w:spacing w:after="0" w:line="144" w:lineRule="exact"/>
        <w:rPr>
          <w:sz w:val="20"/>
          <w:szCs w:val="20"/>
          <w:color w:val="auto"/>
        </w:rPr>
      </w:pPr>
    </w:p>
    <w:p>
      <w:pPr>
        <w:ind w:left="220" w:right="27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w:t>
      </w:r>
      <w:r>
        <w:rPr>
          <w:rFonts w:ascii="Times New Roman" w:cs="Times New Roman" w:eastAsia="Times New Roman" w:hAnsi="Times New Roman"/>
          <w:sz w:val="14"/>
          <w:szCs w:val="14"/>
          <w:color w:val="auto"/>
        </w:rPr>
        <w:t>” means any Law or Permit relating to the environment, occupational health and safety, or exposure of persons or property to Hazardous Materials, including any Law, administrative decision or order pertaining to: the presence of or the treatment, storage, disposal, generation, transportation, handling, distribution, manufacture, processing, use, import, export, labeling, recycling, registration, investigation or remediation of Hazardous Materials or documentation related to the foregoing; air, water and noise pollution; groundwater, sediment and soil contamination; the Release, threatened Release, or accidental Release into the environment, the workplace or other areas of Hazardous Materials, including emissions, discharges, injections, spills, escapes or dumping of Hazardous Materials; transfer of interests in, or control of, real property which may be contaminated; community or worker right- to-know disclosures with respect to Hazardous Materials; the protection of biota, wildlife, marine life and wetlands, and endangered and threatened species; storage tanks, vessels, containers, abandoned or discarded barrels and other closed receptacles; and health and safety of employees and other persons.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 as amended.</w:t>
      </w:r>
    </w:p>
    <w:p>
      <w:pPr>
        <w:spacing w:after="0" w:line="175"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means any entity which is, or at any applicable time was within the meaning of Section 414(b), (c), (m) or (o) of the Code, or Section 4001(a)( 14) or</w:t>
      </w:r>
    </w:p>
    <w:p>
      <w:pPr>
        <w:spacing w:after="0" w:line="125"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(b)(1) of ERISA, or guidance thereunder, a member of (a) a controlled group of corporations, (b) a group of trades or businesses under common control, or (c) an affiliated service group), any of which includes or included PureTech or its Controlled Affiliate.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516" w:name="page517"/>
    <w:bookmarkEnd w:id="516"/>
    <w:p>
      <w:pPr>
        <w:jc w:val="both"/>
        <w:ind w:left="220" w:right="49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Excluded Contract</w:t>
      </w:r>
      <w:r>
        <w:rPr>
          <w:rFonts w:ascii="Times New Roman" w:cs="Times New Roman" w:eastAsia="Times New Roman" w:hAnsi="Times New Roman"/>
          <w:sz w:val="14"/>
          <w:szCs w:val="14"/>
          <w:color w:val="auto"/>
        </w:rPr>
        <w:t xml:space="preserve">” means (i) this Agreement and each of the Ancillary Agreements, (ii) any Contract that is an Organizational Document of PureTech, (iii) any Contract that is an Excluded Asset, (iv) any PureTech Benefit Arrangement and (v) any Contract set forth on </w:t>
      </w:r>
      <w:r>
        <w:rPr>
          <w:rFonts w:ascii="Times New Roman" w:cs="Times New Roman" w:eastAsia="Times New Roman" w:hAnsi="Times New Roman"/>
          <w:sz w:val="14"/>
          <w:szCs w:val="14"/>
          <w:u w:val="single" w:color="auto"/>
          <w:color w:val="auto"/>
        </w:rPr>
        <w:t>Schedule 7.1(a)</w:t>
      </w:r>
      <w:r>
        <w:rPr>
          <w:rFonts w:ascii="Times New Roman" w:cs="Times New Roman" w:eastAsia="Times New Roman" w:hAnsi="Times New Roman"/>
          <w:sz w:val="14"/>
          <w:szCs w:val="14"/>
          <w:color w:val="auto"/>
        </w:rPr>
        <w:t xml:space="preserve"> (it being understood and agreed that, within [***] after the Closing Date, the Parties may, but shall not be obligated to, modify such </w:t>
      </w:r>
      <w:r>
        <w:rPr>
          <w:rFonts w:ascii="Times New Roman" w:cs="Times New Roman" w:eastAsia="Times New Roman" w:hAnsi="Times New Roman"/>
          <w:sz w:val="14"/>
          <w:szCs w:val="14"/>
          <w:u w:val="single" w:color="auto"/>
          <w:color w:val="auto"/>
        </w:rPr>
        <w:t>Schedule 7.1(a)</w:t>
      </w:r>
      <w:r>
        <w:rPr>
          <w:rFonts w:ascii="Times New Roman" w:cs="Times New Roman" w:eastAsia="Times New Roman" w:hAnsi="Times New Roman"/>
          <w:sz w:val="14"/>
          <w:szCs w:val="14"/>
          <w:color w:val="auto"/>
        </w:rPr>
        <w:t xml:space="preserve"> as mutually agreed in writing by the Parties to add to, delete from or modify the list of Contracts contained therein).</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Product</w:t>
      </w:r>
      <w:r>
        <w:rPr>
          <w:rFonts w:ascii="Times New Roman" w:cs="Times New Roman" w:eastAsia="Times New Roman" w:hAnsi="Times New Roman"/>
          <w:sz w:val="13"/>
          <w:szCs w:val="13"/>
          <w:color w:val="auto"/>
        </w:rPr>
        <w:t>” means the following product candidates currently being developed by PureTech: (i) LYT-300: Allopregnanolone; (ii) LYT-310:</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 Cannabidiol; (iii) LYT-320: Agomelatine; (iv) LYT-348 [***].</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means the U.S. Food and Drug Administration, including all agencies under its control, and any successor agency thereto.</w:t>
      </w:r>
    </w:p>
    <w:p>
      <w:pPr>
        <w:spacing w:after="0" w:line="175" w:lineRule="exact"/>
        <w:rPr>
          <w:sz w:val="20"/>
          <w:szCs w:val="20"/>
          <w:color w:val="auto"/>
        </w:rPr>
      </w:pPr>
    </w:p>
    <w:p>
      <w:pPr>
        <w:ind w:left="220" w:right="33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Commercial Sale</w:t>
      </w:r>
      <w:r>
        <w:rPr>
          <w:rFonts w:ascii="Times New Roman" w:cs="Times New Roman" w:eastAsia="Times New Roman" w:hAnsi="Times New Roman"/>
          <w:sz w:val="14"/>
          <w:szCs w:val="14"/>
          <w:color w:val="auto"/>
        </w:rPr>
        <w:t>” means, with respect to a Seaport Glyph Product in any country, the first sale of such Seaport Glyph Product to a Third Party (excluding Product Licensees and distributors) in such country for distribution, use or consumption after Product Approval has been obtained for such Seaport Glyph Product in such country. First Commercial Sale excludes sales for purposes of testing the Product in a clinical trial and any distribution or other sale at or below cost solely for patient assistance, named patient use, compassionate use, or test marketing programs or non-registrational studies or similar programs or studies. For clarity, First Commercial Sale shall be determined on a Product-by-Product and country-by-country (or region-by-region) basis, as applicable.</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United States generally accepted accounting principles, consistently applied.</w:t>
      </w:r>
    </w:p>
    <w:p>
      <w:pPr>
        <w:spacing w:after="0" w:line="175" w:lineRule="exact"/>
        <w:rPr>
          <w:sz w:val="20"/>
          <w:szCs w:val="20"/>
          <w:color w:val="auto"/>
        </w:rPr>
      </w:pPr>
    </w:p>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Glyph IP</w:t>
      </w:r>
      <w:r>
        <w:rPr>
          <w:rFonts w:ascii="Times New Roman" w:cs="Times New Roman" w:eastAsia="Times New Roman" w:hAnsi="Times New Roman"/>
          <w:sz w:val="14"/>
          <w:szCs w:val="14"/>
          <w:color w:val="auto"/>
        </w:rPr>
        <w:t>” means any Intellectual Property (i) within the Transferred Assets or (ii) assigned to Seaport pursuant to the Services Agreement as described in Section 4.8.</w:t>
      </w:r>
    </w:p>
    <w:p>
      <w:pPr>
        <w:spacing w:after="0" w:line="125" w:lineRule="exact"/>
        <w:rPr>
          <w:sz w:val="20"/>
          <w:szCs w:val="20"/>
          <w:color w:val="auto"/>
        </w:rPr>
      </w:pPr>
    </w:p>
    <w:p>
      <w:pPr>
        <w:ind w:left="220" w:right="259" w:firstLine="343"/>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Glyph Technology</w:t>
      </w:r>
      <w:r>
        <w:rPr>
          <w:rFonts w:ascii="Times New Roman" w:cs="Times New Roman" w:eastAsia="Times New Roman" w:hAnsi="Times New Roman"/>
          <w:sz w:val="13"/>
          <w:szCs w:val="13"/>
          <w:color w:val="auto"/>
        </w:rPr>
        <w:t>” means all technology related to, and products resulting from, a technology platform designed and exemplified as a glyceride-containing prodrug. Without limiting the foregoing, the Glyph Technology includes (i) all Intellectual Property licensed under the Monash License, and</w:t>
      </w:r>
    </w:p>
    <w:p>
      <w:pPr>
        <w:spacing w:after="0" w:line="1" w:lineRule="exact"/>
        <w:rPr>
          <w:sz w:val="20"/>
          <w:szCs w:val="20"/>
          <w:color w:val="auto"/>
        </w:rPr>
      </w:pPr>
    </w:p>
    <w:p>
      <w:pPr>
        <w:ind w:left="220" w:right="559" w:hanging="5"/>
        <w:spacing w:after="0" w:line="285" w:lineRule="auto"/>
        <w:tabs>
          <w:tab w:leader="none" w:pos="426" w:val="left"/>
        </w:tabs>
        <w:numPr>
          <w:ilvl w:val="0"/>
          <w:numId w:val="4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Intellectual Property invented, developed, generated, acquired or reduced to practice by or on behalf of PureTech or its Affiliates prior to the Effective Date in the exercise of its rights under the Monash License, including any improvements, modifications or derivates of the Intellectual Property licensed under the Monash License and all products arising out of the use of the Intellectual Property licensed under the Monash License.</w:t>
      </w:r>
    </w:p>
    <w:p>
      <w:pPr>
        <w:spacing w:after="0" w:line="126" w:lineRule="exact"/>
        <w:rPr>
          <w:sz w:val="20"/>
          <w:szCs w:val="20"/>
          <w:color w:val="auto"/>
        </w:rPr>
      </w:pPr>
    </w:p>
    <w:p>
      <w:pPr>
        <w:ind w:left="220" w:right="7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means any federal, state, local or foreign government or any court, arbitrational tribunal, administrative agency or commission or government authority acting under the authority of the federal or any state, local or foreign government.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1" w:right="1440" w:bottom="1440" w:gutter="0" w:footer="0" w:header="0"/>
        </w:sectPr>
      </w:pPr>
    </w:p>
    <w:bookmarkStart w:id="517" w:name="page518"/>
    <w:bookmarkEnd w:id="517"/>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Hazardous Material</w:t>
      </w:r>
      <w:r>
        <w:rPr>
          <w:rFonts w:ascii="Times New Roman" w:cs="Times New Roman" w:eastAsia="Times New Roman" w:hAnsi="Times New Roman"/>
          <w:sz w:val="14"/>
          <w:szCs w:val="14"/>
          <w:color w:val="auto"/>
        </w:rPr>
        <w:t>” means any substance, waste or material that is subject to regulation under any Environmental Law, or has been designated or listed by any Governmental Entity or in or pursuant to any applicable Environmental Law to be radioactive, toxic, a pollutant or contaminant, hazardous or otherwise a danger to health or the environment, including PCBs, asbestos, oil, petroleum and petroleum products (including fractions thereof), urea-formaldehyde, radioactive materials, solid waste, special waste, PFAS (including PFOA and PFOS) and all substances listed as hazardous substances pursuant to the Comprehensive Environmental Response, Compensation, and Liability Act of 1980, or defined as a solid or hazardous waste pursuant to the Resource Conservation and Recovery Act of 1976, or regulated under the Occupational Safety and Health Act, or pursuant to analogous state Laws or regulations.</w:t>
      </w:r>
    </w:p>
    <w:p>
      <w:pPr>
        <w:spacing w:after="0" w:line="144" w:lineRule="exact"/>
        <w:rPr>
          <w:sz w:val="20"/>
          <w:szCs w:val="20"/>
          <w:color w:val="auto"/>
        </w:rPr>
      </w:pPr>
    </w:p>
    <w:p>
      <w:pPr>
        <w:ind w:left="220" w:right="259" w:firstLine="343"/>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xml:space="preserve">” with respect to any Person means, as of any time of determination, without duplication, the aggregate amount of: (a) all indebtedness or other obligation for borrowed money, (b) all indebtedness evidenced by any note, bond, debenture, mortgage or other debt instrument or debt security or similar instrument, (c) all obligations with respect to leases that would be required to be capitalized or otherwise recorded as finance leases pursuant to GAAP, (d) amounts owing as deferred purchase price of property or services (other than trade payables and any accrued capital expenditures in the ordinary course of business), including, for the avoidance of doubt, any earnouts, seller notes, holdbacks or similar obligations related to past acquisitions, (e) obligations under any performance, surety or similar bond or any letter of credit, but in each case only to the extent drawn or called (and not paid in full or otherwise discharged) and excluding any obligations in respect of undrawn letters of credit, (f) all obligations arising from or under, or otherwise in respect of any unpaid commissions; (g) all obligations secured by (or for which the holder of such indebtedness has an existing right, contingent or otherwise, to be secured by) any Lien on property associated with the Products; (h) all obligations under conditional sale or other title retention agreements relating to property or assets associated with the Products; (i) all outstanding obligations to current and former equityholders in their capacity as such, including any unpaid dividends or distributions or any unpaid management or advisory fees under any management services or similar agreements with any Affiliate or holder of equity interests of PureTech that are associated with the Products; and (j) all obligations with respect to government assistance programs that are subject to clawbacks or other mandatory repayments (whether or not such terms are triggered prior to the date of determination); (k) with respect to any indebtedness of a type described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(j)</w:t>
      </w:r>
      <w:r>
        <w:rPr>
          <w:rFonts w:ascii="Times New Roman" w:cs="Times New Roman" w:eastAsia="Times New Roman" w:hAnsi="Times New Roman"/>
          <w:sz w:val="14"/>
          <w:szCs w:val="14"/>
          <w:color w:val="auto"/>
        </w:rPr>
        <w:t xml:space="preserve"> above of any Person that is guaranteed by PureTech or that is secured by any of the Transferred Assets; (1) for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above, all accrued and unpaid interest thereon, if any, and any fees, costs, expenses or other payment obligations associated with any required repayment of such indebtedness on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Indebtedness shall not include any Retained Liability.</w:t>
      </w:r>
    </w:p>
    <w:p>
      <w:pPr>
        <w:spacing w:after="0" w:line="154"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xml:space="preserve">” mean a Seaport Indemnified Party or a PureTech Indemnified Party, as applicable, that is eligible for indemnification under the terms of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VIII hereof.</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Indemnifying Party</w:t>
      </w:r>
      <w:r>
        <w:rPr>
          <w:rFonts w:ascii="Times New Roman" w:cs="Times New Roman" w:eastAsia="Times New Roman" w:hAnsi="Times New Roman"/>
          <w:sz w:val="14"/>
          <w:szCs w:val="14"/>
          <w:color w:val="auto"/>
        </w:rPr>
        <w:t xml:space="preserve">” mean Seaport or PureTech, as applicable, that is obligated to provide indemnification under the terms of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hereof.</w:t>
      </w:r>
    </w:p>
    <w:p>
      <w:pPr>
        <w:spacing w:after="0" w:line="175"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means any and all information, results and data whatsoever, in any tangible or intangible form, including without limitation, inventions, practices, methods, techniques, specifications, formulations, formulae, copyrights, software, knowledge, know-how, skill, experience, trade secrets, ideas, concepts, processes, protocols, materials, samples, analytical and quality control data, any other results of experimentation and testing, studies, procedures, drawings, and legal information and descriptions, and all intellectual property rights therein.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1" w:right="1440" w:bottom="1440" w:gutter="0" w:footer="0" w:header="0"/>
        </w:sectPr>
      </w:pPr>
    </w:p>
    <w:bookmarkStart w:id="518" w:name="page519"/>
    <w:bookmarkEnd w:id="518"/>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Information Privacy and Security Laws</w:t>
      </w:r>
      <w:r>
        <w:rPr>
          <w:rFonts w:ascii="Times New Roman" w:cs="Times New Roman" w:eastAsia="Times New Roman" w:hAnsi="Times New Roman"/>
          <w:sz w:val="14"/>
          <w:szCs w:val="14"/>
          <w:color w:val="auto"/>
        </w:rPr>
        <w:t>” means: any and all applicable Laws concerning the Processing of Personal Data, including, to the extent applicable, the Federal Trade Commission (FTC) Act, as applied or interpreted by the FTC; the Children’s Online Privacy Protection Act (COPPA) and the FTC’s COPPA rule; the Health Insurance Portability and Accountability Act of 1996 (HIPAA) and all applicable HIPAA rules and regulations; state data protection Laws, including Massachusetts 201 CMR 17.00: Standards for the Protection of Personal Information of Residents of the Commonwealth; state data breach notification Laws; state privacy and consumer protection Laws; and all other applicable privacy, data security, data protection, and consumer protection laws of any jurisdiction.</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Insurance Policies</w:t>
      </w:r>
      <w:r>
        <w:rPr>
          <w:rFonts w:ascii="Times New Roman" w:cs="Times New Roman" w:eastAsia="Times New Roman" w:hAnsi="Times New Roman"/>
          <w:sz w:val="14"/>
          <w:szCs w:val="14"/>
          <w:color w:val="auto"/>
        </w:rPr>
        <w:t>” means all insurance policies carried by PureTech or for the benefit of PureTech or the Products.</w:t>
      </w:r>
    </w:p>
    <w:p>
      <w:pPr>
        <w:spacing w:after="0" w:line="175"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any and all intellectual property rights and other similar proprietary rights in any jurisdiction, whether registered or unregistered, whether owned or held for use under license, including all rights and interests pertaining to or deriving from (1) Patents, trademarks, service marks, trade names, domain names, copyrights, designs and trade secrets, (2) applications for and registrations of such Patents, including reexaminations, extensions and counterparts claiming priority therefrom, inventions, invention disclosures, discoveries and improvements, whether or not patentable, trademarks, service marks, trade names, domain names, copyrights and designs, (3) proprietary or confidential processes, formulae, methods, schematics, technology, know-how and computer software programs and applications, including data files, source code, object code and software-related specifications and documentation, and (4) other tangible or intangible proprietary or confidential information and materials, including proprietary databases and data compilations, in each case, including any registrations of, applications to register, and renewals and extensions of, any of the foregoing with or by any Governmental Entity in any jurisdiction.</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means the Internal Revenue Service.</w:t>
      </w:r>
    </w:p>
    <w:p>
      <w:pPr>
        <w:spacing w:after="0" w:line="175"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Inventory</w:t>
      </w:r>
      <w:r>
        <w:rPr>
          <w:rFonts w:ascii="Times New Roman" w:cs="Times New Roman" w:eastAsia="Times New Roman" w:hAnsi="Times New Roman"/>
          <w:sz w:val="14"/>
          <w:szCs w:val="14"/>
          <w:color w:val="auto"/>
        </w:rPr>
        <w:t>” means: (a) the entire inventory of Products and the drug substances or active pharmaceutical ingredient (API) for Products, including any non-GMP and GMP materials used in the manufacture of Products; and (b) any reagents, cell lines, biological or chemical materials, samples or other materials used exclusively or primarily in research or development of Products; in each case ((a) and (b)) that is owned or held for use by PureTech or any of its Affiliates.</w:t>
      </w:r>
    </w:p>
    <w:p>
      <w:pPr>
        <w:spacing w:after="0" w:line="141"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means any United States federal, state or local or foreign law, common law, statute, standard, ordinance, code, rule, regulation, resolution or promulgation, or any decree, order, injunction, rule, judgment, consent of or by any Governmental Entity, or any Permit or similar right granted under any of the foregoing, or any similar provision having the force or effect of law.</w:t>
      </w:r>
    </w:p>
    <w:p>
      <w:pPr>
        <w:spacing w:after="0" w:line="136" w:lineRule="exact"/>
        <w:rPr>
          <w:sz w:val="20"/>
          <w:szCs w:val="20"/>
          <w:color w:val="auto"/>
        </w:rPr>
      </w:pPr>
    </w:p>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Proceeding</w:t>
      </w:r>
      <w:r>
        <w:rPr>
          <w:rFonts w:ascii="Times New Roman" w:cs="Times New Roman" w:eastAsia="Times New Roman" w:hAnsi="Times New Roman"/>
          <w:sz w:val="14"/>
          <w:szCs w:val="14"/>
          <w:color w:val="auto"/>
        </w:rPr>
        <w:t>” means any action, suit, proceeding (including administrative proceeding), claim, complaint, hearing, information request, notice of violation, arbitration, inquiry or investigation of or before any Governmental Entity or before any arbitrator.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1" w:right="1440" w:bottom="1440" w:gutter="0" w:footer="0" w:header="0"/>
        </w:sectPr>
      </w:pPr>
    </w:p>
    <w:bookmarkStart w:id="519" w:name="page520"/>
    <w:bookmarkEnd w:id="519"/>
    <w:p>
      <w:pPr>
        <w:jc w:val="both"/>
        <w:ind w:left="220" w:right="51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means any debt, loss, damage, adverse claim, fine, fee, penalty, Tax, expense, liability or obligation of any kind, whether direct or indirect, known or unknown, asserted or unasserted, accrued or unaccrued, absolute, contingent, matured or unmatured, liquidated or unliquidated, disputed or undisputed, due or to become due and whether in contract, tort, strict liability or otherwise, and including all costs and expenses relating thereto including all fees, disbursements and expenses of legal counsel, experts, engineers and consultants and costs of investigation.</w:t>
      </w:r>
    </w:p>
    <w:p>
      <w:pPr>
        <w:spacing w:after="0" w:line="141" w:lineRule="exact"/>
        <w:rPr>
          <w:sz w:val="20"/>
          <w:szCs w:val="20"/>
          <w:color w:val="auto"/>
        </w:rPr>
      </w:pPr>
    </w:p>
    <w:p>
      <w:pPr>
        <w:ind w:left="220" w:right="4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mortgage, pledge, security interest, encumbrance, charge or other lien (whether arising by contract or by operation of Law), other than (a) mechanic’s, material men’s and similar liens for amounts not yet due and payable arising in the Ordinary Course of Business of the applicable PureTech and not material to PureTech. the Products or the Acquired Assets and (b) liens for Taxes, assessments or other governmental charges not yet due and payable or not yet delinquent (or which may be paid without interest or penalties) and for which adequate reserves have been established.</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Major European Market</w:t>
      </w:r>
      <w:r>
        <w:rPr>
          <w:rFonts w:ascii="Times New Roman" w:cs="Times New Roman" w:eastAsia="Times New Roman" w:hAnsi="Times New Roman"/>
          <w:sz w:val="14"/>
          <w:szCs w:val="14"/>
          <w:color w:val="auto"/>
        </w:rPr>
        <w:t>” means France, Germany, Italy, Spain or the United Kingdom.</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Monash</w:t>
      </w:r>
      <w:r>
        <w:rPr>
          <w:rFonts w:ascii="Times New Roman" w:cs="Times New Roman" w:eastAsia="Times New Roman" w:hAnsi="Times New Roman"/>
          <w:sz w:val="14"/>
          <w:szCs w:val="14"/>
          <w:color w:val="auto"/>
        </w:rPr>
        <w:t>” has the meaning set forth in the definition of “</w:t>
      </w:r>
      <w:r>
        <w:rPr>
          <w:rFonts w:ascii="Times New Roman" w:cs="Times New Roman" w:eastAsia="Times New Roman" w:hAnsi="Times New Roman"/>
          <w:sz w:val="14"/>
          <w:szCs w:val="14"/>
          <w:u w:val="single" w:color="auto"/>
          <w:color w:val="auto"/>
        </w:rPr>
        <w:t>Monash License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Monash License</w:t>
      </w:r>
      <w:r>
        <w:rPr>
          <w:rFonts w:ascii="Times New Roman" w:cs="Times New Roman" w:eastAsia="Times New Roman" w:hAnsi="Times New Roman"/>
          <w:sz w:val="14"/>
          <w:szCs w:val="14"/>
          <w:color w:val="auto"/>
        </w:rPr>
        <w:t>” means that certain License Agreement between Monash University, ABN 12 377 614 012, a body politic and corporate constituted in accordance with the Monash University Act 2009 of Wellington Road, Clayton, Victoria, Australia 3800 (“</w:t>
      </w:r>
      <w:r>
        <w:rPr>
          <w:rFonts w:ascii="Times New Roman" w:cs="Times New Roman" w:eastAsia="Times New Roman" w:hAnsi="Times New Roman"/>
          <w:sz w:val="14"/>
          <w:szCs w:val="14"/>
          <w:u w:val="single" w:color="auto"/>
          <w:color w:val="auto"/>
        </w:rPr>
        <w:t>Monash</w:t>
      </w:r>
      <w:r>
        <w:rPr>
          <w:rFonts w:ascii="Times New Roman" w:cs="Times New Roman" w:eastAsia="Times New Roman" w:hAnsi="Times New Roman"/>
          <w:sz w:val="14"/>
          <w:szCs w:val="14"/>
          <w:color w:val="auto"/>
        </w:rPr>
        <w:t>”) and PureTech, dated August 1, 2017, as amended.</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Income</w:t>
      </w:r>
      <w:r>
        <w:rPr>
          <w:rFonts w:ascii="Times New Roman" w:cs="Times New Roman" w:eastAsia="Times New Roman" w:hAnsi="Times New Roman"/>
          <w:sz w:val="14"/>
          <w:szCs w:val="14"/>
          <w:color w:val="auto"/>
        </w:rPr>
        <w:t>” means [***]</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Sales</w:t>
      </w:r>
      <w:r>
        <w:rPr>
          <w:rFonts w:ascii="Times New Roman" w:cs="Times New Roman" w:eastAsia="Times New Roman" w:hAnsi="Times New Roman"/>
          <w:sz w:val="14"/>
          <w:szCs w:val="14"/>
          <w:color w:val="auto"/>
        </w:rPr>
        <w:t>” means [***]</w:t>
      </w:r>
    </w:p>
    <w:p>
      <w:pPr>
        <w:spacing w:after="0" w:line="175"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Seaport Employees</w:t>
      </w:r>
      <w:r>
        <w:rPr>
          <w:rFonts w:ascii="Times New Roman" w:cs="Times New Roman" w:eastAsia="Times New Roman" w:hAnsi="Times New Roman"/>
          <w:sz w:val="14"/>
          <w:szCs w:val="14"/>
          <w:color w:val="auto"/>
        </w:rPr>
        <w:t>” means the employees of PureTech and its Controlled Affiliates that leave employment with those employers directly to become employees of Seaport and its Controlled Affiliates.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Non-controlling Party</w:t>
      </w:r>
      <w:r>
        <w:rPr>
          <w:rFonts w:ascii="Times New Roman" w:cs="Times New Roman" w:eastAsia="Times New Roman" w:hAnsi="Times New Roman"/>
          <w:sz w:val="14"/>
          <w:szCs w:val="14"/>
          <w:color w:val="auto"/>
        </w:rPr>
        <w:t>” means the Party not controlling the defense of any Third Party Action.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Non-CNS Indication</w:t>
      </w:r>
      <w:r>
        <w:rPr>
          <w:rFonts w:ascii="Times New Roman" w:cs="Times New Roman" w:eastAsia="Times New Roman" w:hAnsi="Times New Roman"/>
          <w:sz w:val="14"/>
          <w:szCs w:val="14"/>
          <w:color w:val="auto"/>
        </w:rPr>
        <w:t>” means any indication that is not a CNS Indication.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“Order” means any judicial, administrative or arbitral order, award, decree, injunction, lawsuit, proceeding or stipulation.</w:t>
      </w:r>
    </w:p>
    <w:p>
      <w:pPr>
        <w:spacing w:after="0" w:line="175" w:lineRule="exact"/>
        <w:rPr>
          <w:sz w:val="20"/>
          <w:szCs w:val="20"/>
          <w:color w:val="auto"/>
        </w:rPr>
      </w:pPr>
    </w:p>
    <w:p>
      <w:pPr>
        <w:ind w:left="220" w:right="7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Ordinary Course of Business</w:t>
      </w:r>
      <w:r>
        <w:rPr>
          <w:rFonts w:ascii="Times New Roman" w:cs="Times New Roman" w:eastAsia="Times New Roman" w:hAnsi="Times New Roman"/>
          <w:sz w:val="14"/>
          <w:szCs w:val="14"/>
          <w:color w:val="auto"/>
        </w:rPr>
        <w:t>” means the ordinary course of business consistent with past custom and practice (including with respect to frequency and amount).</w:t>
      </w:r>
    </w:p>
    <w:p>
      <w:pPr>
        <w:spacing w:after="0" w:line="125" w:lineRule="exact"/>
        <w:rPr>
          <w:sz w:val="20"/>
          <w:szCs w:val="20"/>
          <w:color w:val="auto"/>
        </w:rPr>
      </w:pPr>
    </w:p>
    <w:p>
      <w:pPr>
        <w:ind w:left="220" w:right="35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means with respect to a corporation, the certificate of incorporation or articles of incorporation and bylaws of such corporation; with respect to a general partnership, the partnership agreement establishing such partnership; with respect to a limited liability company, the articles of organization and the operating agreement of such company, with respect to a joint venture, the joint venture agreement establishing such joint venture; with respect to a limited partnership, the limited partnership agreement and certificate of limited partnership for such entity; with respect to a trust, the instrument establishing such trust; and with respect to any other entity, any charter document or other document executed, adopted, approved, ratified or filed in connection with the formation, creation, constitution or organization of such entity.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1" w:right="1440" w:bottom="1440" w:gutter="0" w:footer="0" w:header="0"/>
        </w:sectPr>
      </w:pPr>
    </w:p>
    <w:bookmarkStart w:id="520" w:name="page521"/>
    <w:bookmarkEnd w:id="520"/>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Patent</w:t>
      </w:r>
      <w:r>
        <w:rPr>
          <w:rFonts w:ascii="Times New Roman" w:cs="Times New Roman" w:eastAsia="Times New Roman" w:hAnsi="Times New Roman"/>
          <w:sz w:val="14"/>
          <w:szCs w:val="14"/>
          <w:color w:val="auto"/>
        </w:rPr>
        <w:t>” means: (i) any patent, patent application or utility models (including any provisional application, priority application, or international applications) in any country or multinational jurisdiction (including any converted application, continuation, continuation-in- part, continued prosecution application or divisional of any such application, any reissue, renewal, extension, registration, confirmation, revalidation, restoration, substitution, reexamination, supplementary protection certificate, pediatric exclusivity period or the like of any such patent); (ii) any foreign equivalent of any patent or patent application described in clause (i); and (iii) all rights of priority in any of the foregoing.</w:t>
      </w:r>
    </w:p>
    <w:p>
      <w:pPr>
        <w:spacing w:after="0" w:line="144" w:lineRule="exact"/>
        <w:rPr>
          <w:sz w:val="20"/>
          <w:szCs w:val="20"/>
          <w:color w:val="auto"/>
        </w:rPr>
      </w:pPr>
    </w:p>
    <w:p>
      <w:pPr>
        <w:ind w:left="220" w:right="7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w:t>
      </w:r>
      <w:r>
        <w:rPr>
          <w:rFonts w:ascii="Times New Roman" w:cs="Times New Roman" w:eastAsia="Times New Roman" w:hAnsi="Times New Roman"/>
          <w:sz w:val="14"/>
          <w:szCs w:val="14"/>
          <w:color w:val="auto"/>
        </w:rPr>
        <w:t>” means any federal, state or local, domestic or foreign governmental consent, approval, order, authorization, permit, concession, registration, franchise, license or similar right.</w:t>
      </w:r>
    </w:p>
    <w:p>
      <w:pPr>
        <w:spacing w:after="0" w:line="125" w:lineRule="exact"/>
        <w:rPr>
          <w:sz w:val="20"/>
          <w:szCs w:val="20"/>
          <w:color w:val="auto"/>
        </w:rPr>
      </w:pPr>
    </w:p>
    <w:p>
      <w:pPr>
        <w:ind w:left="220" w:right="4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corporation, partnership, limited liability company, firm, joint venture, association, joint-stock company, trust, unincorporated organization, Governmental Entity or other entity.</w:t>
      </w:r>
    </w:p>
    <w:p>
      <w:pPr>
        <w:spacing w:after="0" w:line="125"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Data</w:t>
      </w:r>
      <w:r>
        <w:rPr>
          <w:rFonts w:ascii="Times New Roman" w:cs="Times New Roman" w:eastAsia="Times New Roman" w:hAnsi="Times New Roman"/>
          <w:sz w:val="14"/>
          <w:szCs w:val="14"/>
          <w:color w:val="auto"/>
        </w:rPr>
        <w:t>” means any data or information in any media that relates to an identified or identifiable specific individual, browser, computer or other device, and any other data or information that constitutes personal data, personal information, or personally identifiable information under any applicable Law, including the Information Privacy and Security Laws, and includes a natural person’s first and last name, home or other physical address, telephone number, e-mail address, username and password, photograph, video or audio file that contains a person’s image or voice, Social Security number, driver’s license number, passport number or other government-issued identification number, biometric information, credit or debit card or other financial information, or customer or account number, IP address, cookie information, identification number, location data that relates to an identifiable person, browser, computer or device, and is capable of determining with reasonable specificity the actual physical location of such person, browser, computer or device, an online or other persistent identifier, or one or more factors specific to the physical, physiological, genetic, mental, economic, cultural or social identity of an individual but only to the extent that any of the foregoing relates to an identified or identifiable specific individual or device.</w:t>
      </w:r>
    </w:p>
    <w:p>
      <w:pPr>
        <w:spacing w:after="0" w:line="146"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Processing</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Processed</w:t>
      </w:r>
      <w:r>
        <w:rPr>
          <w:rFonts w:ascii="Times New Roman" w:cs="Times New Roman" w:eastAsia="Times New Roman" w:hAnsi="Times New Roman"/>
          <w:sz w:val="14"/>
          <w:szCs w:val="14"/>
          <w:color w:val="auto"/>
        </w:rPr>
        <w:t>” means any operation or set of operations or set of operations that is performed upon data or information, whether or not by automatic means, such as collection, recording, organization, structuring, storage, access, acquisition, creation, derivation, recordation, organization, storage, adaptation or alteration, correction, retrieval, maintenance, consultation, use, disclosure, dissemination, transmission, transfer, or otherwise making available, alignment, combination, blocking, storage, restriction, retention, deleting, erasure, or destruction.</w:t>
      </w:r>
    </w:p>
    <w:p>
      <w:pPr>
        <w:spacing w:after="0" w:line="141" w:lineRule="exact"/>
        <w:rPr>
          <w:sz w:val="20"/>
          <w:szCs w:val="20"/>
          <w:color w:val="auto"/>
        </w:rPr>
      </w:pPr>
    </w:p>
    <w:p>
      <w:pPr>
        <w:ind w:left="220" w:right="5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Product</w:t>
      </w:r>
      <w:r>
        <w:rPr>
          <w:rFonts w:ascii="Times New Roman" w:cs="Times New Roman" w:eastAsia="Times New Roman" w:hAnsi="Times New Roman"/>
          <w:sz w:val="14"/>
          <w:szCs w:val="14"/>
          <w:color w:val="auto"/>
        </w:rPr>
        <w:t>” means: (a) the Existing Products; and (b) any other pharmaceutical product or product candidate that incorporates or utilizes, or is derived from, Glyph Technology.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521" w:name="page522"/>
    <w:bookmarkEnd w:id="521"/>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Product Approval</w:t>
      </w:r>
      <w:r>
        <w:rPr>
          <w:rFonts w:ascii="Times New Roman" w:cs="Times New Roman" w:eastAsia="Times New Roman" w:hAnsi="Times New Roman"/>
          <w:sz w:val="14"/>
          <w:szCs w:val="14"/>
          <w:color w:val="auto"/>
        </w:rPr>
        <w:t>” means, as applicable, on a jurisdiction by jurisdiction basis, with respect to a given Product, any and all approvals, licenses, registrations or authorizations of the applicable Regulatory Authority necessary for the development, manufacture, packaging, labeling, storage, import, export, marketing, distribution, sale, use or intended use of such Product and reimbursement, if applicable, in and for the relevant jurisdiction, including any Regulatory Application.</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Product IND</w:t>
      </w:r>
      <w:r>
        <w:rPr>
          <w:rFonts w:ascii="Times New Roman" w:cs="Times New Roman" w:eastAsia="Times New Roman" w:hAnsi="Times New Roman"/>
          <w:sz w:val="14"/>
          <w:szCs w:val="14"/>
          <w:color w:val="auto"/>
        </w:rPr>
        <w:t>” means any IND(s) for any Product(s), together with all amendments, modifications, supplements and updates thereto.</w:t>
      </w:r>
    </w:p>
    <w:p>
      <w:pPr>
        <w:spacing w:after="0" w:line="175" w:lineRule="exact"/>
        <w:rPr>
          <w:sz w:val="20"/>
          <w:szCs w:val="20"/>
          <w:color w:val="auto"/>
        </w:rPr>
      </w:pPr>
    </w:p>
    <w:p>
      <w:pPr>
        <w:ind w:left="220" w:right="49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Product License Agreement</w:t>
      </w:r>
      <w:r>
        <w:rPr>
          <w:rFonts w:ascii="Times New Roman" w:cs="Times New Roman" w:eastAsia="Times New Roman" w:hAnsi="Times New Roman"/>
          <w:sz w:val="14"/>
          <w:szCs w:val="14"/>
          <w:color w:val="auto"/>
        </w:rPr>
        <w:t>” means any agreement pursuant to which Seaport or any of its Controlled Affiliates grants a Third Party (each, a “</w:t>
      </w:r>
      <w:r>
        <w:rPr>
          <w:rFonts w:ascii="Times New Roman" w:cs="Times New Roman" w:eastAsia="Times New Roman" w:hAnsi="Times New Roman"/>
          <w:sz w:val="14"/>
          <w:szCs w:val="14"/>
          <w:u w:val="single" w:color="auto"/>
          <w:color w:val="auto"/>
        </w:rPr>
        <w:t>Product Licensee</w:t>
      </w:r>
      <w:r>
        <w:rPr>
          <w:rFonts w:ascii="Times New Roman" w:cs="Times New Roman" w:eastAsia="Times New Roman" w:hAnsi="Times New Roman"/>
          <w:sz w:val="14"/>
          <w:szCs w:val="14"/>
          <w:color w:val="auto"/>
        </w:rPr>
        <w:t>”) a license (or similar rights) under the Glyph IP to develop and/or commercialize any Product in any country in the Territory, including a license or agreement granting marketing and/or distribution rights with respect to Products to such Third Party; but excluding (i) any agreement pursuant to which Seaport or any of its Controlled Affiliates grants rights to a Third Party to perform development or commercialization activities on behalf of Seaport or its Controlled Affiliates where such persons are compensated at market rates for services rendered, and (ii) any agreement that is entered into as part of, or otherwise results in, a Change of Control.</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Product Licensee</w:t>
      </w:r>
      <w:r>
        <w:rPr>
          <w:rFonts w:ascii="Times New Roman" w:cs="Times New Roman" w:eastAsia="Times New Roman" w:hAnsi="Times New Roman"/>
          <w:sz w:val="14"/>
          <w:szCs w:val="14"/>
          <w:color w:val="auto"/>
        </w:rPr>
        <w:t>” has the meaning set forth in the definition of “</w:t>
      </w:r>
      <w:r>
        <w:rPr>
          <w:rFonts w:ascii="Times New Roman" w:cs="Times New Roman" w:eastAsia="Times New Roman" w:hAnsi="Times New Roman"/>
          <w:sz w:val="14"/>
          <w:szCs w:val="14"/>
          <w:u w:val="single" w:color="auto"/>
          <w:color w:val="auto"/>
        </w:rPr>
        <w:t>Product License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PureTech Benefit Arrangement</w:t>
      </w:r>
      <w:r>
        <w:rPr>
          <w:rFonts w:ascii="Times New Roman" w:cs="Times New Roman" w:eastAsia="Times New Roman" w:hAnsi="Times New Roman"/>
          <w:sz w:val="14"/>
          <w:szCs w:val="14"/>
          <w:color w:val="auto"/>
        </w:rPr>
        <w:t>” means any (a) “employee benefit plans,” as defined in Section 3(3) of ERISA, together with plans or arrangements that would be so defined if they were not (i) otherwise exempt from ERISA by Section 3(3) of ERISA or another Section of ERISA or</w:t>
      </w:r>
    </w:p>
    <w:p>
      <w:pPr>
        <w:spacing w:after="0" w:line="1" w:lineRule="exact"/>
        <w:rPr>
          <w:sz w:val="20"/>
          <w:szCs w:val="20"/>
          <w:color w:val="auto"/>
        </w:rPr>
      </w:pPr>
    </w:p>
    <w:p>
      <w:pPr>
        <w:ind w:left="220" w:right="239" w:hanging="5"/>
        <w:spacing w:after="0" w:line="253" w:lineRule="auto"/>
        <w:tabs>
          <w:tab w:leader="none" w:pos="426"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individually negotiated or applicable only to one individual and (b) any other written or oral benefit arrangement or obligation to provide benefits or compensation for services rendered, in each case within this sentence in respect of any employees, independent contractors, directors, officers or stockholders of PureTech or any Controlled Affiliate, which is sponsored or maintained by PureTech or any Controlled Affiliate or with respect to which PureTech or any Controlled Affiliate has made or is required to make payments, transfers or contributions or has or may have any Liability, directly or through its ERISA Affiliates.</w:t>
      </w:r>
    </w:p>
    <w:p>
      <w:pPr>
        <w:spacing w:after="0" w:line="146" w:lineRule="exact"/>
        <w:rPr>
          <w:sz w:val="20"/>
          <w:szCs w:val="20"/>
          <w:color w:val="auto"/>
        </w:rPr>
      </w:pPr>
    </w:p>
    <w:p>
      <w:pPr>
        <w:ind w:left="220" w:right="6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PureTech Data</w:t>
      </w:r>
      <w:r>
        <w:rPr>
          <w:rFonts w:ascii="Times New Roman" w:cs="Times New Roman" w:eastAsia="Times New Roman" w:hAnsi="Times New Roman"/>
          <w:sz w:val="14"/>
          <w:szCs w:val="14"/>
          <w:color w:val="auto"/>
        </w:rPr>
        <w:t>” means all data and information stored or Processed by or on behalf of PureTech or Controlled Affiliate, including without limitation Personal Data.</w:t>
      </w:r>
    </w:p>
    <w:p>
      <w:pPr>
        <w:spacing w:after="0" w:line="125" w:lineRule="exact"/>
        <w:rPr>
          <w:sz w:val="20"/>
          <w:szCs w:val="20"/>
          <w:color w:val="auto"/>
        </w:rPr>
      </w:pPr>
    </w:p>
    <w:p>
      <w:pPr>
        <w:ind w:left="220" w:right="279" w:firstLine="343"/>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PureTech Employee Liabilities</w:t>
      </w:r>
      <w:r>
        <w:rPr>
          <w:rFonts w:ascii="Times New Roman" w:cs="Times New Roman" w:eastAsia="Times New Roman" w:hAnsi="Times New Roman"/>
          <w:sz w:val="13"/>
          <w:szCs w:val="13"/>
          <w:color w:val="auto"/>
        </w:rPr>
        <w:t>” means any (a) Employment Claim and any other Liability for accrued wages, salaries, commissions, bonuses, workers’ compensation, medical or disability benefits, vacation, sick or other paid-time off or comprehensive leave benefits of or relating to the employment or services, or termination of any current or former PureTech employees or consultants or independent contractors of PureTech or any Controlled Affiliate (including any persons who are becoming New Seaport Employees and any employees who are leaving employment with PureTech or its Controlled Affiliates to become engaged by another Affiliate), whether pursuant to any Contract or under any applicable Law or otherwise;</w:t>
      </w:r>
    </w:p>
    <w:p>
      <w:pPr>
        <w:spacing w:after="0" w:line="2" w:lineRule="exact"/>
        <w:rPr>
          <w:sz w:val="20"/>
          <w:szCs w:val="20"/>
          <w:color w:val="auto"/>
        </w:rPr>
      </w:pPr>
    </w:p>
    <w:p>
      <w:pPr>
        <w:ind w:left="220" w:right="239" w:hanging="5"/>
        <w:spacing w:after="0" w:line="261" w:lineRule="auto"/>
        <w:tabs>
          <w:tab w:leader="none" w:pos="418"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under any PureTech Benefit Arrangements or any Contracts or other compensatory arrangements with PureTech employees (including any persons who are becoming New Seaport Employees and 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522" w:name="page523"/>
    <w:bookmarkEnd w:id="522"/>
    <w:p>
      <w:pPr>
        <w:ind w:left="22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employees who are leaving employment with PureTech or its Controlled Affiliates to become engaged by another Affiliate) or with independent contractors or consultants of PureTech or any Controlled Affiliate (including, for the avoidance of doubt, any change in control, severance or similar payments under any Contracts with or PureTech Benefit Arrangements covering such employees); (c) any other Liabilities owing to current or former PureTech employees, consultants or independent contractors of PureTech or any Controlled Affiliate pursuant to their employment or services with or termination from PureTech or any Controlled Affiliate, as the case may be, or (d) any penalties, fines or other expenses resulting from compliance issues with any Laws regulating employment or benefits plus any payroll Taxes of PureTech or its Controlled Affiliates attributable to such Liabilities under clauses (a)-(d), together with any interest or penalties thereon.</w:t>
      </w:r>
    </w:p>
    <w:p>
      <w:pPr>
        <w:spacing w:after="0" w:line="144" w:lineRule="exact"/>
        <w:rPr>
          <w:sz w:val="20"/>
          <w:szCs w:val="20"/>
          <w:color w:val="auto"/>
        </w:rPr>
      </w:pPr>
    </w:p>
    <w:p>
      <w:pPr>
        <w:ind w:left="220" w:right="6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PureTech’s Knowledge</w:t>
      </w:r>
      <w:r>
        <w:rPr>
          <w:rFonts w:ascii="Times New Roman" w:cs="Times New Roman" w:eastAsia="Times New Roman" w:hAnsi="Times New Roman"/>
          <w:sz w:val="14"/>
          <w:szCs w:val="14"/>
          <w:color w:val="auto"/>
        </w:rPr>
        <w:t>” means the actual knowledge as of the Effective Date of this Agreement, without having done any investigation, of authorized representatives of PureTech.</w:t>
      </w:r>
    </w:p>
    <w:p>
      <w:pPr>
        <w:spacing w:after="0" w:line="125" w:lineRule="exact"/>
        <w:rPr>
          <w:sz w:val="20"/>
          <w:szCs w:val="20"/>
          <w:color w:val="auto"/>
        </w:rPr>
      </w:pPr>
    </w:p>
    <w:p>
      <w:pPr>
        <w:ind w:left="220" w:right="5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Reasonable Commercial Efforts</w:t>
      </w:r>
      <w:r>
        <w:rPr>
          <w:rFonts w:ascii="Times New Roman" w:cs="Times New Roman" w:eastAsia="Times New Roman" w:hAnsi="Times New Roman"/>
          <w:sz w:val="14"/>
          <w:szCs w:val="14"/>
          <w:color w:val="auto"/>
        </w:rPr>
        <w:t xml:space="preserve">” means commercially reasonable efforts, provided the same shall not require PureTech to initiate any legal action or expend any funds (other than </w:t>
      </w:r>
      <w:r>
        <w:rPr>
          <w:rFonts w:ascii="Times New Roman" w:cs="Times New Roman" w:eastAsia="Times New Roman" w:hAnsi="Times New Roman"/>
          <w:sz w:val="14"/>
          <w:szCs w:val="14"/>
          <w:i w:val="1"/>
          <w:iCs w:val="1"/>
          <w:color w:val="auto"/>
        </w:rPr>
        <w:t>de minimus</w:t>
      </w:r>
      <w:r>
        <w:rPr>
          <w:rFonts w:ascii="Times New Roman" w:cs="Times New Roman" w:eastAsia="Times New Roman" w:hAnsi="Times New Roman"/>
          <w:sz w:val="14"/>
          <w:szCs w:val="14"/>
          <w:color w:val="auto"/>
        </w:rPr>
        <w:t xml:space="preserve"> amounts) that are not reimbursed by Seaport.</w:t>
      </w:r>
    </w:p>
    <w:p>
      <w:pPr>
        <w:spacing w:after="0" w:line="125"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Regulatory Authority</w:t>
      </w:r>
      <w:r>
        <w:rPr>
          <w:rFonts w:ascii="Times New Roman" w:cs="Times New Roman" w:eastAsia="Times New Roman" w:hAnsi="Times New Roman"/>
          <w:sz w:val="14"/>
          <w:szCs w:val="14"/>
          <w:color w:val="auto"/>
        </w:rPr>
        <w:t>” means any Governmental Entity regulating the development, manufacture, packaging, labeling, storage, import, export, marketing, distribution, sale, registration, use or intended use of a Product in any country.</w:t>
      </w:r>
    </w:p>
    <w:p>
      <w:pPr>
        <w:spacing w:after="0" w:line="125"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Regulatory Applications</w:t>
      </w:r>
      <w:r>
        <w:rPr>
          <w:rFonts w:ascii="Times New Roman" w:cs="Times New Roman" w:eastAsia="Times New Roman" w:hAnsi="Times New Roman"/>
          <w:sz w:val="14"/>
          <w:szCs w:val="14"/>
          <w:color w:val="auto"/>
        </w:rPr>
        <w:t>” means any and all applications, submissions or other filings with a Regulatory’ Authority seeking approval to Utilize any Product.</w:t>
      </w:r>
    </w:p>
    <w:p>
      <w:pPr>
        <w:spacing w:after="0" w:line="125"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Regulatory Documentation</w:t>
      </w:r>
      <w:r>
        <w:rPr>
          <w:rFonts w:ascii="Times New Roman" w:cs="Times New Roman" w:eastAsia="Times New Roman" w:hAnsi="Times New Roman"/>
          <w:sz w:val="14"/>
          <w:szCs w:val="14"/>
          <w:color w:val="auto"/>
        </w:rPr>
        <w:t>” means (i) all correspondence and submissions between PureTech or any of its Affiliates and the FDA or any other applicable Regulatory Authority with respect to Regulatory Applications and Product Approvals for any Product, including any reports, filings, or notices submitted to FDA or other Regulatory Authority to support, maintain or obtain any Product IND or any other Regulatory Applications or Product Approvals; (ii) the annual and periodic reports relating to any Product IND or any other Regulatory Applications for any Products which have been filed by or on behalf of PureTech with the FDA or other Regulatory Authority, and adverse event reports pertaining to any Product, in each case to the extent in the possession or control of PureTech or any of its Representatives; (iii) all pre-clinical data (including animal data and GLP toxicology data), clinical data, and laboratory records, data and information related to any Product, and any other records and data concerning pre-clinical or clinical studies conducted with respect to any Product; and (iv) any other regulatory applications, submissions, notifications, communications, correspondence, registrations, approvals, drug master files (DMFs) or other filings made to, received from or otherwise conducted with a Regulatory Authority in order to Utilize any Product in any country or jurisdiction, including all Regulatory Applications.</w:t>
      </w:r>
    </w:p>
    <w:p>
      <w:pPr>
        <w:spacing w:after="0" w:line="146" w:lineRule="exact"/>
        <w:rPr>
          <w:sz w:val="20"/>
          <w:szCs w:val="20"/>
          <w:color w:val="auto"/>
        </w:rPr>
      </w:pPr>
    </w:p>
    <w:p>
      <w:pPr>
        <w:jc w:val="both"/>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Representatives</w:t>
      </w:r>
      <w:r>
        <w:rPr>
          <w:rFonts w:ascii="Times New Roman" w:cs="Times New Roman" w:eastAsia="Times New Roman" w:hAnsi="Times New Roman"/>
          <w:sz w:val="14"/>
          <w:szCs w:val="14"/>
          <w:color w:val="auto"/>
        </w:rPr>
        <w:t>” means, with respect to any Person, such Person’s officers and directors (or persons holding comparable positions), employees, consultants, independent contractors, subcontractors, leased employees, temporary workers, equityholders, accountants, legal and other representatives, agents, executors, heirs, successors and permitted assigns.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523" w:name="page524"/>
    <w:bookmarkEnd w:id="523"/>
    <w:p>
      <w:pPr>
        <w:ind w:left="220" w:right="299" w:firstLine="343"/>
        <w:spacing w:after="0" w:line="32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means any spilling, leaking, pumping, pouring, emitting, emptying, discharging, injecting, escaping, leaching, dumping or disposing into the environment (including the abandonment or discarding of barrels, containers and other closed receptacles containing any Hazardous Materials).</w:t>
      </w:r>
    </w:p>
    <w:p>
      <w:pPr>
        <w:spacing w:after="0" w:line="102" w:lineRule="exact"/>
        <w:rPr>
          <w:sz w:val="20"/>
          <w:szCs w:val="20"/>
          <w:color w:val="auto"/>
        </w:rPr>
      </w:pPr>
    </w:p>
    <w:p>
      <w:pPr>
        <w:ind w:left="220" w:right="259" w:firstLine="343"/>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Retained Tax Liabilities</w:t>
      </w:r>
      <w:r>
        <w:rPr>
          <w:rFonts w:ascii="Times New Roman" w:cs="Times New Roman" w:eastAsia="Times New Roman" w:hAnsi="Times New Roman"/>
          <w:sz w:val="13"/>
          <w:szCs w:val="13"/>
          <w:color w:val="auto"/>
        </w:rPr>
        <w:t>” means (i) any Taxes of PureTech, (ii) any Taxes related to the Acquired Assets that were incurred in or are attributable to any taxable period (or portion thereof) ending on or before the Closing Date, (iii) any Taxes of another person for which PureTech is liable, including, but not limited to Taxes for which PureTech is liable by reason of Treasury Regulations Section 1.1502-6 (or any comparable or similar provision of federal, state, local or foreign Law), being a transferee or successor, any contractual obligation or otherwise, and (iv) any income, transfer, sales, use or other Taxes arising in connection with the consummation of the transactions contemplated by this Agreement (including any income Taxes arising as a result of the transfer by PureTech to Seaport of the Acquired Assets), other than Seaport’s share of transfer and other Taxes pursuant to Section 4.4(b).</w:t>
      </w:r>
    </w:p>
    <w:p>
      <w:pPr>
        <w:spacing w:after="0" w:line="131" w:lineRule="exact"/>
        <w:rPr>
          <w:sz w:val="20"/>
          <w:szCs w:val="20"/>
          <w:color w:val="auto"/>
        </w:rPr>
      </w:pPr>
    </w:p>
    <w:p>
      <w:pPr>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Royalty Term</w:t>
      </w:r>
      <w:r>
        <w:rPr>
          <w:rFonts w:ascii="Times New Roman" w:cs="Times New Roman" w:eastAsia="Times New Roman" w:hAnsi="Times New Roman"/>
          <w:sz w:val="14"/>
          <w:szCs w:val="14"/>
          <w:color w:val="auto"/>
        </w:rPr>
        <w:t>” means, with respect to any Seaport Glyph Product in any country, the period commencing on First Commercial Sale of such Seaport Glyph Product in such country and continuing until the later to occur of (i) expiration of the last Valid Claim of such Seaport Glyph Product in such country; or (ii) ten (10) years after first commercial sale of such Seaport Glyph Product in such country.</w:t>
      </w:r>
    </w:p>
    <w:p>
      <w:pPr>
        <w:spacing w:after="0" w:line="136" w:lineRule="exact"/>
        <w:rPr>
          <w:sz w:val="20"/>
          <w:szCs w:val="20"/>
          <w:color w:val="auto"/>
        </w:rPr>
      </w:pPr>
    </w:p>
    <w:p>
      <w:pPr>
        <w:ind w:left="220" w:right="45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Seaport Glyph Products</w:t>
      </w:r>
      <w:r>
        <w:rPr>
          <w:rFonts w:ascii="Times New Roman" w:cs="Times New Roman" w:eastAsia="Times New Roman" w:hAnsi="Times New Roman"/>
          <w:sz w:val="14"/>
          <w:szCs w:val="14"/>
          <w:color w:val="auto"/>
        </w:rPr>
        <w:t>” means: (a) the Existing Products, whether or not the composition or method of use of which (as specified in the approved Product label in the applicable country) is Covered by a Valid Claim of the Transferred Patents in the country of sale; and (b) any other Product developed or commercialized by or on behalf of Seaport, its Controlled Affiliates or Product Licensees, the composition or method of use of which (as specified in the approved Product label in the applicable country) is Covered by a Valid Claim of the Transferred Patents in the country of sale.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Returns</w:t>
      </w:r>
      <w:r>
        <w:rPr>
          <w:rFonts w:ascii="Times New Roman" w:cs="Times New Roman" w:eastAsia="Times New Roman" w:hAnsi="Times New Roman"/>
          <w:sz w:val="14"/>
          <w:szCs w:val="14"/>
          <w:color w:val="auto"/>
        </w:rPr>
        <w:t>” means any and all reports, returns (including information returns), declarations, or statements relating to Taxes, including any schedule or attachment thereto and any amendment thereof, filed with or submitted to. or required to be filed with or submitted to, any Governmental Entity in connection with the determination, assessment, collection or payment of Taxes or in connection with the administration, implementation or enforcement of or compliance with any legal requirement relating to any Tax.</w:t>
      </w:r>
    </w:p>
    <w:p>
      <w:pPr>
        <w:spacing w:after="0" w:line="141"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any and all taxes, charges, fees, duties, contributions, levies or other similar assessments or Liabilities, including, without limitation,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workers compensation, payroll, profits, severance, stamp, occupation, escheat, windfall profits, customs duties, franchise, estimated and other taxes of any kind whatsoever imposed by the United States of America or any state, local or foreign government, or any agency or political subdivision thereof, and any interest, fines, penalties, assessments or additions to tax imposed with respect to or related to such items.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1" w:right="1440" w:bottom="1440" w:gutter="0" w:footer="0" w:header="0"/>
        </w:sectPr>
      </w:pPr>
    </w:p>
    <w:bookmarkStart w:id="524" w:name="page525"/>
    <w:bookmarkEnd w:id="52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Territory</w:t>
      </w:r>
      <w:r>
        <w:rPr>
          <w:rFonts w:ascii="Times New Roman" w:cs="Times New Roman" w:eastAsia="Times New Roman" w:hAnsi="Times New Roman"/>
          <w:sz w:val="14"/>
          <w:szCs w:val="14"/>
          <w:color w:val="auto"/>
        </w:rPr>
        <w:t>” means anywhere in the world.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w:t>
      </w:r>
      <w:r>
        <w:rPr>
          <w:rFonts w:ascii="Times New Roman" w:cs="Times New Roman" w:eastAsia="Times New Roman" w:hAnsi="Times New Roman"/>
          <w:sz w:val="14"/>
          <w:szCs w:val="14"/>
          <w:color w:val="auto"/>
        </w:rPr>
        <w:t>” means any person or entity other than (a) PureTech or its Controlled Affiliates, or (b) Seaport or its Controlled Affiliates.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 Action</w:t>
      </w:r>
      <w:r>
        <w:rPr>
          <w:rFonts w:ascii="Times New Roman" w:cs="Times New Roman" w:eastAsia="Times New Roman" w:hAnsi="Times New Roman"/>
          <w:sz w:val="14"/>
          <w:szCs w:val="14"/>
          <w:color w:val="auto"/>
        </w:rPr>
        <w:t>” means any Legal Proceeding by a Third Party.</w:t>
      </w:r>
    </w:p>
    <w:p>
      <w:pPr>
        <w:spacing w:after="0" w:line="175"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Costs</w:t>
      </w:r>
      <w:r>
        <w:rPr>
          <w:rFonts w:ascii="Times New Roman" w:cs="Times New Roman" w:eastAsia="Times New Roman" w:hAnsi="Times New Roman"/>
          <w:sz w:val="14"/>
          <w:szCs w:val="14"/>
          <w:color w:val="auto"/>
        </w:rPr>
        <w:t>” means the fees, expenses and disbursements of PureTech and its Representatives incurred in connection with this Agreement and the transactions contemplated hereby, including negotiation, legal, travel and due diligence expenses; provided, however, that Transaction Costs shall not include the fees and expenses of any legal counsel or firm, accounting firm or other experts, vendors or service providers engaged on behalf of Seaport, all of which shall be included in Assumed Liabilities and shall be payable by Seaport promptly after the Closing,</w:t>
      </w:r>
    </w:p>
    <w:p>
      <w:pPr>
        <w:spacing w:after="0" w:line="141"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Transferred Patents</w:t>
      </w:r>
      <w:r>
        <w:rPr>
          <w:rFonts w:ascii="Times New Roman" w:cs="Times New Roman" w:eastAsia="Times New Roman" w:hAnsi="Times New Roman"/>
          <w:sz w:val="14"/>
          <w:szCs w:val="14"/>
          <w:color w:val="auto"/>
        </w:rPr>
        <w:t>” means all Patents within the Transferred Assets, including the Patents licensed under the Monash License. The Transferred Patents are listed in Schedule 1.1(a).</w:t>
      </w:r>
    </w:p>
    <w:p>
      <w:pPr>
        <w:spacing w:after="0" w:line="125" w:lineRule="exact"/>
        <w:rPr>
          <w:sz w:val="20"/>
          <w:szCs w:val="20"/>
          <w:color w:val="auto"/>
        </w:rPr>
      </w:pPr>
    </w:p>
    <w:p>
      <w:pPr>
        <w:ind w:left="220" w:right="6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Utilize</w:t>
      </w:r>
      <w:r>
        <w:rPr>
          <w:rFonts w:ascii="Times New Roman" w:cs="Times New Roman" w:eastAsia="Times New Roman" w:hAnsi="Times New Roman"/>
          <w:sz w:val="14"/>
          <w:szCs w:val="14"/>
          <w:color w:val="auto"/>
        </w:rPr>
        <w:t>” means, with respect to any Product, to research, develop, manufacture, commercialize or otherwise utilize such Product (including making, having made, using, selling, offering for sale or importing such Product).</w:t>
      </w:r>
    </w:p>
    <w:p>
      <w:pPr>
        <w:spacing w:after="0" w:line="125" w:lineRule="exact"/>
        <w:rPr>
          <w:sz w:val="20"/>
          <w:szCs w:val="20"/>
          <w:color w:val="auto"/>
        </w:rPr>
      </w:pPr>
    </w:p>
    <w:p>
      <w:pPr>
        <w:jc w:val="both"/>
        <w:ind w:left="220" w:right="39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Valid Claim</w:t>
      </w:r>
      <w:r>
        <w:rPr>
          <w:rFonts w:ascii="Times New Roman" w:cs="Times New Roman" w:eastAsia="Times New Roman" w:hAnsi="Times New Roman"/>
          <w:sz w:val="14"/>
          <w:szCs w:val="14"/>
          <w:color w:val="auto"/>
        </w:rPr>
        <w:t>” means: (a) a claim of any issued, unexpired patent that has not been revoked or held unenforceable or invalid by a decision of a court or Governmental Entity of competent jurisdiction from which no appeal can be taken, or with respect to which an appeal is not taken within the time allowed for appeal, and that has not been disclaimed or admitted to be invalid or unenforceable through reissue, disclaimer, or otherwise; or (b) a claim of any patent application filed by a Person in good faith that has not been cancelled, withdrawn, or abandoned and that has been pending for no more than [***] from the earliest non-provisional filing date to which the application claims priority, [***].</w:t>
      </w:r>
    </w:p>
    <w:p>
      <w:pPr>
        <w:spacing w:after="0" w:line="144"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Except where expressly stated otherwise in this Agreement, the following rules of interpretation apply to this Agreement: (a) “either” and “or” are not exclusive, the term “or” will be interpreted in the inclusive sense commonly associated with the term “and/or”, and “include,” “includes” and “including” are not limiting; (b) “hereof,” “hereto,” “hereby,” “herein” and “hereunder” and words of similar import when used in this Agreement refer to this Agreement as a whole and not to any particular provision of this Agreement; (c) “date of this Agreement” refers to the date set forth in the initial caption of this Agreement; (d) “extent” in the phrase “to the extent” means the degree to which a subject or other thing extends, and such phrase does not mean simply “if’; (e) the descriptive headings and table of contents included herein are included for convenience only and shall not affect in any way the meaning or interpretation of this Agreement or any provision hereof; (f) definitions contained in this Agreement are applicable to the singular as well as the plural forms of such terms; (g) references to a contract or agreement mean such contract or agreement as amended or otherwise supplemented or modified from time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1" w:right="1440" w:bottom="1440" w:gutter="0" w:footer="0" w:header="0"/>
        </w:sectPr>
      </w:pPr>
    </w:p>
    <w:bookmarkStart w:id="525" w:name="page526"/>
    <w:bookmarkEnd w:id="525"/>
    <w:p>
      <w:pPr>
        <w:jc w:val="both"/>
        <w:ind w:left="220" w:right="23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time; (h) references to a Person are also to its permitted successors and assigns; (i) references to an “Article,” “Section,” “Exhibit” or “Schedule” refer to an Article or Section of, or an Exhibit or Schedule to, this Agreement; (j) references to “$” or otherwise to dollar amounts refer to the lawful currency of the United States; (k) references to a federal, state, local or foreign Law include any rules, regulations and delegated legislation issued thereunder;</w:t>
      </w:r>
    </w:p>
    <w:p>
      <w:pPr>
        <w:spacing w:after="0" w:line="2" w:lineRule="exact"/>
        <w:rPr>
          <w:sz w:val="20"/>
          <w:szCs w:val="20"/>
          <w:color w:val="auto"/>
        </w:rPr>
      </w:pPr>
    </w:p>
    <w:p>
      <w:pPr>
        <w:ind w:left="220" w:right="279" w:hanging="5"/>
        <w:spacing w:after="0" w:line="252" w:lineRule="auto"/>
        <w:tabs>
          <w:tab w:leader="none" w:pos="387"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accounting terms used and not otherwise defined herein have the meaning assigned to them under GAAP; and (m) a term that begins with an initial capital letter, is not defined herein and reflects a different part of speech than a term that begins with an initial capital letter and is defined herein, shall be interpreted in a correlative manner. When reference is made in this Agreement to information that has been “made available” to Seaport, that shall consist of only the information that was (i) contained in PureTech’s electronic data room no later than 5:00 p.m., Eastern time, on the [***] Business Day prior to the date of this Agreement or (ii) delivered to Seaport or its counsel.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If any date on which a Party is required to make a payment or a delivery pursuant to the terms hereof is not a Business Day, then such Party shall make such payment or delivery on the next succeeding Business Day. Time shall be of the essence in this Agreement.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7"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required or permitted to be given under this Agreement shall be in writing, shall specifically refer to this Agreement, and shall be addressed to the appropriate Party at the address specified below or such other address as may be specified by such Party in writing in accordance with this Section 8.1. and shall be deemed to have been given for all purposes (a) when received, if hand-delivered or sent by a reputable courier service, or (b) five (5) Business Days after mailing, if mailed by first class certified or registered airmail, postage prepaid, return receipt requested.</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All notices to PureTech shall be addressed as follows:</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PureTech Health LLC</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6 Tide Street, 4th Floor</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Boston, MA 02110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Attention: [***]</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PureTech Health LLC</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6 Tide Street, 4th Floor</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Boston, MA 02110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Attention: [***]</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1" w:right="1440" w:bottom="1440" w:gutter="0" w:footer="0" w:header="0"/>
        </w:sectPr>
      </w:pPr>
    </w:p>
    <w:bookmarkStart w:id="526" w:name="page527"/>
    <w:bookmarkEnd w:id="526"/>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Sills Cummis &amp; Gross P.C.</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One Riverfront Plaza</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Newark, NJ 07102</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All notices to Seaport shall be addressed as follows:</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Seaport Therapeutics, Inc.</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6 Tide Street, 4th Floor</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Boston, MA 02110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Attention: [***]</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With a copy to (which shall not constitute notice):</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Wilmer Cutler Pickering Hale and Dorr LLP</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60 State Street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Boston, MA 02109</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Email: [***]</w:t>
      </w:r>
    </w:p>
    <w:p>
      <w:pPr>
        <w:spacing w:after="0" w:line="161" w:lineRule="exact"/>
        <w:rPr>
          <w:sz w:val="20"/>
          <w:szCs w:val="20"/>
          <w:color w:val="auto"/>
        </w:rPr>
      </w:pPr>
    </w:p>
    <w:p>
      <w:pPr>
        <w:ind w:left="220" w:right="219" w:firstLine="343"/>
        <w:spacing w:after="0" w:line="256"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Entire Agreement; Amendment</w:t>
      </w:r>
      <w:r>
        <w:rPr>
          <w:rFonts w:ascii="Times New Roman" w:cs="Times New Roman" w:eastAsia="Times New Roman" w:hAnsi="Times New Roman"/>
          <w:sz w:val="14"/>
          <w:szCs w:val="14"/>
          <w:color w:val="auto"/>
        </w:rPr>
        <w:t>. This Agreement, including the Exhibits hereto, sets forth the complete, final and exclusive agreement and all of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There are no covenants, promises, agreements, warranties, representations, conditions or understandings, either oral or written, between the Parties with respect to the subject matter of this Agreement other than as are set forth in this Agreement, including the Exhibits. No subsequent alteration, amendment, change or addition to this Agreement shall be binding upon the Parties unless reduced to writing and signed by an authorized officer of each Party.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Third-Party Beneficiaries</w:t>
      </w:r>
      <w:r>
        <w:rPr>
          <w:rFonts w:ascii="Times New Roman" w:cs="Times New Roman" w:eastAsia="Times New Roman" w:hAnsi="Times New Roman"/>
          <w:sz w:val="14"/>
          <w:szCs w:val="14"/>
          <w:color w:val="auto"/>
        </w:rPr>
        <w:t>. This Agreement is not intended to, and shall not, confer upon any other Person any rights or remedies hereunder.</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Assignment.</w:t>
      </w:r>
    </w:p>
    <w:p>
      <w:pPr>
        <w:spacing w:after="0" w:line="175" w:lineRule="exact"/>
        <w:rPr>
          <w:sz w:val="20"/>
          <w:szCs w:val="20"/>
          <w:color w:val="auto"/>
        </w:rPr>
      </w:pPr>
    </w:p>
    <w:p>
      <w:pPr>
        <w:ind w:left="220" w:right="219" w:firstLine="767"/>
        <w:spacing w:after="0" w:line="258" w:lineRule="auto"/>
        <w:tabs>
          <w:tab w:leader="none" w:pos="1182"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and the rights and obligations under this Agreement may not be assigned, delegated, or otherwise transferred, in whole or in part, by operation of law or otherwise, by either Party without the other Party’s express prior written consent;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either Party may assign its rights or delegate its obligations under this Agreement without such consent to (a) its Affiliate or (b) its successor in interest in connection with any merger, consolidation, or sale of all or substantially all of the assets of such Party to which this Agreement relates. In the event of such assignment by Seaport that occurs concurrently with 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527" w:name="page528"/>
    <w:bookmarkEnd w:id="527"/>
    <w:p>
      <w:pPr>
        <w:ind w:left="22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following the grant of a Product License, Seaport (i.e., the original Party to this Agreement) shall remain liable for all payment obligations to PureTech pursuant to </w:t>
      </w:r>
      <w:r>
        <w:rPr>
          <w:rFonts w:ascii="Times New Roman" w:cs="Times New Roman" w:eastAsia="Times New Roman" w:hAnsi="Times New Roman"/>
          <w:sz w:val="14"/>
          <w:szCs w:val="14"/>
          <w:u w:val="single" w:color="auto"/>
          <w:color w:val="auto"/>
        </w:rPr>
        <w:t>Section 1.5(b)(ii)</w:t>
      </w:r>
      <w:r>
        <w:rPr>
          <w:rFonts w:ascii="Times New Roman" w:cs="Times New Roman" w:eastAsia="Times New Roman" w:hAnsi="Times New Roman"/>
          <w:sz w:val="14"/>
          <w:szCs w:val="14"/>
          <w:color w:val="auto"/>
        </w:rPr>
        <w:t xml:space="preserve"> with respect to such Product License to the extent such assignee does not fulfill such payment obligations. In the event of such assignment by Seaport that occurs concurrently with or following a Change of Control, Seaport (i.e., the original Party to this Agreement) shall remain liable for all payment obligations to PureTech pursuant to </w:t>
      </w:r>
      <w:r>
        <w:rPr>
          <w:rFonts w:ascii="Times New Roman" w:cs="Times New Roman" w:eastAsia="Times New Roman" w:hAnsi="Times New Roman"/>
          <w:sz w:val="14"/>
          <w:szCs w:val="14"/>
          <w:u w:val="single" w:color="auto"/>
          <w:color w:val="auto"/>
        </w:rPr>
        <w:t>Section 1.5(b)(iii)</w:t>
      </w:r>
      <w:r>
        <w:rPr>
          <w:rFonts w:ascii="Times New Roman" w:cs="Times New Roman" w:eastAsia="Times New Roman" w:hAnsi="Times New Roman"/>
          <w:sz w:val="14"/>
          <w:szCs w:val="14"/>
          <w:color w:val="auto"/>
        </w:rPr>
        <w:t xml:space="preserve"> with respect to such Change of Control of Seaport to the extent such assignee does not fulfill such payment obligations.</w:t>
      </w:r>
    </w:p>
    <w:p>
      <w:pPr>
        <w:spacing w:after="0" w:line="144" w:lineRule="exact"/>
        <w:rPr>
          <w:sz w:val="20"/>
          <w:szCs w:val="20"/>
          <w:color w:val="auto"/>
        </w:rPr>
      </w:pPr>
    </w:p>
    <w:p>
      <w:pPr>
        <w:ind w:left="220" w:right="259" w:firstLine="767"/>
        <w:spacing w:after="0" w:line="256" w:lineRule="auto"/>
        <w:tabs>
          <w:tab w:leader="none" w:pos="119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successor or assignee of rights or obligations permitted hereunder (including payment obligations) shall, in writing to the other Party, expressly assume performance of such rights or obligations. In the case of any permitted assignment or transfer of or under this Agreement, this Agreement shall be binding upon, and inure to the benefit of, the successors, executors, heirs, representatives, administrators and assigns of the Parties hereto and the assigning Party shall remain liable for the obligations of its successor or assignee as set forth herein. Any attempted assignment, delegation, or transfer in violation of the foregoing will be null and void. For clarity, Seaport is free to assign, transfer and grant licenses or other rights to the Transferred Assets in its sole discretion and without the consent of PureTech, and nothing in this </w:t>
      </w:r>
      <w:r>
        <w:rPr>
          <w:rFonts w:ascii="Times New Roman" w:cs="Times New Roman" w:eastAsia="Times New Roman" w:hAnsi="Times New Roman"/>
          <w:sz w:val="14"/>
          <w:szCs w:val="14"/>
          <w:u w:val="single" w:color="auto"/>
          <w:color w:val="auto"/>
        </w:rPr>
        <w:t>Section 8.4</w:t>
      </w:r>
      <w:r>
        <w:rPr>
          <w:rFonts w:ascii="Times New Roman" w:cs="Times New Roman" w:eastAsia="Times New Roman" w:hAnsi="Times New Roman"/>
          <w:sz w:val="14"/>
          <w:szCs w:val="14"/>
          <w:color w:val="auto"/>
        </w:rPr>
        <w:t xml:space="preserve"> shall be interpreted as a limitation on such assignment, transfer or grant.</w:t>
      </w:r>
    </w:p>
    <w:p>
      <w:pPr>
        <w:spacing w:after="0" w:line="144"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8.5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41"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8.6 </w:t>
      </w:r>
      <w:r>
        <w:rPr>
          <w:rFonts w:ascii="Times New Roman" w:cs="Times New Roman" w:eastAsia="Times New Roman" w:hAnsi="Times New Roman"/>
          <w:sz w:val="14"/>
          <w:szCs w:val="14"/>
          <w:u w:val="single" w:color="auto"/>
          <w:color w:val="auto"/>
        </w:rPr>
        <w:t>Counterparts and Signature</w:t>
      </w:r>
      <w:r>
        <w:rPr>
          <w:rFonts w:ascii="Times New Roman" w:cs="Times New Roman" w:eastAsia="Times New Roman" w:hAnsi="Times New Roman"/>
          <w:sz w:val="14"/>
          <w:szCs w:val="14"/>
          <w:color w:val="auto"/>
        </w:rPr>
        <w:t>. This Agreement may be executed in one or more counterparts, each of which shall be an original and all of which shall constitute together the same document. Copies of original signature pages sent by PDF shall have the same effect as signature pages containing original signatures.</w:t>
      </w:r>
    </w:p>
    <w:p>
      <w:pPr>
        <w:spacing w:after="0" w:line="136"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8.7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any claims or disputes arising out of or related hereto or the transactions contemplated hereby or to the inducement of any Party to enter herein, whether for breach of contract, tortious conduct or otherwise and whether predicated on common law, statute or otherwise) shall be governed in all respects, including validity, interpretation, and effect, by and construed in accordance with the internal Laws of the State of Delaware (including in respect of the statute of limitations or other limitations period applicable to any claim, controversy or dispute) without giving effect to any choice or conflict of Law provision or rule (whether of the State of Delaware or any other jurisdiction) that would cause the application of Laws of any jurisdictions other than those of the State of Delaware.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528" w:name="page529"/>
    <w:bookmarkEnd w:id="528"/>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8.8 </w:t>
      </w:r>
      <w:r>
        <w:rPr>
          <w:rFonts w:ascii="Times New Roman" w:cs="Times New Roman" w:eastAsia="Times New Roman" w:hAnsi="Times New Roman"/>
          <w:sz w:val="14"/>
          <w:szCs w:val="14"/>
          <w:u w:val="single" w:color="auto"/>
          <w:color w:val="auto"/>
        </w:rPr>
        <w:t>Remedies.</w:t>
      </w:r>
    </w:p>
    <w:p>
      <w:pPr>
        <w:spacing w:after="0" w:line="175" w:lineRule="exact"/>
        <w:rPr>
          <w:sz w:val="20"/>
          <w:szCs w:val="20"/>
          <w:color w:val="auto"/>
        </w:rPr>
      </w:pPr>
    </w:p>
    <w:p>
      <w:pPr>
        <w:ind w:left="220" w:right="359" w:firstLine="767"/>
        <w:spacing w:after="0" w:line="267" w:lineRule="auto"/>
        <w:tabs>
          <w:tab w:leader="none" w:pos="1182"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remedies herein expressly conferred upon a Party will be deemed cumulative with and not exclusive of any other remedy conferred hereby, or by Law or equity upon such Party, and the exercise by a Party of any one (1) remedy will not preclude the exercise of any other remedy.</w:t>
      </w:r>
    </w:p>
    <w:p>
      <w:pPr>
        <w:spacing w:after="0" w:line="135" w:lineRule="exact"/>
        <w:rPr>
          <w:rFonts w:ascii="Times New Roman" w:cs="Times New Roman" w:eastAsia="Times New Roman" w:hAnsi="Times New Roman"/>
          <w:sz w:val="14"/>
          <w:szCs w:val="14"/>
          <w:color w:val="auto"/>
        </w:rPr>
      </w:pPr>
    </w:p>
    <w:p>
      <w:pPr>
        <w:ind w:left="220" w:right="479" w:firstLine="767"/>
        <w:spacing w:after="0" w:line="257" w:lineRule="auto"/>
        <w:tabs>
          <w:tab w:leader="none" w:pos="1190"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agree that irreparable damage may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of this Agreement, in each case without posting a bond or undertaking, this being in addition to any other remedy to which they are entitled at Law or in equity. Each of the Parties agrees that it will not oppose the granting of an injunction, specific performance and other equitable relief on the basis that (i) the Party seeking such remedy has an adequate remedy at Law or (ii) an award of specific performance is not an appropriate remedy for any reason at Law or equity.</w:t>
      </w:r>
    </w:p>
    <w:p>
      <w:pPr>
        <w:spacing w:after="0" w:line="14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8.9 </w:t>
      </w:r>
      <w:r>
        <w:rPr>
          <w:rFonts w:ascii="Times New Roman" w:cs="Times New Roman" w:eastAsia="Times New Roman" w:hAnsi="Times New Roman"/>
          <w:sz w:val="14"/>
          <w:szCs w:val="14"/>
          <w:u w:val="single" w:color="auto"/>
          <w:color w:val="auto"/>
        </w:rPr>
        <w:t>Submission to Jurisdiction</w:t>
      </w:r>
      <w:r>
        <w:rPr>
          <w:rFonts w:ascii="Times New Roman" w:cs="Times New Roman" w:eastAsia="Times New Roman" w:hAnsi="Times New Roman"/>
          <w:sz w:val="14"/>
          <w:szCs w:val="14"/>
          <w:color w:val="auto"/>
        </w:rPr>
        <w:t>. Each of the Parties to this Agreement (a)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(b) agrees that all claims in respect of such action or proceeding may be heard and determined in any such court, (c) agrees that it shall not attempt to deny or defeat such personal jurisdiction by motion or other request for leave from any such court, (d) agrees not to bring any action or proceeding arising out of or relating to this Agreement or any of the transactions contemplated by this Agreement in any other court, and (e) waives any right it may have to a trial by jury with respect to any action or proceeding arising out of or relating to this Agreement. Each of the Parties hereto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Section 8.1. Nothing in this Section 8.9, however, shall affect the right of any Party to serve legal process in any other manner permitted by Law.</w:t>
      </w:r>
    </w:p>
    <w:p>
      <w:pPr>
        <w:spacing w:after="0" w:line="144"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8.10 </w:t>
      </w: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 Except as otherwise expressly provided herein, all fees and expenses incurred in connection with this Agreement and the transactions contemplated hereby shall be paid by the Party incurring such fees and expenses, whether or not the Closing occurs.</w:t>
      </w:r>
    </w:p>
    <w:p>
      <w:pPr>
        <w:spacing w:after="0" w:line="125"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8.11 </w:t>
      </w:r>
      <w:r>
        <w:rPr>
          <w:rFonts w:ascii="Times New Roman" w:cs="Times New Roman" w:eastAsia="Times New Roman" w:hAnsi="Times New Roman"/>
          <w:sz w:val="14"/>
          <w:szCs w:val="14"/>
          <w:u w:val="single" w:color="auto"/>
          <w:color w:val="auto"/>
        </w:rPr>
        <w:t>Disclosure Schedule</w:t>
      </w:r>
      <w:r>
        <w:rPr>
          <w:rFonts w:ascii="Times New Roman" w:cs="Times New Roman" w:eastAsia="Times New Roman" w:hAnsi="Times New Roman"/>
          <w:sz w:val="14"/>
          <w:szCs w:val="14"/>
          <w:color w:val="auto"/>
        </w:rPr>
        <w:t>. The Disclosure Schedule shall be arranged in sections corresponding to the numbered sections contained in Article II and in such a way that it is reasonably apparent which representation and warranty in such section such disclosure is intended to qualify and the disclosure with respect to a representation and warranty contained in Article II shall qualify any other representations and warranties in Article II to the extent that it is reasonably apparent on the face of such disclosure that it also qualifies or applies to such other representations and warranties.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529" w:name="page530"/>
    <w:bookmarkEnd w:id="529"/>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8.12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No waiver by the Parties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 No waiver by the Parties of any of the provisions hereof shall be effective unless explicitly set forth in writing and executed by the Party sought to be charged with such waiver.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1" w:right="1440" w:bottom="1440" w:gutter="0" w:footer="0" w:header="0"/>
        </w:sectPr>
      </w:pPr>
    </w:p>
    <w:bookmarkStart w:id="530" w:name="page531"/>
    <w:bookmarkEnd w:id="530"/>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Seaport and PureTech have caused this Agreement to be signed by their respective officers thereunto duly authorized as of the date first written above.</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Charles Sherwood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Charles Sherwood</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President</w:t>
      </w:r>
    </w:p>
    <w:p>
      <w:pPr>
        <w:sectPr>
          <w:pgSz w:w="11900" w:h="16838" w:orient="portrait"/>
          <w:cols w:equalWidth="0" w:num="1">
            <w:col w:w="9019"/>
          </w:cols>
          <w:pgMar w:left="1440" w:top="241" w:right="1440" w:bottom="1440" w:gutter="0" w:footer="0" w:header="0"/>
        </w:sectPr>
      </w:pPr>
    </w:p>
    <w:bookmarkStart w:id="531" w:name="page532"/>
    <w:bookmarkEnd w:id="531"/>
    <w:p>
      <w:pPr>
        <w:ind w:left="536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PURETECH:</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PURETECH HEALTH LLC</w:t>
      </w:r>
    </w:p>
    <w:p>
      <w:pPr>
        <w:spacing w:after="0" w:line="18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Bharatt Chowrira, PhD</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President</w:t>
      </w:r>
    </w:p>
    <w:p>
      <w:pPr>
        <w:spacing w:after="0" w:line="1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PURETECH LYT,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Bharatt Chowrira, PhD</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President</w:t>
      </w:r>
    </w:p>
    <w:p>
      <w:pPr>
        <w:sectPr>
          <w:pgSz w:w="11900" w:h="16838" w:orient="portrait"/>
          <w:cols w:equalWidth="0" w:num="1">
            <w:col w:w="9019"/>
          </w:cols>
          <w:pgMar w:left="1440" w:top="239" w:right="1440" w:bottom="1440" w:gutter="0" w:footer="0" w:header="0"/>
        </w:sectPr>
      </w:pPr>
    </w:p>
    <w:bookmarkStart w:id="532" w:name="page533"/>
    <w:bookmarkEnd w:id="53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AMENDMENT TO ASSET TRANSFER AGREEMENT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Amendment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to the Asset Transfer Agreement dated as of April 8, 2024, by and between Seaport Therapeutics,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Seaport</w:t>
      </w:r>
      <w:r>
        <w:rPr>
          <w:rFonts w:ascii="Times New Roman" w:cs="Times New Roman" w:eastAsia="Times New Roman" w:hAnsi="Times New Roman"/>
          <w:sz w:val="14"/>
          <w:szCs w:val="14"/>
          <w:color w:val="auto"/>
        </w:rPr>
        <w:t>”) and PureTech Health LLC, PureTech LYT, Inc., and PureTech Management, Inc. (collectively, “PureTech”)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effective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of the as of the last date set forth in the signature block. For purposes hereof, all capitalized terms used but not defined herein shall have the meanings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given to them in the Agreement.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Seaport and PureTech desire to amend the Agreement.</w:t>
      </w:r>
    </w:p>
    <w:p>
      <w:pPr>
        <w:spacing w:after="0" w:line="175" w:lineRule="exact"/>
        <w:rPr>
          <w:sz w:val="20"/>
          <w:szCs w:val="20"/>
          <w:color w:val="auto"/>
        </w:rPr>
      </w:pPr>
    </w:p>
    <w:p>
      <w:pPr>
        <w:ind w:left="220" w:right="2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contained herein, the receipt and sufficiency of which are hereby acknowledged,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intending to be legally bound hereby, the Parties agree as follows:</w:t>
      </w:r>
    </w:p>
    <w:p>
      <w:pPr>
        <w:spacing w:after="0" w:line="47" w:lineRule="exact"/>
        <w:rPr>
          <w:sz w:val="20"/>
          <w:szCs w:val="20"/>
          <w:color w:val="auto"/>
        </w:rPr>
      </w:pPr>
    </w:p>
    <w:p>
      <w:pPr>
        <w:ind w:left="980" w:right="419" w:hanging="429"/>
        <w:spacing w:after="0" w:line="286" w:lineRule="auto"/>
        <w:tabs>
          <w:tab w:leader="none" w:pos="98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w:t>
      </w:r>
      <w:r>
        <w:rPr>
          <w:rFonts w:ascii="Times New Roman" w:cs="Times New Roman" w:eastAsia="Times New Roman" w:hAnsi="Times New Roman"/>
          <w:sz w:val="14"/>
          <w:szCs w:val="14"/>
          <w:b w:val="1"/>
          <w:bCs w:val="1"/>
          <w:color w:val="auto"/>
        </w:rPr>
        <w:t>4.6(d)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is hereby amended by deleting the term “Seaport” and replacing it with the phrase “</w:t>
      </w:r>
      <w:r>
        <w:rPr>
          <w:rFonts w:ascii="Times New Roman" w:cs="Times New Roman" w:eastAsia="Times New Roman" w:hAnsi="Times New Roman"/>
          <w:sz w:val="14"/>
          <w:szCs w:val="14"/>
          <w:u w:val="single" w:color="auto"/>
          <w:color w:val="auto"/>
        </w:rPr>
        <w:t>either Party</w:t>
      </w:r>
      <w:r>
        <w:rPr>
          <w:rFonts w:ascii="Times New Roman" w:cs="Times New Roman" w:eastAsia="Times New Roman" w:hAnsi="Times New Roman"/>
          <w:sz w:val="14"/>
          <w:szCs w:val="14"/>
          <w:color w:val="auto"/>
        </w:rPr>
        <w:t>” to read as follows:</w:t>
      </w:r>
    </w:p>
    <w:p>
      <w:pPr>
        <w:spacing w:after="0" w:line="38" w:lineRule="exact"/>
        <w:rPr>
          <w:rFonts w:ascii="Times New Roman" w:cs="Times New Roman" w:eastAsia="Times New Roman" w:hAnsi="Times New Roman"/>
          <w:sz w:val="14"/>
          <w:szCs w:val="14"/>
          <w:color w:val="auto"/>
        </w:rPr>
      </w:pP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4.6(d) PureTech’s right to request a PureTech License pursuant to this Section 4.7 will terminate upon a Change of Control of either Party.</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w:t>
      </w:r>
    </w:p>
    <w:p>
      <w:pPr>
        <w:spacing w:after="0" w:line="10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is effective as of the latest dated signature on the signature page hereto.</w:t>
      </w:r>
    </w:p>
    <w:p>
      <w:pPr>
        <w:spacing w:after="0" w:line="101" w:lineRule="exact"/>
        <w:rPr>
          <w:rFonts w:ascii="Times New Roman" w:cs="Times New Roman" w:eastAsia="Times New Roman" w:hAnsi="Times New Roman"/>
          <w:sz w:val="14"/>
          <w:szCs w:val="14"/>
          <w:color w:val="auto"/>
        </w:rPr>
      </w:pPr>
    </w:p>
    <w:p>
      <w:pPr>
        <w:ind w:left="1320" w:right="239" w:hanging="338"/>
        <w:spacing w:after="0" w:line="283" w:lineRule="auto"/>
        <w:tabs>
          <w:tab w:leader="none" w:pos="1320" w:val="left"/>
        </w:tabs>
        <w:numPr>
          <w:ilvl w:val="1"/>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specifically set forth herein, the Agreement and the obligations of Seaport and PureTech thereunder are hereby ratified and confirmed and shall remain in full force and effect.</w:t>
      </w:r>
    </w:p>
    <w:p>
      <w:pPr>
        <w:spacing w:after="0" w:line="51" w:lineRule="exact"/>
        <w:rPr>
          <w:rFonts w:ascii="Times New Roman" w:cs="Times New Roman" w:eastAsia="Times New Roman" w:hAnsi="Times New Roman"/>
          <w:sz w:val="14"/>
          <w:szCs w:val="14"/>
          <w:color w:val="auto"/>
        </w:rPr>
      </w:pPr>
    </w:p>
    <w:p>
      <w:pPr>
        <w:ind w:left="1320" w:right="319" w:hanging="338"/>
        <w:spacing w:after="0" w:line="283" w:lineRule="auto"/>
        <w:tabs>
          <w:tab w:leader="none" w:pos="1320" w:val="left"/>
        </w:tabs>
        <w:numPr>
          <w:ilvl w:val="1"/>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context requires otherwise, all references to Sections in this Amendment shall be references to the relevant section in the Agreement.</w:t>
      </w:r>
    </w:p>
    <w:p>
      <w:pPr>
        <w:spacing w:after="0" w:line="5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terms used but not defined herein shall have the meanings ascribed to them in the Agreement.</w:t>
      </w:r>
    </w:p>
    <w:p>
      <w:pPr>
        <w:spacing w:after="0" w:line="101" w:lineRule="exact"/>
        <w:rPr>
          <w:rFonts w:ascii="Times New Roman" w:cs="Times New Roman" w:eastAsia="Times New Roman" w:hAnsi="Times New Roman"/>
          <w:sz w:val="14"/>
          <w:szCs w:val="14"/>
          <w:color w:val="auto"/>
        </w:rPr>
      </w:pPr>
    </w:p>
    <w:p>
      <w:pPr>
        <w:ind w:left="1320" w:right="279" w:hanging="338"/>
        <w:spacing w:after="0" w:line="258" w:lineRule="auto"/>
        <w:tabs>
          <w:tab w:leader="none" w:pos="1320" w:val="left"/>
        </w:tabs>
        <w:numPr>
          <w:ilvl w:val="1"/>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Amendment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www.docusign.com) or other transmission method and any counterpart so delivered shall be deemed to have been duly and validly delivered and be valid and effective for all purposes.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[Remainder of Page Intentionally Blank.]</w:t>
      </w:r>
    </w:p>
    <w:p>
      <w:pPr>
        <w:sectPr>
          <w:pgSz w:w="11900" w:h="16838" w:orient="portrait"/>
          <w:cols w:equalWidth="0" w:num="1">
            <w:col w:w="9019"/>
          </w:cols>
          <w:pgMar w:left="1440" w:top="238" w:right="1440" w:bottom="1440" w:gutter="0" w:footer="0" w:header="0"/>
        </w:sectPr>
      </w:pPr>
    </w:p>
    <w:bookmarkStart w:id="533" w:name="page534"/>
    <w:bookmarkEnd w:id="533"/>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hereto have executed this Amendment as of the last date set forth below.</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SEAPORT THERAPEUTICS, INC.</w:t>
      </w:r>
    </w:p>
    <w:p>
      <w:pPr>
        <w:spacing w:after="0" w:line="18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Daphne Zohar</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CEO</w:t>
      </w:r>
    </w:p>
    <w:p>
      <w:pPr>
        <w:spacing w:after="0" w:line="1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PURETECH HEALTH LLC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Robert Lyne</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CEO</w:t>
      </w:r>
    </w:p>
    <w:p>
      <w:pPr>
        <w:spacing w:after="0" w:line="1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PURETECH LYT,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Robert Lyne</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CEO</w:t>
      </w:r>
    </w:p>
    <w:p>
      <w:pPr>
        <w:sectPr>
          <w:pgSz w:w="11900" w:h="16838" w:orient="portrait"/>
          <w:cols w:equalWidth="0" w:num="1">
            <w:col w:w="9019"/>
          </w:cols>
          <w:pgMar w:left="1440" w:top="240" w:right="1440" w:bottom="1440" w:gutter="0" w:footer="0" w:header="0"/>
        </w:sectPr>
      </w:pPr>
    </w:p>
    <w:bookmarkStart w:id="534" w:name="page535"/>
    <w:bookmarkEnd w:id="534"/>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10.15</w:t>
      </w:r>
    </w:p>
    <w:p>
      <w:pPr>
        <w:spacing w:after="0" w:line="175" w:lineRule="exact"/>
        <w:rPr>
          <w:sz w:val="20"/>
          <w:szCs w:val="20"/>
          <w:color w:val="auto"/>
        </w:rPr>
      </w:pPr>
    </w:p>
    <w:p>
      <w:pPr>
        <w:jc w:val="center"/>
        <w:ind w:left="220" w:right="219"/>
        <w:spacing w:after="0" w:line="262" w:lineRule="auto"/>
        <w:rPr>
          <w:sz w:val="20"/>
          <w:szCs w:val="20"/>
          <w:color w:val="auto"/>
        </w:rPr>
      </w:pPr>
      <w:r>
        <w:rPr>
          <w:rFonts w:ascii="Times New Roman" w:cs="Times New Roman" w:eastAsia="Times New Roman" w:hAnsi="Times New Roman"/>
          <w:sz w:val="14"/>
          <w:szCs w:val="14"/>
          <w:b w:val="1"/>
          <w:bCs w:val="1"/>
          <w:color w:val="auto"/>
        </w:rPr>
        <w:t>CERTAIN IDENTIFIED INFORMATION HAS BEEN EXCLUDED (INDICATED BY: [***]) FROM THE EXHIBIT BECAUSE IT IS BOTH (I) NOT MATERIALS AND (II) THE TYPE OF INFORMATION THAT THE REGISTRANT CUSTOMARILY AND ACTUALLY TREATS AS PRIVATE OR CONFIDENTIAL.</w:t>
      </w:r>
    </w:p>
    <w:p>
      <w:pPr>
        <w:spacing w:after="0" w:line="13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Amended and Restated 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-114300</wp:posOffset>
            </wp:positionV>
            <wp:extent cx="4752975" cy="64084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752975" cy="6408420"/>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Monash University</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Seaport Therapeutics, Inc.</w:t>
      </w:r>
    </w:p>
    <w:p>
      <w:pPr>
        <w:sectPr>
          <w:pgSz w:w="11900" w:h="16838" w:orient="portrait"/>
          <w:cols w:equalWidth="0" w:num="1">
            <w:col w:w="9019"/>
          </w:cols>
          <w:pgMar w:left="1440" w:top="123" w:right="1440" w:bottom="1440" w:gutter="0" w:footer="0" w:header="0"/>
        </w:sectPr>
      </w:pPr>
    </w:p>
    <w:bookmarkStart w:id="535" w:name="page536"/>
    <w:bookmarkEnd w:id="535"/>
    <w:tbl>
      <w:tblPr>
        <w:tblLayout w:type="fixed"/>
        <w:tblInd w:w="220" w:type="dxa"/>
        <w:tblCellMar>
          <w:top w:w="0" w:type="dxa"/>
          <w:left w:w="0" w:type="dxa"/>
          <w:bottom w:w="0" w:type="dxa"/>
          <w:right w:w="0" w:type="dxa"/>
        </w:tblCellMar>
      </w:tblPr>
      <w:tr>
        <w:trPr>
          <w:trHeight w:val="148"/>
        </w:trPr>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Contents</w:t>
            </w:r>
          </w:p>
        </w:tc>
        <w:tc>
          <w:tcPr>
            <w:tcW w:w="64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9"/>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1. </w:t>
            </w: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Definitions and Interpretation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8"/>
        </w:trPr>
        <w:tc>
          <w:tcPr>
            <w:tcW w:w="18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Definitions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1.2</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Interpretation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1.3</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Headings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1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1.4</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Business Days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2. </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3"/>
              </w:rPr>
              <w:t> Term</w:t>
            </w:r>
          </w:p>
        </w:tc>
        <w:tc>
          <w:tcPr>
            <w:tcW w:w="6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3. </w:t>
            </w: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Commercialisation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3.1</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Reasonable Commercial Endeavours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3.2</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Failure to Use Reasonable Commercial Endeavours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3.3</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Applicable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3"/>
        </w:trPr>
        <w:tc>
          <w:tcPr>
            <w:tcW w:w="1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3.4</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Reporting of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52"/>
        </w:trPr>
        <w:tc>
          <w:tcPr>
            <w:tcW w:w="7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4.    Monash’s Rights and 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r>
      <w:tr>
        <w:trPr>
          <w:trHeight w:val="238"/>
        </w:trPr>
        <w:tc>
          <w:tcPr>
            <w:tcW w:w="18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4.1</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Technical assistance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3"/>
        </w:trPr>
        <w:tc>
          <w:tcPr>
            <w:tcW w:w="1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4.2</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Limitation of liability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5. </w:t>
            </w: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Licence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238"/>
        </w:trPr>
        <w:tc>
          <w:tcPr>
            <w:tcW w:w="18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5.1</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Licence granted to Licensee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5.2</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Right to sub-license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5.3</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Prosecution and Maintenance of the Licensed Patents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5.4</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Entitlement to license Licensed Patents, Licensed Information, and Background Technology</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3"/>
        </w:trPr>
        <w:tc>
          <w:tcPr>
            <w:tcW w:w="1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5.5</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Licence granted to Monash</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6. </w:t>
            </w: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Research Projects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238"/>
        </w:trPr>
        <w:tc>
          <w:tcPr>
            <w:tcW w:w="18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6.1</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Ownership of Project IP</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6.2</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Project IP subject to Licence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6.3</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Parties to collaborate in the Research Project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6.4</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Research Results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6.5</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Resources and personnel</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6.6</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Research premises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6.7</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Conduct of Research Project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6.8</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Project Management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6.9</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Project Committee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6.10</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Modification of Research Project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1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6.11</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Records and Accounts; Information Reporting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7. </w:t>
            </w:r>
          </w:p>
        </w:tc>
        <w:tc>
          <w:tcPr>
            <w:tcW w:w="6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238"/>
        </w:trPr>
        <w:tc>
          <w:tcPr>
            <w:tcW w:w="18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7.1</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Research Funding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7.2</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Maintenance Fee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7.3</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Ongoing Net Income Sharing and Royalty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7.4</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Milestone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18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7.5</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Licensee Paid-Up Licence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3"/>
        </w:trPr>
        <w:tc>
          <w:tcPr>
            <w:tcW w:w="18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7.6</w:t>
            </w:r>
          </w:p>
        </w:tc>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Deduction of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right"/>
        <w:ind w:right="219"/>
        <w:spacing w:after="0"/>
        <w:rPr>
          <w:sz w:val="20"/>
          <w:szCs w:val="20"/>
          <w:color w:val="auto"/>
        </w:rPr>
      </w:pPr>
      <w:r>
        <w:rPr>
          <w:rFonts w:ascii="Times New Roman" w:cs="Times New Roman" w:eastAsia="Times New Roman" w:hAnsi="Times New Roman"/>
          <w:sz w:val="14"/>
          <w:szCs w:val="14"/>
          <w:color w:val="auto"/>
        </w:rPr>
        <w:t>Page i</w:t>
      </w:r>
    </w:p>
    <w:p>
      <w:pPr>
        <w:sectPr>
          <w:pgSz w:w="11900" w:h="16838" w:orient="portrait"/>
          <w:cols w:equalWidth="0" w:num="1">
            <w:col w:w="9019"/>
          </w:cols>
          <w:pgMar w:left="1440" w:top="236" w:right="1440" w:bottom="1440" w:gutter="0" w:footer="0" w:header="0"/>
        </w:sectPr>
      </w:pPr>
    </w:p>
    <w:bookmarkStart w:id="536" w:name="page537"/>
    <w:bookmarkEnd w:id="536"/>
    <w:tbl>
      <w:tblPr>
        <w:tblLayout w:type="fixed"/>
        <w:tblInd w:w="220" w:type="dxa"/>
        <w:tblCellMar>
          <w:top w:w="0" w:type="dxa"/>
          <w:left w:w="0" w:type="dxa"/>
          <w:bottom w:w="0" w:type="dxa"/>
          <w:right w:w="0" w:type="dxa"/>
        </w:tblCellMar>
      </w:tblP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7.7</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of Products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7.8</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Timing of payments and interest</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7.9</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Royalty Reports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7.10</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Currency and form of payment</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7.11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Books of account</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7.12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Inspection and audit of books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8. </w:t>
            </w: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Intellectual Property Infringement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r>
      <w:tr>
        <w:trPr>
          <w:trHeight w:val="238"/>
        </w:trPr>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Notification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Actions and assistance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8.3</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Indemnity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52"/>
        </w:trPr>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0"/>
              </w:rPr>
              <w:t>9. </w:t>
            </w: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Confidentiality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238"/>
        </w:trPr>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Publications and publicity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Proposed publications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Thesis publication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10.3</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Use of name of the other party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10.4</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endorsement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10.5</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Patent Listings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2"/>
        </w:trPr>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11.   Indemnity and Insurance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r>
      <w:tr>
        <w:trPr>
          <w:trHeight w:val="238"/>
        </w:trPr>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Indemnity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Release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11.3</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Continuing Indemnity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11.4</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Insurance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52"/>
        </w:trPr>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12.   Termination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238"/>
        </w:trPr>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12.1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Termination for Due Cause or Otherwise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12.2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Discontinuing the Activities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12.3</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Consequences of Termination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12.4</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Rights prior to Termination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13.   Force Majeure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238"/>
        </w:trPr>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13.1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 of Force Majeure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13.2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Remedial action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2"/>
        </w:trPr>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14.   Dispute Resolution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238"/>
        </w:trPr>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14.1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 faith negotiation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8"/>
        </w:trPr>
        <w:tc>
          <w:tcPr>
            <w:tcW w:w="1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14.2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Disputes generally</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14.3</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Mediation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52"/>
        </w:trPr>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15.   Notices</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r>
      <w:tr>
        <w:trPr>
          <w:trHeight w:val="238"/>
        </w:trPr>
        <w:tc>
          <w:tcPr>
            <w:tcW w:w="1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15.1</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Method</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3"/>
        </w:trPr>
        <w:tc>
          <w:tcPr>
            <w:tcW w:w="180" w:type="dxa"/>
            <w:vAlign w:val="bottom"/>
          </w:tcPr>
          <w:p>
            <w:pPr>
              <w:spacing w:after="0"/>
              <w:rPr>
                <w:sz w:val="15"/>
                <w:szCs w:val="15"/>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15.2</w:t>
            </w:r>
          </w:p>
        </w:tc>
        <w:tc>
          <w:tcPr>
            <w:tcW w:w="5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Address for service</w:t>
            </w: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right"/>
        <w:ind w:right="219"/>
        <w:spacing w:after="0"/>
        <w:rPr>
          <w:sz w:val="20"/>
          <w:szCs w:val="20"/>
          <w:color w:val="auto"/>
        </w:rPr>
      </w:pPr>
      <w:r>
        <w:rPr>
          <w:rFonts w:ascii="Times New Roman" w:cs="Times New Roman" w:eastAsia="Times New Roman" w:hAnsi="Times New Roman"/>
          <w:sz w:val="14"/>
          <w:szCs w:val="14"/>
          <w:color w:val="auto"/>
        </w:rPr>
        <w:t>Page ii</w:t>
      </w:r>
    </w:p>
    <w:p>
      <w:pPr>
        <w:sectPr>
          <w:pgSz w:w="11900" w:h="16838" w:orient="portrait"/>
          <w:cols w:equalWidth="0" w:num="1">
            <w:col w:w="9019"/>
          </w:cols>
          <w:pgMar w:left="1440" w:top="241" w:right="1440" w:bottom="1440" w:gutter="0" w:footer="0" w:header="0"/>
        </w:sectPr>
      </w:pPr>
    </w:p>
    <w:bookmarkStart w:id="537" w:name="page538"/>
    <w:bookmarkEnd w:id="537"/>
    <w:tbl>
      <w:tblPr>
        <w:tblLayout w:type="fixed"/>
        <w:tblInd w:w="220" w:type="dxa"/>
        <w:tblCellMar>
          <w:top w:w="0" w:type="dxa"/>
          <w:left w:w="0" w:type="dxa"/>
          <w:bottom w:w="0" w:type="dxa"/>
          <w:right w:w="0" w:type="dxa"/>
        </w:tblCellMar>
      </w:tblPr>
      <w:tr>
        <w:trPr>
          <w:trHeight w:val="170"/>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16.   General</w:t>
            </w:r>
          </w:p>
        </w:tc>
        <w:tc>
          <w:tcPr>
            <w:tcW w:w="492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16.1</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16.2</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Assignment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16.3</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Governing law</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16.4</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492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16.5</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Further assurance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16.6</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Waiver of rights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16.7</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Original Agreement; Entire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16.8</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16.9</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Relationship</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8"/>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16.10</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Counterparts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3"/>
        </w:trPr>
        <w:tc>
          <w:tcPr>
            <w:tcW w:w="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16.11</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Attorneys</w:t>
            </w: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343"/>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Schedule 1</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6"/>
              </w:rPr>
              <w:t>—  </w:t>
            </w:r>
          </w:p>
        </w:tc>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Project Details</w:t>
            </w:r>
          </w:p>
        </w:tc>
        <w:tc>
          <w:tcPr>
            <w:tcW w:w="2580" w:type="dxa"/>
            <w:vAlign w:val="bottom"/>
          </w:tcPr>
          <w:p>
            <w:pPr>
              <w:spacing w:after="0"/>
              <w:rPr>
                <w:sz w:val="24"/>
                <w:szCs w:val="24"/>
                <w:color w:val="auto"/>
              </w:rPr>
            </w:pPr>
          </w:p>
        </w:tc>
      </w:tr>
      <w:tr>
        <w:trPr>
          <w:trHeight w:val="168"/>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Schedule 2</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6"/>
              </w:rPr>
              <w:t>—  </w:t>
            </w:r>
          </w:p>
        </w:tc>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Application of Definitions and Calculations</w:t>
            </w:r>
          </w:p>
        </w:tc>
        <w:tc>
          <w:tcPr>
            <w:tcW w:w="2580" w:type="dxa"/>
            <w:vAlign w:val="bottom"/>
          </w:tcPr>
          <w:p>
            <w:pPr>
              <w:spacing w:after="0"/>
              <w:rPr>
                <w:sz w:val="14"/>
                <w:szCs w:val="14"/>
                <w:color w:val="auto"/>
              </w:rPr>
            </w:pPr>
          </w:p>
        </w:tc>
      </w:tr>
      <w:tr>
        <w:trPr>
          <w:trHeight w:val="168"/>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Schedule 3</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6"/>
              </w:rPr>
              <w:t>—  </w:t>
            </w:r>
          </w:p>
        </w:tc>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Development Plan</w:t>
            </w:r>
          </w:p>
        </w:tc>
        <w:tc>
          <w:tcPr>
            <w:tcW w:w="2580" w:type="dxa"/>
            <w:vAlign w:val="bottom"/>
          </w:tcPr>
          <w:p>
            <w:pPr>
              <w:spacing w:after="0"/>
              <w:rPr>
                <w:sz w:val="14"/>
                <w:szCs w:val="14"/>
                <w:color w:val="auto"/>
              </w:rPr>
            </w:pPr>
          </w:p>
        </w:tc>
      </w:tr>
      <w:tr>
        <w:trPr>
          <w:trHeight w:val="183"/>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Schedule 4</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6"/>
              </w:rPr>
              <w:t>—  </w:t>
            </w:r>
          </w:p>
        </w:tc>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Patents</w:t>
            </w:r>
          </w:p>
        </w:tc>
        <w:tc>
          <w:tcPr>
            <w:tcW w:w="2580" w:type="dxa"/>
            <w:vAlign w:val="bottom"/>
          </w:tcPr>
          <w:p>
            <w:pPr>
              <w:spacing w:after="0"/>
              <w:rPr>
                <w:sz w:val="15"/>
                <w:szCs w:val="15"/>
                <w:color w:val="auto"/>
              </w:rPr>
            </w:pP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right"/>
        <w:ind w:right="219"/>
        <w:spacing w:after="0"/>
        <w:rPr>
          <w:sz w:val="20"/>
          <w:szCs w:val="20"/>
          <w:color w:val="auto"/>
        </w:rPr>
      </w:pPr>
      <w:r>
        <w:rPr>
          <w:rFonts w:ascii="Times New Roman" w:cs="Times New Roman" w:eastAsia="Times New Roman" w:hAnsi="Times New Roman"/>
          <w:sz w:val="14"/>
          <w:szCs w:val="14"/>
          <w:color w:val="auto"/>
        </w:rPr>
        <w:t>Page iii</w:t>
      </w:r>
    </w:p>
    <w:p>
      <w:pPr>
        <w:sectPr>
          <w:pgSz w:w="11900" w:h="16838" w:orient="portrait"/>
          <w:cols w:equalWidth="0" w:num="1">
            <w:col w:w="9019"/>
          </w:cols>
          <w:pgMar w:left="1440" w:top="239" w:right="1440" w:bottom="1440" w:gutter="0" w:footer="0" w:header="0"/>
        </w:sectPr>
      </w:pPr>
    </w:p>
    <w:bookmarkStart w:id="538" w:name="page539"/>
    <w:bookmarkEnd w:id="538"/>
    <w:p>
      <w:pPr>
        <w:jc w:val="both"/>
        <w:ind w:left="220" w:right="23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This Amended and Restated License Agreement, effective as of 3 March 2025 (the “</w:t>
      </w:r>
      <w:r>
        <w:rPr>
          <w:rFonts w:ascii="Times New Roman" w:cs="Times New Roman" w:eastAsia="Times New Roman" w:hAnsi="Times New Roman"/>
          <w:sz w:val="14"/>
          <w:szCs w:val="14"/>
          <w:b w:val="1"/>
          <w:bCs w:val="1"/>
          <w:color w:val="auto"/>
        </w:rPr>
        <w:t>Restatement Date</w:t>
      </w:r>
      <w:r>
        <w:rPr>
          <w:rFonts w:ascii="Times New Roman" w:cs="Times New Roman" w:eastAsia="Times New Roman" w:hAnsi="Times New Roman"/>
          <w:sz w:val="14"/>
          <w:szCs w:val="14"/>
          <w:color w:val="auto"/>
        </w:rPr>
        <w:t>”), is by and between the parties identified below (each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pursuant to which the Parties agree to amend and restate the Original Agreement (as defined below) in its entirety.</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Parties</w:t>
      </w:r>
    </w:p>
    <w:p>
      <w:pPr>
        <w:spacing w:after="0" w:line="102" w:lineRule="exact"/>
        <w:rPr>
          <w:sz w:val="20"/>
          <w:szCs w:val="20"/>
          <w:color w:val="auto"/>
        </w:rPr>
      </w:pPr>
    </w:p>
    <w:p>
      <w:pPr>
        <w:ind w:left="560" w:right="699" w:hanging="345"/>
        <w:spacing w:after="0" w:line="286" w:lineRule="auto"/>
        <w:tabs>
          <w:tab w:leader="none" w:pos="560"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Monash University </w:t>
      </w:r>
      <w:r>
        <w:rPr>
          <w:rFonts w:ascii="Times New Roman" w:cs="Times New Roman" w:eastAsia="Times New Roman" w:hAnsi="Times New Roman"/>
          <w:sz w:val="14"/>
          <w:szCs w:val="14"/>
          <w:color w:val="auto"/>
        </w:rPr>
        <w:t>ABN 12 377 614 012, a body politic and corporate constituted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Monash University Act 2009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Wellington Road, Clayton, Victoria, Australia 3800 (“</w:t>
      </w:r>
      <w:r>
        <w:rPr>
          <w:rFonts w:ascii="Times New Roman" w:cs="Times New Roman" w:eastAsia="Times New Roman" w:hAnsi="Times New Roman"/>
          <w:sz w:val="14"/>
          <w:szCs w:val="14"/>
          <w:b w:val="1"/>
          <w:bCs w:val="1"/>
          <w:color w:val="auto"/>
        </w:rPr>
        <w:t>Monash</w:t>
      </w:r>
      <w:r>
        <w:rPr>
          <w:rFonts w:ascii="Times New Roman" w:cs="Times New Roman" w:eastAsia="Times New Roman" w:hAnsi="Times New Roman"/>
          <w:sz w:val="14"/>
          <w:szCs w:val="14"/>
          <w:color w:val="auto"/>
        </w:rPr>
        <w:t>”)</w:t>
      </w:r>
    </w:p>
    <w:p>
      <w:pPr>
        <w:spacing w:after="0" w:line="47" w:lineRule="exact"/>
        <w:rPr>
          <w:rFonts w:ascii="Times New Roman" w:cs="Times New Roman" w:eastAsia="Times New Roman" w:hAnsi="Times New Roman"/>
          <w:sz w:val="14"/>
          <w:szCs w:val="14"/>
          <w:color w:val="auto"/>
        </w:rPr>
      </w:pPr>
    </w:p>
    <w:p>
      <w:pPr>
        <w:ind w:left="560" w:hanging="345"/>
        <w:spacing w:after="0"/>
        <w:tabs>
          <w:tab w:leader="none" w:pos="560"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Seaport Therapeutics, Inc., </w:t>
      </w:r>
      <w:r>
        <w:rPr>
          <w:rFonts w:ascii="Times New Roman" w:cs="Times New Roman" w:eastAsia="Times New Roman" w:hAnsi="Times New Roman"/>
          <w:sz w:val="14"/>
          <w:szCs w:val="14"/>
          <w:color w:val="auto"/>
        </w:rPr>
        <w:t>a Delaware corporation with an address at 101 Seaport Blvd., Floor 12, Boston, MA 02210 (“</w:t>
      </w:r>
      <w:r>
        <w:rPr>
          <w:rFonts w:ascii="Times New Roman" w:cs="Times New Roman" w:eastAsia="Times New Roman" w:hAnsi="Times New Roman"/>
          <w:sz w:val="14"/>
          <w:szCs w:val="14"/>
          <w:b w:val="1"/>
          <w:bCs w:val="1"/>
          <w:color w:val="auto"/>
        </w:rPr>
        <w:t>Licensee</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04" w:lineRule="exact"/>
        <w:rPr>
          <w:sz w:val="20"/>
          <w:szCs w:val="20"/>
          <w:color w:val="auto"/>
        </w:rPr>
      </w:pPr>
    </w:p>
    <w:p>
      <w:pPr>
        <w:ind w:left="560" w:hanging="345"/>
        <w:spacing w:after="0"/>
        <w:tabs>
          <w:tab w:leader="none" w:pos="56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Monash is the owner of the Licensed Patents, Licensed Information, and Background Technology.</w:t>
      </w:r>
    </w:p>
    <w:p>
      <w:pPr>
        <w:spacing w:after="0" w:line="99" w:lineRule="exact"/>
        <w:rPr>
          <w:rFonts w:ascii="Times New Roman" w:cs="Times New Roman" w:eastAsia="Times New Roman" w:hAnsi="Times New Roman"/>
          <w:sz w:val="14"/>
          <w:szCs w:val="14"/>
          <w:color w:val="auto"/>
        </w:rPr>
      </w:pPr>
    </w:p>
    <w:p>
      <w:pPr>
        <w:ind w:left="560" w:right="239" w:hanging="345"/>
        <w:spacing w:after="0" w:line="268" w:lineRule="auto"/>
        <w:tabs>
          <w:tab w:leader="none" w:pos="56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Monash and PureTech Health LLC (“</w:t>
      </w:r>
      <w:r>
        <w:rPr>
          <w:rFonts w:ascii="Times New Roman" w:cs="Times New Roman" w:eastAsia="Times New Roman" w:hAnsi="Times New Roman"/>
          <w:sz w:val="14"/>
          <w:szCs w:val="14"/>
          <w:b w:val="1"/>
          <w:bCs w:val="1"/>
          <w:color w:val="auto"/>
        </w:rPr>
        <w:t>PureTech</w:t>
      </w:r>
      <w:r>
        <w:rPr>
          <w:rFonts w:ascii="Times New Roman" w:cs="Times New Roman" w:eastAsia="Times New Roman" w:hAnsi="Times New Roman"/>
          <w:sz w:val="14"/>
          <w:szCs w:val="14"/>
          <w:color w:val="auto"/>
        </w:rPr>
        <w:t>”) entered into a Licence Agreement, dated August 1, 2017 (the “</w:t>
      </w:r>
      <w:r>
        <w:rPr>
          <w:rFonts w:ascii="Times New Roman" w:cs="Times New Roman" w:eastAsia="Times New Roman" w:hAnsi="Times New Roman"/>
          <w:sz w:val="14"/>
          <w:szCs w:val="14"/>
          <w:b w:val="1"/>
          <w:bCs w:val="1"/>
          <w:color w:val="auto"/>
        </w:rPr>
        <w:t>Commencement Date</w:t>
      </w:r>
      <w:r>
        <w:rPr>
          <w:rFonts w:ascii="Times New Roman" w:cs="Times New Roman" w:eastAsia="Times New Roman" w:hAnsi="Times New Roman"/>
          <w:sz w:val="14"/>
          <w:szCs w:val="14"/>
          <w:color w:val="auto"/>
        </w:rPr>
        <w:t>”), which was amended pursuant to Amendment No. 1 dated July 31, 2018, Amendment No. 2 dated April 8, 2019, Amendment No. 3 dated August 1, 2020, Amendment No. 4 signed in 2021, and Amendment No. 5 dated July 20, 2022 (collectively, the “</w:t>
      </w:r>
      <w:r>
        <w:rPr>
          <w:rFonts w:ascii="Times New Roman" w:cs="Times New Roman" w:eastAsia="Times New Roman" w:hAnsi="Times New Roman"/>
          <w:sz w:val="14"/>
          <w:szCs w:val="14"/>
          <w:b w:val="1"/>
          <w:bCs w:val="1"/>
          <w:color w:val="auto"/>
        </w:rPr>
        <w:t>Original Agreement</w:t>
      </w: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jc w:val="both"/>
        <w:ind w:left="560" w:right="279" w:hanging="345"/>
        <w:spacing w:after="0" w:line="267" w:lineRule="auto"/>
        <w:tabs>
          <w:tab w:leader="none" w:pos="56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Asset Transfer Agreement between PureTech and Licensee dated April 8, 2024, PureTech assigned all its rights under the Original Agreement to Licensee and Licensee assumed all of PureTech’s obligations under the Original Agreement. Monash consented to such assignment through a consent document executed by Monash on March 28, 2024.</w:t>
      </w:r>
    </w:p>
    <w:p>
      <w:pPr>
        <w:spacing w:after="0" w:line="61" w:lineRule="exact"/>
        <w:rPr>
          <w:rFonts w:ascii="Times New Roman" w:cs="Times New Roman" w:eastAsia="Times New Roman" w:hAnsi="Times New Roman"/>
          <w:sz w:val="14"/>
          <w:szCs w:val="14"/>
          <w:color w:val="auto"/>
        </w:rPr>
      </w:pPr>
    </w:p>
    <w:p>
      <w:pPr>
        <w:ind w:left="560" w:hanging="345"/>
        <w:spacing w:after="0"/>
        <w:tabs>
          <w:tab w:leader="none" w:pos="56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enter into this Agreement to amend and restate the Original Agreement in its entirety on and with effect from the Restatement Date.</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Operative Clauses</w:t>
      </w:r>
    </w:p>
    <w:p>
      <w:pPr>
        <w:spacing w:after="0" w:line="102" w:lineRule="exact"/>
        <w:rPr>
          <w:sz w:val="20"/>
          <w:szCs w:val="20"/>
          <w:color w:val="auto"/>
        </w:rPr>
      </w:pPr>
    </w:p>
    <w:p>
      <w:pPr>
        <w:ind w:left="220" w:right="6659" w:hanging="5"/>
        <w:spacing w:after="0" w:line="385" w:lineRule="auto"/>
        <w:tabs>
          <w:tab w:leader="none" w:pos="556" w:val="left"/>
        </w:tabs>
        <w:numPr>
          <w:ilvl w:val="0"/>
          <w:numId w:val="4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 and Interpretation 1.1 Definitions</w:t>
      </w:r>
    </w:p>
    <w:p>
      <w:pPr>
        <w:ind w:left="560" w:right="5279"/>
        <w:spacing w:after="0" w:line="43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 xml:space="preserve">In this Agreement, unless the context otherwise requires; </w:t>
      </w:r>
      <w:r>
        <w:rPr>
          <w:rFonts w:ascii="Times New Roman" w:cs="Times New Roman" w:eastAsia="Times New Roman" w:hAnsi="Times New Roman"/>
          <w:sz w:val="13"/>
          <w:szCs w:val="13"/>
          <w:b w:val="1"/>
          <w:bCs w:val="1"/>
          <w:color w:val="auto"/>
        </w:rPr>
        <w:t xml:space="preserve">Activities </w:t>
      </w:r>
      <w:r>
        <w:rPr>
          <w:rFonts w:ascii="Times New Roman" w:cs="Times New Roman" w:eastAsia="Times New Roman" w:hAnsi="Times New Roman"/>
          <w:sz w:val="13"/>
          <w:szCs w:val="13"/>
          <w:color w:val="auto"/>
        </w:rPr>
        <w:t>means the activities set out in Clause 3.1;</w:t>
      </w:r>
    </w:p>
    <w:p>
      <w:pPr>
        <w:jc w:val="right"/>
        <w:ind w:right="219"/>
        <w:spacing w:after="0"/>
        <w:rPr>
          <w:sz w:val="20"/>
          <w:szCs w:val="20"/>
          <w:color w:val="auto"/>
        </w:rPr>
      </w:pPr>
      <w:r>
        <w:rPr>
          <w:rFonts w:ascii="Times New Roman" w:cs="Times New Roman" w:eastAsia="Times New Roman" w:hAnsi="Times New Roman"/>
          <w:sz w:val="14"/>
          <w:szCs w:val="14"/>
          <w:color w:val="auto"/>
        </w:rPr>
        <w:t>Page 1</w:t>
      </w:r>
    </w:p>
    <w:p>
      <w:pPr>
        <w:sectPr>
          <w:pgSz w:w="11900" w:h="16838" w:orient="portrait"/>
          <w:cols w:equalWidth="0" w:num="1">
            <w:col w:w="9019"/>
          </w:cols>
          <w:pgMar w:left="1440" w:top="239" w:right="1440" w:bottom="1440" w:gutter="0" w:footer="0" w:header="0"/>
        </w:sectPr>
      </w:pPr>
    </w:p>
    <w:bookmarkStart w:id="539" w:name="page540"/>
    <w:bookmarkEnd w:id="539"/>
    <w:p>
      <w:pPr>
        <w:jc w:val="both"/>
        <w:ind w:left="560" w:right="259"/>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Affiliate </w:t>
      </w:r>
      <w:r>
        <w:rPr>
          <w:rFonts w:ascii="Times New Roman" w:cs="Times New Roman" w:eastAsia="Times New Roman" w:hAnsi="Times New Roman"/>
          <w:sz w:val="14"/>
          <w:szCs w:val="14"/>
          <w:color w:val="auto"/>
        </w:rPr>
        <w:t>means any entity that, directly or indirectly, controls, is controlled by or is under common control with a party for so long as such control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exists, where “control” for purposes of this Agreement means the decision making authority as to such entity including in relation to financial and operational policies and, further, where such control shall be presumed to exist where an entity owns more than 50% of the equity entitled to vote regarding composition of the board of directors or other body entitled to direct the affairs of the entity;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Agreement </w:t>
      </w:r>
      <w:r>
        <w:rPr>
          <w:rFonts w:ascii="Times New Roman" w:cs="Times New Roman" w:eastAsia="Times New Roman" w:hAnsi="Times New Roman"/>
          <w:sz w:val="14"/>
          <w:szCs w:val="14"/>
          <w:color w:val="auto"/>
        </w:rPr>
        <w:t>means this agreement and includes all schedules, annexures and attachments to this agreement;</w:t>
      </w:r>
    </w:p>
    <w:p>
      <w:pPr>
        <w:spacing w:after="0" w:line="91" w:lineRule="exact"/>
        <w:rPr>
          <w:sz w:val="20"/>
          <w:szCs w:val="20"/>
          <w:color w:val="auto"/>
        </w:rPr>
      </w:pPr>
    </w:p>
    <w:p>
      <w:pPr>
        <w:ind w:left="560" w:right="83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Applicable Laws </w:t>
      </w:r>
      <w:r>
        <w:rPr>
          <w:rFonts w:ascii="Times New Roman" w:cs="Times New Roman" w:eastAsia="Times New Roman" w:hAnsi="Times New Roman"/>
          <w:sz w:val="14"/>
          <w:szCs w:val="14"/>
          <w:color w:val="auto"/>
        </w:rPr>
        <w:t>means all laws, regulations, statutes, by-laws, codes of conduct and industry standards applicable to the development,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manufacture and/or sale of the Products;</w:t>
      </w:r>
    </w:p>
    <w:p>
      <w:pPr>
        <w:spacing w:after="0" w:line="37" w:lineRule="exact"/>
        <w:rPr>
          <w:sz w:val="20"/>
          <w:szCs w:val="20"/>
          <w:color w:val="auto"/>
        </w:rPr>
      </w:pPr>
    </w:p>
    <w:p>
      <w:pPr>
        <w:ind w:left="560" w:right="439"/>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Background Technology </w:t>
      </w:r>
      <w:r>
        <w:rPr>
          <w:rFonts w:ascii="Times New Roman" w:cs="Times New Roman" w:eastAsia="Times New Roman" w:hAnsi="Times New Roman"/>
          <w:sz w:val="14"/>
          <w:szCs w:val="14"/>
          <w:color w:val="auto"/>
        </w:rPr>
        <w:t>means all drawings, specifications, processes, techniques, samples, specimens, prototypes, designs, research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results, test results, and other technical and scientific information which have been produced, developed, acquired, licensed or are otherwise held by Monash at the Commencement Date (subject to any prior licences to third parties the scope of which licences have been disclosed by Monash to Licensee);</w:t>
      </w:r>
    </w:p>
    <w:p>
      <w:pPr>
        <w:spacing w:after="0" w:line="54" w:lineRule="exact"/>
        <w:rPr>
          <w:sz w:val="20"/>
          <w:szCs w:val="20"/>
          <w:color w:val="auto"/>
        </w:rPr>
      </w:pPr>
    </w:p>
    <w:p>
      <w:pPr>
        <w:ind w:left="560" w:right="25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Books of Account </w:t>
      </w:r>
      <w:r>
        <w:rPr>
          <w:rFonts w:ascii="Times New Roman" w:cs="Times New Roman" w:eastAsia="Times New Roman" w:hAnsi="Times New Roman"/>
          <w:sz w:val="14"/>
          <w:szCs w:val="14"/>
          <w:color w:val="auto"/>
        </w:rPr>
        <w:t>with respect to Net Income and Net Sales means all usual books and records and which are required to fully record and explain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transactions and terms comprising Net Income and Net Sales;</w:t>
      </w:r>
    </w:p>
    <w:p>
      <w:pPr>
        <w:spacing w:after="0" w:line="37" w:lineRule="exact"/>
        <w:rPr>
          <w:sz w:val="20"/>
          <w:szCs w:val="20"/>
          <w:color w:val="auto"/>
        </w:rPr>
      </w:pPr>
    </w:p>
    <w:p>
      <w:pPr>
        <w:ind w:left="560" w:right="2959"/>
        <w:spacing w:after="0" w:line="380" w:lineRule="auto"/>
        <w:rPr>
          <w:sz w:val="20"/>
          <w:szCs w:val="20"/>
          <w:color w:val="auto"/>
        </w:rPr>
      </w:pPr>
      <w:r>
        <w:rPr>
          <w:rFonts w:ascii="Times New Roman" w:cs="Times New Roman" w:eastAsia="Times New Roman" w:hAnsi="Times New Roman"/>
          <w:sz w:val="14"/>
          <w:szCs w:val="14"/>
          <w:b w:val="1"/>
          <w:bCs w:val="1"/>
          <w:color w:val="auto"/>
        </w:rPr>
        <w:t xml:space="preserve">Business Day </w:t>
      </w:r>
      <w:r>
        <w:rPr>
          <w:rFonts w:ascii="Times New Roman" w:cs="Times New Roman" w:eastAsia="Times New Roman" w:hAnsi="Times New Roman"/>
          <w:sz w:val="14"/>
          <w:szCs w:val="14"/>
          <w:color w:val="auto"/>
        </w:rPr>
        <w:t>means a day that is not a Saturday, Sunday or public holiday in Melbourne;</w:t>
      </w:r>
      <w:r>
        <w:rPr>
          <w:rFonts w:ascii="Times New Roman" w:cs="Times New Roman" w:eastAsia="Times New Roman" w:hAnsi="Times New Roman"/>
          <w:sz w:val="14"/>
          <w:szCs w:val="14"/>
          <w:b w:val="1"/>
          <w:bCs w:val="1"/>
          <w:color w:val="auto"/>
        </w:rPr>
        <w:t xml:space="preserve"> Calendar Year </w:t>
      </w:r>
      <w:r>
        <w:rPr>
          <w:rFonts w:ascii="Times New Roman" w:cs="Times New Roman" w:eastAsia="Times New Roman" w:hAnsi="Times New Roman"/>
          <w:sz w:val="14"/>
          <w:szCs w:val="14"/>
          <w:color w:val="auto"/>
        </w:rPr>
        <w:t>means each year or part year after the Commencement Date ending 31 December;</w:t>
      </w:r>
      <w:r>
        <w:rPr>
          <w:rFonts w:ascii="Times New Roman" w:cs="Times New Roman" w:eastAsia="Times New Roman" w:hAnsi="Times New Roman"/>
          <w:sz w:val="14"/>
          <w:szCs w:val="14"/>
          <w:b w:val="1"/>
          <w:bCs w:val="1"/>
          <w:color w:val="auto"/>
        </w:rPr>
        <w:t xml:space="preserve"> Commencement Date </w:t>
      </w:r>
      <w:r>
        <w:rPr>
          <w:rFonts w:ascii="Times New Roman" w:cs="Times New Roman" w:eastAsia="Times New Roman" w:hAnsi="Times New Roman"/>
          <w:sz w:val="14"/>
          <w:szCs w:val="14"/>
          <w:color w:val="auto"/>
        </w:rPr>
        <w:t>has the meaning set forth in the recitals;</w:t>
      </w:r>
      <w:r>
        <w:rPr>
          <w:rFonts w:ascii="Times New Roman" w:cs="Times New Roman" w:eastAsia="Times New Roman" w:hAnsi="Times New Roman"/>
          <w:sz w:val="14"/>
          <w:szCs w:val="14"/>
          <w:b w:val="1"/>
          <w:bCs w:val="1"/>
          <w:color w:val="auto"/>
        </w:rPr>
        <w:t xml:space="preserve"> Commercialise </w:t>
      </w:r>
      <w:r>
        <w:rPr>
          <w:rFonts w:ascii="Times New Roman" w:cs="Times New Roman" w:eastAsia="Times New Roman" w:hAnsi="Times New Roman"/>
          <w:sz w:val="14"/>
          <w:szCs w:val="14"/>
          <w:color w:val="auto"/>
        </w:rPr>
        <w:t>means:</w:t>
      </w:r>
    </w:p>
    <w:p>
      <w:pPr>
        <w:spacing w:after="0" w:line="2" w:lineRule="exact"/>
        <w:rPr>
          <w:sz w:val="20"/>
          <w:szCs w:val="20"/>
          <w:color w:val="auto"/>
        </w:rPr>
      </w:pPr>
    </w:p>
    <w:p>
      <w:pPr>
        <w:ind w:left="980" w:hanging="429"/>
        <w:spacing w:after="0"/>
        <w:tabs>
          <w:tab w:leader="none" w:pos="98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research, develop, manufacture, have manufactured and use;</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sell, offer for sale, have sold, import, export and otherwise exploit or dispose of; or</w:t>
      </w:r>
    </w:p>
    <w:p>
      <w:pPr>
        <w:spacing w:after="0" w:line="99"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license any third party to do any of the things referred to in (a) or (b) above; and </w:t>
      </w:r>
      <w:r>
        <w:rPr>
          <w:rFonts w:ascii="Times New Roman" w:cs="Times New Roman" w:eastAsia="Times New Roman" w:hAnsi="Times New Roman"/>
          <w:sz w:val="14"/>
          <w:szCs w:val="14"/>
          <w:b w:val="1"/>
          <w:bCs w:val="1"/>
          <w:color w:val="auto"/>
        </w:rPr>
        <w:t>Commercialisation</w:t>
      </w:r>
      <w:r>
        <w:rPr>
          <w:rFonts w:ascii="Times New Roman" w:cs="Times New Roman" w:eastAsia="Times New Roman" w:hAnsi="Times New Roman"/>
          <w:sz w:val="14"/>
          <w:szCs w:val="14"/>
          <w:color w:val="auto"/>
        </w:rPr>
        <w:t xml:space="preserve"> shall be construed accordingly.</w:t>
      </w:r>
    </w:p>
    <w:p>
      <w:pPr>
        <w:spacing w:after="0" w:line="91" w:lineRule="exact"/>
        <w:rPr>
          <w:sz w:val="20"/>
          <w:szCs w:val="20"/>
          <w:color w:val="auto"/>
        </w:rPr>
      </w:pPr>
    </w:p>
    <w:p>
      <w:pPr>
        <w:ind w:left="560" w:right="31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Confidential Information </w:t>
      </w:r>
      <w:r>
        <w:rPr>
          <w:rFonts w:ascii="Times New Roman" w:cs="Times New Roman" w:eastAsia="Times New Roman" w:hAnsi="Times New Roman"/>
          <w:sz w:val="14"/>
          <w:szCs w:val="14"/>
          <w:color w:val="auto"/>
        </w:rPr>
        <w:t>means any confidential information, in any form or media relating to or representing the Background Technology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Intellectual Property therein, or other confidential information of either party, other than information which:</w:t>
      </w:r>
    </w:p>
    <w:p>
      <w:pPr>
        <w:spacing w:after="0" w:line="49" w:lineRule="exact"/>
        <w:rPr>
          <w:sz w:val="20"/>
          <w:szCs w:val="20"/>
          <w:color w:val="auto"/>
        </w:rPr>
      </w:pPr>
    </w:p>
    <w:p>
      <w:pPr>
        <w:ind w:left="980" w:right="359" w:hanging="429"/>
        <w:spacing w:after="0" w:line="283" w:lineRule="auto"/>
        <w:tabs>
          <w:tab w:leader="none" w:pos="980"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in the public domain at the time of its disclosure or subsequently comes into the public domain otherwise than through breach by the receiving party;</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9019"/>
          </w:cols>
          <w:pgMar w:left="1440" w:top="239" w:right="1440" w:bottom="1440" w:gutter="0" w:footer="0" w:header="0"/>
        </w:sectPr>
      </w:pPr>
    </w:p>
    <w:bookmarkStart w:id="540" w:name="page541"/>
    <w:bookmarkEnd w:id="540"/>
    <w:p>
      <w:pPr>
        <w:ind w:left="980" w:right="319" w:hanging="429"/>
        <w:spacing w:after="0" w:line="283" w:lineRule="auto"/>
        <w:tabs>
          <w:tab w:leader="none" w:pos="980"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came into the knowledge of the receiving party by lawful means from a third party and without breach of any obligation of confidentiality by any third party; or</w:t>
      </w:r>
    </w:p>
    <w:p>
      <w:pPr>
        <w:spacing w:after="0" w:line="51" w:lineRule="exact"/>
        <w:rPr>
          <w:rFonts w:ascii="Times New Roman" w:cs="Times New Roman" w:eastAsia="Times New Roman" w:hAnsi="Times New Roman"/>
          <w:sz w:val="14"/>
          <w:szCs w:val="14"/>
          <w:color w:val="auto"/>
        </w:rPr>
      </w:pPr>
    </w:p>
    <w:p>
      <w:pPr>
        <w:ind w:left="980" w:right="259" w:hanging="429"/>
        <w:spacing w:after="0" w:line="283" w:lineRule="auto"/>
        <w:tabs>
          <w:tab w:leader="none" w:pos="980"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in fact known to the receiving party, without breach of any obligation of confidentiality by any third party, prior to its disclosure to the receiving party;</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Field </w:t>
      </w:r>
      <w:r>
        <w:rPr>
          <w:rFonts w:ascii="Times New Roman" w:cs="Times New Roman" w:eastAsia="Times New Roman" w:hAnsi="Times New Roman"/>
          <w:sz w:val="14"/>
          <w:szCs w:val="14"/>
          <w:color w:val="auto"/>
        </w:rPr>
        <w:t>means [***];</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Field Exception </w:t>
      </w:r>
      <w:r>
        <w:rPr>
          <w:rFonts w:ascii="Times New Roman" w:cs="Times New Roman" w:eastAsia="Times New Roman" w:hAnsi="Times New Roman"/>
          <w:sz w:val="14"/>
          <w:szCs w:val="14"/>
          <w:color w:val="auto"/>
        </w:rPr>
        <w:t>means [***];</w:t>
      </w:r>
    </w:p>
    <w:p>
      <w:pPr>
        <w:spacing w:after="0" w:line="91" w:lineRule="exact"/>
        <w:rPr>
          <w:sz w:val="20"/>
          <w:szCs w:val="20"/>
          <w:color w:val="auto"/>
        </w:rPr>
      </w:pPr>
    </w:p>
    <w:p>
      <w:pPr>
        <w:ind w:left="560" w:right="27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First Commercial Sale </w:t>
      </w:r>
      <w:r>
        <w:rPr>
          <w:rFonts w:ascii="Times New Roman" w:cs="Times New Roman" w:eastAsia="Times New Roman" w:hAnsi="Times New Roman"/>
          <w:sz w:val="14"/>
          <w:szCs w:val="14"/>
          <w:color w:val="auto"/>
        </w:rPr>
        <w:t>shall mean, with respect to each Product, the first commercial sale in any country (or the relevant country, as appropriate)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Licensee or any of its Affiliates or Sublicensees;</w:t>
      </w:r>
    </w:p>
    <w:p>
      <w:pPr>
        <w:spacing w:after="0" w:line="37" w:lineRule="exact"/>
        <w:rPr>
          <w:sz w:val="20"/>
          <w:szCs w:val="20"/>
          <w:color w:val="auto"/>
        </w:rPr>
      </w:pPr>
    </w:p>
    <w:p>
      <w:pPr>
        <w:ind w:left="560" w:right="25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Force Majeure </w:t>
      </w:r>
      <w:r>
        <w:rPr>
          <w:rFonts w:ascii="Times New Roman" w:cs="Times New Roman" w:eastAsia="Times New Roman" w:hAnsi="Times New Roman"/>
          <w:sz w:val="14"/>
          <w:szCs w:val="14"/>
          <w:color w:val="auto"/>
        </w:rPr>
        <w:t>means any cause which is not reasonably within the control of the Party affected, including without limitation an act of God,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strike, lockout or other similar interference with work, war (declared or undeclared), blockade, lightning, fire, earthquake, storm, flood, explosion, governmental or quasi governmental restraint, expropriation, prohibition, intervention, direction or embargo unless consistent with Applicable Laws, unavailability or delay in availability of materials, equipment or transport, inability or delay in obtaining governmental or quasi governmental approvals, consents, permits, licenses, authorities or allocations;</w:t>
      </w:r>
    </w:p>
    <w:p>
      <w:pPr>
        <w:spacing w:after="0" w:line="56" w:lineRule="exact"/>
        <w:rPr>
          <w:sz w:val="20"/>
          <w:szCs w:val="20"/>
          <w:color w:val="auto"/>
        </w:rPr>
      </w:pPr>
    </w:p>
    <w:p>
      <w:pPr>
        <w:ind w:left="560" w:right="59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Improvement </w:t>
      </w:r>
      <w:r>
        <w:rPr>
          <w:rFonts w:ascii="Times New Roman" w:cs="Times New Roman" w:eastAsia="Times New Roman" w:hAnsi="Times New Roman"/>
          <w:sz w:val="14"/>
          <w:szCs w:val="14"/>
          <w:color w:val="auto"/>
        </w:rPr>
        <w:t>means an improvement, enhancement, development, modification or adaptation of the subject matter claimed in the Licensed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Patents but for the avoidance of doubt does not include any Monash Adaptation;</w:t>
      </w:r>
    </w:p>
    <w:p>
      <w:pPr>
        <w:spacing w:after="0" w:line="37" w:lineRule="exact"/>
        <w:rPr>
          <w:sz w:val="20"/>
          <w:szCs w:val="20"/>
          <w:color w:val="auto"/>
        </w:rPr>
      </w:pPr>
    </w:p>
    <w:p>
      <w:pPr>
        <w:ind w:left="560" w:right="41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Intellectual Property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IP </w:t>
      </w:r>
      <w:r>
        <w:rPr>
          <w:rFonts w:ascii="Times New Roman" w:cs="Times New Roman" w:eastAsia="Times New Roman" w:hAnsi="Times New Roman"/>
          <w:sz w:val="14"/>
          <w:szCs w:val="14"/>
          <w:color w:val="auto"/>
        </w:rPr>
        <w:t>includes all patent, copyright and intellectual property rights of whatever nature, including without limitation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rights in relation to know-how, inventions, plant varieties, registered and unregistered trade marks (including service marks), registered designs and circuit layouts, and all other rights resulting from intellectual activity in the industrial, scientific, literary or artistic fields;</w:t>
      </w:r>
    </w:p>
    <w:p>
      <w:pPr>
        <w:spacing w:after="0" w:line="49" w:lineRule="exact"/>
        <w:rPr>
          <w:sz w:val="20"/>
          <w:szCs w:val="20"/>
          <w:color w:val="auto"/>
        </w:rPr>
      </w:pPr>
    </w:p>
    <w:p>
      <w:pPr>
        <w:ind w:left="560" w:right="33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Licensed Information </w:t>
      </w:r>
      <w:r>
        <w:rPr>
          <w:rFonts w:ascii="Times New Roman" w:cs="Times New Roman" w:eastAsia="Times New Roman" w:hAnsi="Times New Roman"/>
          <w:sz w:val="14"/>
          <w:szCs w:val="14"/>
          <w:color w:val="auto"/>
        </w:rPr>
        <w:t>means any unpatented and non-public (subject to the paragraph below) IP, including proprietary know-how, trade secrets,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data, or other confidential information, arising from or pertaining to the Licensed Patents, Improvements, or Project IP, produced, invented, or developed by Monash, that:</w:t>
      </w:r>
    </w:p>
    <w:p>
      <w:pPr>
        <w:spacing w:after="0" w:line="62" w:lineRule="exact"/>
        <w:rPr>
          <w:sz w:val="20"/>
          <w:szCs w:val="20"/>
          <w:color w:val="auto"/>
        </w:rPr>
      </w:pPr>
    </w:p>
    <w:p>
      <w:pPr>
        <w:ind w:left="980" w:hanging="429"/>
        <w:spacing w:after="0"/>
        <w:tabs>
          <w:tab w:leader="none" w:pos="980"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disclosed by Monash to the Licensee</w:t>
      </w:r>
    </w:p>
    <w:p>
      <w:pPr>
        <w:spacing w:after="0" w:line="10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Restatement Date or</w:t>
      </w:r>
    </w:p>
    <w:p>
      <w:pPr>
        <w:spacing w:after="0" w:line="101" w:lineRule="exact"/>
        <w:rPr>
          <w:rFonts w:ascii="Times New Roman" w:cs="Times New Roman" w:eastAsia="Times New Roman" w:hAnsi="Times New Roman"/>
          <w:sz w:val="14"/>
          <w:szCs w:val="14"/>
          <w:color w:val="auto"/>
        </w:rPr>
      </w:pPr>
    </w:p>
    <w:p>
      <w:pPr>
        <w:ind w:left="1320" w:right="759" w:hanging="338"/>
        <w:spacing w:after="0" w:line="283" w:lineRule="auto"/>
        <w:tabs>
          <w:tab w:leader="none" w:pos="1320" w:val="left"/>
        </w:tabs>
        <w:numPr>
          <w:ilvl w:val="1"/>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or after the Restatement Date, is described in writing, or if orally disclosed then followed up in writing within [***] of disclosure; and</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9019"/>
          </w:cols>
          <w:pgMar w:left="1440" w:top="240" w:right="1440" w:bottom="1440" w:gutter="0" w:footer="0" w:header="0"/>
        </w:sectPr>
      </w:pPr>
    </w:p>
    <w:bookmarkStart w:id="541" w:name="page542"/>
    <w:bookmarkEnd w:id="541"/>
    <w:p>
      <w:pPr>
        <w:ind w:left="980" w:right="299" w:hanging="429"/>
        <w:spacing w:after="0" w:line="283" w:lineRule="auto"/>
        <w:tabs>
          <w:tab w:leader="none" w:pos="980"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is used or utilized by the Licensee, its Affiliates or Sub-licensees to make, use, sell, offer to sell, or import the Licensed Product, including optimizing or improving the development, manufacture, or commercialisation of the Licensed Product; and</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confidential information of, or otherwise under any obligation to, a third party.</w:t>
      </w:r>
    </w:p>
    <w:p>
      <w:pPr>
        <w:spacing w:after="0" w:line="91" w:lineRule="exact"/>
        <w:rPr>
          <w:sz w:val="20"/>
          <w:szCs w:val="20"/>
          <w:color w:val="auto"/>
        </w:rPr>
      </w:pPr>
    </w:p>
    <w:p>
      <w:pPr>
        <w:ind w:left="560" w:right="739"/>
        <w:spacing w:after="0" w:line="283" w:lineRule="auto"/>
        <w:rPr>
          <w:sz w:val="20"/>
          <w:szCs w:val="20"/>
          <w:color w:val="auto"/>
        </w:rPr>
      </w:pPr>
      <w:r>
        <w:rPr>
          <w:rFonts w:ascii="Times New Roman" w:cs="Times New Roman" w:eastAsia="Times New Roman" w:hAnsi="Times New Roman"/>
          <w:sz w:val="14"/>
          <w:szCs w:val="14"/>
          <w:color w:val="auto"/>
        </w:rPr>
        <w:t>For the avoidance of doubt “Licensed Information” does not include any publicly available information itself, but may include non-public information relating to its practical use, application, or embodiment as disclosed by Monash to the Licensee.</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Licensed Patents </w:t>
      </w:r>
      <w:r>
        <w:rPr>
          <w:rFonts w:ascii="Times New Roman" w:cs="Times New Roman" w:eastAsia="Times New Roman" w:hAnsi="Times New Roman"/>
          <w:sz w:val="14"/>
          <w:szCs w:val="14"/>
          <w:color w:val="auto"/>
        </w:rPr>
        <w:t>means the patents and applications set out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Schedule 4</w:t>
      </w:r>
      <w:r>
        <w:rPr>
          <w:rFonts w:ascii="Times New Roman" w:cs="Times New Roman" w:eastAsia="Times New Roman" w:hAnsi="Times New Roman"/>
          <w:sz w:val="14"/>
          <w:szCs w:val="14"/>
          <w:color w:val="auto"/>
        </w:rPr>
        <w:t>, and: any patents or patent applications that claim Project IP;</w:t>
      </w:r>
    </w:p>
    <w:p>
      <w:pPr>
        <w:spacing w:after="0" w:line="104" w:lineRule="exact"/>
        <w:rPr>
          <w:sz w:val="20"/>
          <w:szCs w:val="20"/>
          <w:color w:val="auto"/>
        </w:rPr>
      </w:pPr>
    </w:p>
    <w:p>
      <w:pPr>
        <w:ind w:left="980" w:right="239" w:hanging="429"/>
        <w:spacing w:after="0" w:line="267" w:lineRule="auto"/>
        <w:tabs>
          <w:tab w:leader="none" w:pos="980"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patents or patent applications claiming priority from any of the patent applications referred to in Schedule 4 or paragraph (a), including all extensions, continuations, continuations-in-part, divisionals, patents of addition, reissues and any corresponding foreign patent applications, including International PCT Applications;</w:t>
      </w:r>
    </w:p>
    <w:p>
      <w:pPr>
        <w:spacing w:after="0" w:line="61" w:lineRule="exact"/>
        <w:rPr>
          <w:rFonts w:ascii="Times New Roman" w:cs="Times New Roman" w:eastAsia="Times New Roman" w:hAnsi="Times New Roman"/>
          <w:sz w:val="14"/>
          <w:szCs w:val="14"/>
          <w:color w:val="auto"/>
        </w:rPr>
      </w:pPr>
    </w:p>
    <w:p>
      <w:pPr>
        <w:ind w:left="980" w:right="299" w:hanging="429"/>
        <w:spacing w:after="0" w:line="267" w:lineRule="auto"/>
        <w:tabs>
          <w:tab w:leader="none" w:pos="980"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inventions disclosed and claimed in any of the patents or patent applications referred to in Schedule 4 or paragraphs (a) or (b), and any separately filed patent or patent application claiming an invention described in any of the patents or patent applications referred to in Schedule 4 or paragraphs (a) or (b); and</w:t>
      </w:r>
    </w:p>
    <w:p>
      <w:pPr>
        <w:spacing w:after="0" w:line="61" w:lineRule="exact"/>
        <w:rPr>
          <w:rFonts w:ascii="Times New Roman" w:cs="Times New Roman" w:eastAsia="Times New Roman" w:hAnsi="Times New Roman"/>
          <w:sz w:val="14"/>
          <w:szCs w:val="14"/>
          <w:color w:val="auto"/>
        </w:rPr>
      </w:pPr>
    </w:p>
    <w:p>
      <w:pPr>
        <w:ind w:left="980" w:right="759" w:hanging="429"/>
        <w:spacing w:after="0" w:line="283" w:lineRule="auto"/>
        <w:tabs>
          <w:tab w:leader="none" w:pos="980"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equivalent foreign rights issuing, granted or registered on any of the patents or patent applications referred to in Schedule 4 or paragraphs (a), (b) or (c).</w:t>
      </w:r>
    </w:p>
    <w:p>
      <w:pPr>
        <w:spacing w:after="0" w:line="39" w:lineRule="exact"/>
        <w:rPr>
          <w:sz w:val="20"/>
          <w:szCs w:val="20"/>
          <w:color w:val="auto"/>
        </w:rPr>
      </w:pPr>
    </w:p>
    <w:p>
      <w:pPr>
        <w:ind w:left="560" w:right="43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14"/>
          <w:szCs w:val="14"/>
          <w:color w:val="auto"/>
        </w:rPr>
        <w:t>means, in relation to any person, a damage, loss, cost, expense or liability incurred by the person or a claim, action proceeding or demand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made against the person, however arising and whether present or future, fixed or unascertained, actual or contingent;</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Monash Adaptation </w:t>
      </w:r>
      <w:r>
        <w:rPr>
          <w:rFonts w:ascii="Times New Roman" w:cs="Times New Roman" w:eastAsia="Times New Roman" w:hAnsi="Times New Roman"/>
          <w:sz w:val="14"/>
          <w:szCs w:val="14"/>
          <w:color w:val="auto"/>
        </w:rPr>
        <w:t>means any invention generated by Monash other than during the course of the Research Project which [***];</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MTA </w:t>
      </w:r>
      <w:r>
        <w:rPr>
          <w:rFonts w:ascii="Times New Roman" w:cs="Times New Roman" w:eastAsia="Times New Roman" w:hAnsi="Times New Roman"/>
          <w:sz w:val="14"/>
          <w:szCs w:val="14"/>
          <w:color w:val="auto"/>
        </w:rPr>
        <w:t>means the Material Transfer Agreement between the Parties dated 15 August 2016;</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4"/>
          <w:szCs w:val="14"/>
          <w:color w:val="auto"/>
        </w:rPr>
        <w:t>means [***]</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Net Sales </w:t>
      </w:r>
      <w:r>
        <w:rPr>
          <w:rFonts w:ascii="Times New Roman" w:cs="Times New Roman" w:eastAsia="Times New Roman" w:hAnsi="Times New Roman"/>
          <w:sz w:val="14"/>
          <w:szCs w:val="14"/>
          <w:color w:val="auto"/>
        </w:rPr>
        <w:t>means [***]</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Parties </w:t>
      </w:r>
      <w:r>
        <w:rPr>
          <w:rFonts w:ascii="Times New Roman" w:cs="Times New Roman" w:eastAsia="Times New Roman" w:hAnsi="Times New Roman"/>
          <w:sz w:val="14"/>
          <w:szCs w:val="14"/>
          <w:color w:val="auto"/>
        </w:rPr>
        <w:t>mean the parties to this Agreement and their respective successors and permitted assigns, and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means any one of them;</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Personnel </w:t>
      </w:r>
      <w:r>
        <w:rPr>
          <w:rFonts w:ascii="Times New Roman" w:cs="Times New Roman" w:eastAsia="Times New Roman" w:hAnsi="Times New Roman"/>
          <w:sz w:val="14"/>
          <w:szCs w:val="14"/>
          <w:color w:val="auto"/>
        </w:rPr>
        <w:t>in respect of a Party means the officers, employees, agents or contractors of the Party;</w:t>
      </w:r>
    </w:p>
    <w:p>
      <w:pPr>
        <w:spacing w:after="0" w:line="12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4</w:t>
      </w:r>
    </w:p>
    <w:p>
      <w:pPr>
        <w:sectPr>
          <w:pgSz w:w="11900" w:h="16838" w:orient="portrait"/>
          <w:cols w:equalWidth="0" w:num="1">
            <w:col w:w="9019"/>
          </w:cols>
          <w:pgMar w:left="1440" w:top="240" w:right="1440" w:bottom="1440" w:gutter="0" w:footer="0" w:header="0"/>
        </w:sectPr>
      </w:pPr>
    </w:p>
    <w:bookmarkStart w:id="542" w:name="page543"/>
    <w:bookmarkEnd w:id="542"/>
    <w:p>
      <w:pPr>
        <w:ind w:left="560" w:right="259"/>
        <w:spacing w:after="0" w:line="26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Phase 1 Trial </w:t>
      </w:r>
      <w:r>
        <w:rPr>
          <w:rFonts w:ascii="Times New Roman" w:cs="Times New Roman" w:eastAsia="Times New Roman" w:hAnsi="Times New Roman"/>
          <w:sz w:val="14"/>
          <w:szCs w:val="14"/>
          <w:color w:val="auto"/>
        </w:rPr>
        <w:t>means a clinical study of a Product, the purpose of which is to study the safety and pharmacology of an investigational product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 administered to humans, and where the Parties have no knowledge of any evidence that the product has effects likely to be safe or beneficial to the subjects of the clinical trial;</w:t>
      </w:r>
    </w:p>
    <w:p>
      <w:pPr>
        <w:spacing w:after="0" w:line="49" w:lineRule="exact"/>
        <w:rPr>
          <w:sz w:val="20"/>
          <w:szCs w:val="20"/>
          <w:color w:val="auto"/>
        </w:rPr>
      </w:pPr>
    </w:p>
    <w:p>
      <w:pPr>
        <w:ind w:left="560" w:right="33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Phase 2 Trial </w:t>
      </w:r>
      <w:r>
        <w:rPr>
          <w:rFonts w:ascii="Times New Roman" w:cs="Times New Roman" w:eastAsia="Times New Roman" w:hAnsi="Times New Roman"/>
          <w:sz w:val="14"/>
          <w:szCs w:val="14"/>
          <w:color w:val="auto"/>
        </w:rPr>
        <w:t>means a clinical study of a Product, which provides for the initial trial of a Product on a limited number of patients for the purpose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determining dose and/or evaluating safety and preliminary efficacy in the proposed therapeutic indication;</w:t>
      </w:r>
    </w:p>
    <w:p>
      <w:pPr>
        <w:spacing w:after="0" w:line="37" w:lineRule="exact"/>
        <w:rPr>
          <w:sz w:val="20"/>
          <w:szCs w:val="20"/>
          <w:color w:val="auto"/>
        </w:rPr>
      </w:pPr>
    </w:p>
    <w:p>
      <w:pPr>
        <w:ind w:left="560" w:right="29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Phase 3 Trial </w:t>
      </w:r>
      <w:r>
        <w:rPr>
          <w:rFonts w:ascii="Times New Roman" w:cs="Times New Roman" w:eastAsia="Times New Roman" w:hAnsi="Times New Roman"/>
          <w:sz w:val="14"/>
          <w:szCs w:val="14"/>
          <w:color w:val="auto"/>
        </w:rPr>
        <w:t>means a controlled pivotal clinical study of a Product that aims to establish the therapeutic benefit of the Product in a larger patient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sample and to further demonstrate the product’s safety in patients with the target disease;</w:t>
      </w:r>
    </w:p>
    <w:p>
      <w:pPr>
        <w:spacing w:after="0" w:line="37" w:lineRule="exact"/>
        <w:rPr>
          <w:sz w:val="20"/>
          <w:szCs w:val="20"/>
          <w:color w:val="auto"/>
        </w:rPr>
      </w:pPr>
    </w:p>
    <w:p>
      <w:pPr>
        <w:ind w:left="560" w:right="65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Product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Licensed Product </w:t>
      </w:r>
      <w:r>
        <w:rPr>
          <w:rFonts w:ascii="Times New Roman" w:cs="Times New Roman" w:eastAsia="Times New Roman" w:hAnsi="Times New Roman"/>
          <w:sz w:val="14"/>
          <w:szCs w:val="14"/>
          <w:color w:val="auto"/>
        </w:rPr>
        <w:t>means any and all products (i) which are within a Valid Claim, irrespective of whether a patent is held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jurisdiction in which the Product is sold or (ii) which require the use or practice of any Licensed Information.</w:t>
      </w:r>
    </w:p>
    <w:p>
      <w:pPr>
        <w:spacing w:after="0" w:line="37" w:lineRule="exact"/>
        <w:rPr>
          <w:sz w:val="20"/>
          <w:szCs w:val="20"/>
          <w:color w:val="auto"/>
        </w:rPr>
      </w:pPr>
    </w:p>
    <w:p>
      <w:pPr>
        <w:jc w:val="both"/>
        <w:ind w:left="560" w:right="43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Project Details </w:t>
      </w:r>
      <w:r>
        <w:rPr>
          <w:rFonts w:ascii="Times New Roman" w:cs="Times New Roman" w:eastAsia="Times New Roman" w:hAnsi="Times New Roman"/>
          <w:sz w:val="14"/>
          <w:szCs w:val="14"/>
          <w:color w:val="auto"/>
        </w:rPr>
        <w:t>means the details set out in new research agreements between the parties to be agreed from time to time identifying the subject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matter and details of a Research Project (comprising as a minimum the matters set out in the Schedule) which will implement the conditions of this Agreement;</w:t>
      </w:r>
    </w:p>
    <w:p>
      <w:pPr>
        <w:spacing w:after="0" w:line="49" w:lineRule="exact"/>
        <w:rPr>
          <w:sz w:val="20"/>
          <w:szCs w:val="20"/>
          <w:color w:val="auto"/>
        </w:rPr>
      </w:pPr>
    </w:p>
    <w:p>
      <w:pPr>
        <w:ind w:left="560" w:right="419"/>
        <w:spacing w:after="0" w:line="298" w:lineRule="auto"/>
        <w:rPr>
          <w:sz w:val="20"/>
          <w:szCs w:val="20"/>
          <w:color w:val="auto"/>
        </w:rPr>
      </w:pPr>
      <w:r>
        <w:rPr>
          <w:rFonts w:ascii="Times New Roman" w:cs="Times New Roman" w:eastAsia="Times New Roman" w:hAnsi="Times New Roman"/>
          <w:sz w:val="13"/>
          <w:szCs w:val="13"/>
          <w:b w:val="1"/>
          <w:bCs w:val="1"/>
          <w:color w:val="auto"/>
        </w:rPr>
        <w:t xml:space="preserve">Project IP </w:t>
      </w:r>
      <w:r>
        <w:rPr>
          <w:rFonts w:ascii="Times New Roman" w:cs="Times New Roman" w:eastAsia="Times New Roman" w:hAnsi="Times New Roman"/>
          <w:sz w:val="13"/>
          <w:szCs w:val="13"/>
          <w:color w:val="auto"/>
        </w:rPr>
        <w:t>means Improvements and new Intellectual Property, including research and development results, test results and data, in each case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arising during the course of research and development by Monash solely or jointly with Licensee in respect of the Licensed Patents or Licensed Information under the MTA or a Research Project or otherwise pursuant to any research or other agreement entered into between the Parties;</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Reasonable Commercial Endeavours </w:t>
      </w:r>
      <w:r>
        <w:rPr>
          <w:rFonts w:ascii="Times New Roman" w:cs="Times New Roman" w:eastAsia="Times New Roman" w:hAnsi="Times New Roman"/>
          <w:sz w:val="14"/>
          <w:szCs w:val="14"/>
          <w:color w:val="auto"/>
        </w:rPr>
        <w:t>means [***]</w:t>
      </w:r>
    </w:p>
    <w:p>
      <w:pPr>
        <w:spacing w:after="0" w:line="91" w:lineRule="exact"/>
        <w:rPr>
          <w:sz w:val="20"/>
          <w:szCs w:val="20"/>
          <w:color w:val="auto"/>
        </w:rPr>
      </w:pPr>
    </w:p>
    <w:p>
      <w:pPr>
        <w:ind w:left="560" w:right="57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Research Funding </w:t>
      </w:r>
      <w:r>
        <w:rPr>
          <w:rFonts w:ascii="Times New Roman" w:cs="Times New Roman" w:eastAsia="Times New Roman" w:hAnsi="Times New Roman"/>
          <w:sz w:val="14"/>
          <w:szCs w:val="14"/>
          <w:color w:val="auto"/>
        </w:rPr>
        <w:t>means the amount to be paid by Licensee to progress the Research Project or otherwise relating to Commercialisation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as set out in Clause 7.1, but excluding Royalties or Net Income;</w:t>
      </w:r>
    </w:p>
    <w:p>
      <w:pPr>
        <w:spacing w:after="0" w:line="37" w:lineRule="exact"/>
        <w:rPr>
          <w:sz w:val="20"/>
          <w:szCs w:val="20"/>
          <w:color w:val="auto"/>
        </w:rPr>
      </w:pPr>
    </w:p>
    <w:p>
      <w:pPr>
        <w:jc w:val="both"/>
        <w:ind w:left="560" w:right="31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Research Project </w:t>
      </w:r>
      <w:r>
        <w:rPr>
          <w:rFonts w:ascii="Times New Roman" w:cs="Times New Roman" w:eastAsia="Times New Roman" w:hAnsi="Times New Roman"/>
          <w:sz w:val="14"/>
          <w:szCs w:val="14"/>
          <w:color w:val="auto"/>
        </w:rPr>
        <w:t>means a project of research and development work agreed to by the Parties from time to time as shall be more specifically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 in the Project Details, to be conducted by the Parties in accordance with the agreed objectives, subject to any variation or modification agreed by the Parties in writing;</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Royalty </w:t>
      </w:r>
      <w:r>
        <w:rPr>
          <w:rFonts w:ascii="Times New Roman" w:cs="Times New Roman" w:eastAsia="Times New Roman" w:hAnsi="Times New Roman"/>
          <w:sz w:val="14"/>
          <w:szCs w:val="14"/>
          <w:color w:val="auto"/>
        </w:rPr>
        <w:t>means the royalty payments set out in Clause 7.3(b);</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Royalty Period </w:t>
      </w:r>
      <w:r>
        <w:rPr>
          <w:rFonts w:ascii="Times New Roman" w:cs="Times New Roman" w:eastAsia="Times New Roman" w:hAnsi="Times New Roman"/>
          <w:sz w:val="14"/>
          <w:szCs w:val="14"/>
          <w:color w:val="auto"/>
        </w:rPr>
        <w:t>has the meaning set out in clause 7.3(b);</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Sub-licensee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Sublicensee </w:t>
      </w:r>
      <w:r>
        <w:rPr>
          <w:rFonts w:ascii="Times New Roman" w:cs="Times New Roman" w:eastAsia="Times New Roman" w:hAnsi="Times New Roman"/>
          <w:sz w:val="14"/>
          <w:szCs w:val="14"/>
          <w:color w:val="auto"/>
        </w:rPr>
        <w:t>means a Third Party or Affiliate to which Licensee grants a sub-licence of its rights under Clause 5.1.</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Term </w:t>
      </w:r>
      <w:r>
        <w:rPr>
          <w:rFonts w:ascii="Times New Roman" w:cs="Times New Roman" w:eastAsia="Times New Roman" w:hAnsi="Times New Roman"/>
          <w:sz w:val="14"/>
          <w:szCs w:val="14"/>
          <w:color w:val="auto"/>
        </w:rPr>
        <w:t>has the meaning set out in Clause 2.</w:t>
      </w:r>
    </w:p>
    <w:p>
      <w:pPr>
        <w:spacing w:after="0" w:line="12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5</w:t>
      </w:r>
    </w:p>
    <w:p>
      <w:pPr>
        <w:sectPr>
          <w:pgSz w:w="11900" w:h="16838" w:orient="portrait"/>
          <w:cols w:equalWidth="0" w:num="1">
            <w:col w:w="9019"/>
          </w:cols>
          <w:pgMar w:left="1440" w:top="238" w:right="1440" w:bottom="1440" w:gutter="0" w:footer="0" w:header="0"/>
        </w:sectPr>
      </w:pPr>
    </w:p>
    <w:bookmarkStart w:id="543" w:name="page544"/>
    <w:bookmarkEnd w:id="543"/>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Valid Claim </w:t>
      </w:r>
      <w:r>
        <w:rPr>
          <w:rFonts w:ascii="Times New Roman" w:cs="Times New Roman" w:eastAsia="Times New Roman" w:hAnsi="Times New Roman"/>
          <w:sz w:val="14"/>
          <w:szCs w:val="14"/>
          <w:color w:val="auto"/>
        </w:rPr>
        <w:t>means:</w:t>
      </w:r>
    </w:p>
    <w:p>
      <w:pPr>
        <w:spacing w:after="0" w:line="104" w:lineRule="exact"/>
        <w:rPr>
          <w:sz w:val="20"/>
          <w:szCs w:val="20"/>
          <w:color w:val="auto"/>
        </w:rPr>
      </w:pPr>
    </w:p>
    <w:p>
      <w:pPr>
        <w:ind w:left="980" w:hanging="429"/>
        <w:spacing w:after="0"/>
        <w:tabs>
          <w:tab w:leader="none" w:pos="98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claim in an issued and unexpired Licensed Patent where the Licensed Patent has not been:</w:t>
      </w:r>
    </w:p>
    <w:p>
      <w:pPr>
        <w:spacing w:after="0" w:line="101" w:lineRule="exact"/>
        <w:rPr>
          <w:rFonts w:ascii="Times New Roman" w:cs="Times New Roman" w:eastAsia="Times New Roman" w:hAnsi="Times New Roman"/>
          <w:sz w:val="14"/>
          <w:szCs w:val="14"/>
          <w:color w:val="auto"/>
        </w:rPr>
      </w:pPr>
    </w:p>
    <w:p>
      <w:pPr>
        <w:ind w:left="1320" w:right="479" w:hanging="338"/>
        <w:spacing w:after="0" w:line="283" w:lineRule="auto"/>
        <w:tabs>
          <w:tab w:leader="none" w:pos="1320" w:val="left"/>
        </w:tabs>
        <w:numPr>
          <w:ilvl w:val="1"/>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permanently revoked, unenforceable, unpatentable or invalid by a decision of a patent office, court or governmental body of competent jurisdiction in a final order, from which no further appeal can be or has been taken; or</w:t>
      </w:r>
    </w:p>
    <w:p>
      <w:pPr>
        <w:spacing w:after="0" w:line="5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disclaimed, admitted to be invalid or unenforceable, or rendered unenforceable through disclaimer, reissue or otherwise; or</w:t>
      </w:r>
    </w:p>
    <w:p>
      <w:pPr>
        <w:spacing w:after="0" w:line="10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abandoned, dedicated to the public or finally rejected by a governmental authority from which no appeal can be taken; or</w:t>
      </w:r>
    </w:p>
    <w:p>
      <w:pPr>
        <w:spacing w:after="0" w:line="101" w:lineRule="exact"/>
        <w:rPr>
          <w:rFonts w:ascii="Times New Roman" w:cs="Times New Roman" w:eastAsia="Times New Roman" w:hAnsi="Times New Roman"/>
          <w:sz w:val="14"/>
          <w:szCs w:val="14"/>
          <w:color w:val="auto"/>
        </w:rPr>
      </w:pPr>
    </w:p>
    <w:p>
      <w:pPr>
        <w:ind w:left="980" w:right="299" w:hanging="429"/>
        <w:spacing w:after="0" w:line="267" w:lineRule="auto"/>
        <w:tabs>
          <w:tab w:leader="none" w:pos="98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pending claim in a patent application, where neither the pending claim (provided that for this purpose a claim shall not be considered pending for more than [***] from its filing date) nor the Licensed Patent has been cancelled, withdrawn, abandoned, or finally rejected by a governmental authority from which no appeal can be or has been taken.</w:t>
      </w:r>
    </w:p>
    <w:p>
      <w:pPr>
        <w:spacing w:after="0" w:line="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3"/>
          <w:szCs w:val="13"/>
          <w:b w:val="1"/>
          <w:bCs w:val="1"/>
          <w:color w:val="auto"/>
        </w:rPr>
        <w:t>Interpretation</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this Agreement, unless the context otherwise requires:</w:t>
      </w:r>
    </w:p>
    <w:p>
      <w:pPr>
        <w:spacing w:after="0" w:line="102" w:lineRule="exact"/>
        <w:rPr>
          <w:sz w:val="20"/>
          <w:szCs w:val="20"/>
          <w:color w:val="auto"/>
        </w:rPr>
      </w:pPr>
    </w:p>
    <w:p>
      <w:pPr>
        <w:ind w:left="980" w:hanging="429"/>
        <w:spacing w:after="0"/>
        <w:tabs>
          <w:tab w:leader="none" w:pos="980"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to:</w:t>
      </w:r>
    </w:p>
    <w:p>
      <w:pPr>
        <w:spacing w:after="0" w:line="101" w:lineRule="exact"/>
        <w:rPr>
          <w:rFonts w:ascii="Times New Roman" w:cs="Times New Roman" w:eastAsia="Times New Roman" w:hAnsi="Times New Roman"/>
          <w:sz w:val="14"/>
          <w:szCs w:val="14"/>
          <w:color w:val="auto"/>
        </w:rPr>
      </w:pPr>
    </w:p>
    <w:p>
      <w:pPr>
        <w:ind w:left="1320" w:right="299" w:hanging="338"/>
        <w:spacing w:after="0" w:line="283" w:lineRule="auto"/>
        <w:tabs>
          <w:tab w:leader="none" w:pos="132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legislation (including subordinate legislation) is to that legislation as amended, re-enacted or replaced, and includes any subordinate legislation issued under it;</w:t>
      </w:r>
    </w:p>
    <w:p>
      <w:pPr>
        <w:spacing w:after="0" w:line="51" w:lineRule="exact"/>
        <w:rPr>
          <w:rFonts w:ascii="Times New Roman" w:cs="Times New Roman" w:eastAsia="Times New Roman" w:hAnsi="Times New Roman"/>
          <w:sz w:val="14"/>
          <w:szCs w:val="14"/>
          <w:color w:val="auto"/>
        </w:rPr>
      </w:pPr>
    </w:p>
    <w:p>
      <w:pPr>
        <w:ind w:left="1320" w:right="579" w:hanging="338"/>
        <w:spacing w:after="0" w:line="283" w:lineRule="auto"/>
        <w:tabs>
          <w:tab w:leader="none" w:pos="132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document or agreement, or a provision of a document or agreement, is to that document, agreement or provision as amended, supplemented, replaced or novated;</w:t>
      </w:r>
    </w:p>
    <w:p>
      <w:pPr>
        <w:spacing w:after="0" w:line="5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party to this Agreement or to any other document or agreement includes a permitted substitute or a permitted assign of that party;</w:t>
      </w:r>
    </w:p>
    <w:p>
      <w:pPr>
        <w:spacing w:after="0" w:line="101" w:lineRule="exact"/>
        <w:rPr>
          <w:rFonts w:ascii="Times New Roman" w:cs="Times New Roman" w:eastAsia="Times New Roman" w:hAnsi="Times New Roman"/>
          <w:sz w:val="14"/>
          <w:szCs w:val="14"/>
          <w:color w:val="auto"/>
        </w:rPr>
      </w:pPr>
    </w:p>
    <w:p>
      <w:pPr>
        <w:ind w:left="1320" w:right="519" w:hanging="338"/>
        <w:spacing w:after="0" w:line="283" w:lineRule="auto"/>
        <w:tabs>
          <w:tab w:leader="none" w:pos="132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includes any type of entity or body of persons, whether or not it is incorporated or has a separate legal identity, and any executor, administrator or successor in law of the person; and</w:t>
      </w:r>
    </w:p>
    <w:p>
      <w:pPr>
        <w:spacing w:after="0" w:line="5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(including a right, obligation or concept) includes each part of it;</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singular includes the plural and vice versa;</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6</w:t>
      </w:r>
    </w:p>
    <w:p>
      <w:pPr>
        <w:sectPr>
          <w:pgSz w:w="11900" w:h="16838" w:orient="portrait"/>
          <w:cols w:equalWidth="0" w:num="1">
            <w:col w:w="9019"/>
          </w:cols>
          <w:pgMar w:left="1440" w:top="239" w:right="1440" w:bottom="1440" w:gutter="0" w:footer="0" w:header="0"/>
        </w:sectPr>
      </w:pPr>
    </w:p>
    <w:bookmarkStart w:id="544" w:name="page545"/>
    <w:bookmarkEnd w:id="544"/>
    <w:p>
      <w:pPr>
        <w:ind w:left="980" w:right="439" w:hanging="429"/>
        <w:spacing w:after="0" w:line="283" w:lineRule="auto"/>
        <w:tabs>
          <w:tab w:leader="none" w:pos="98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 reference to an individual or person includes a corporation, partnership, joint venture, association, authority, trust, state or government and vice versa;</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to any gender includes all genders;</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to a recital, clause, schedule, annexure or exhibit is to a recital, clause, schedule, annexure or exhibit of or to this Agreement;</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recital, schedule, annexure or a description of the Parties forms part of this Agreement;</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an expression is defined, another part of speech or grammatical form of that expression has a corresponding meaning;</w:t>
      </w:r>
    </w:p>
    <w:p>
      <w:pPr>
        <w:spacing w:after="0" w:line="101" w:lineRule="exact"/>
        <w:rPr>
          <w:rFonts w:ascii="Times New Roman" w:cs="Times New Roman" w:eastAsia="Times New Roman" w:hAnsi="Times New Roman"/>
          <w:sz w:val="14"/>
          <w:szCs w:val="14"/>
          <w:color w:val="auto"/>
        </w:rPr>
      </w:pPr>
    </w:p>
    <w:p>
      <w:pPr>
        <w:ind w:left="980" w:right="239" w:hanging="429"/>
        <w:spacing w:after="0" w:line="283" w:lineRule="auto"/>
        <w:tabs>
          <w:tab w:leader="none" w:pos="98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example is given to anything (including a right, obligation or concept), such as by saying it includes something else, the example does not limit the scope of that thing;</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to dollars or $ is to United States currency; and</w:t>
      </w:r>
    </w:p>
    <w:p>
      <w:pPr>
        <w:spacing w:after="0" w:line="101" w:lineRule="exact"/>
        <w:rPr>
          <w:rFonts w:ascii="Times New Roman" w:cs="Times New Roman" w:eastAsia="Times New Roman" w:hAnsi="Times New Roman"/>
          <w:sz w:val="14"/>
          <w:szCs w:val="14"/>
          <w:color w:val="auto"/>
        </w:rPr>
      </w:pPr>
    </w:p>
    <w:p>
      <w:pPr>
        <w:ind w:left="980" w:right="259" w:hanging="429"/>
        <w:spacing w:after="0" w:line="296" w:lineRule="auto"/>
        <w:tabs>
          <w:tab w:leader="none" w:pos="980" w:val="left"/>
        </w:tabs>
        <w:numPr>
          <w:ilvl w:val="0"/>
          <w:numId w:val="4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definitions used in this Agreement (including but not limited to Licensed Patents, Licensed Information, Products and Royalties in Clause 7) are intended to be read in a manner consistent with the scenarios and outcomes set out in Schedule 2, which form part of this Agreement and have equal force for the purpose of interpreting and understanding the application of the principles and definitions referred to above.</w:t>
      </w:r>
    </w:p>
    <w:p>
      <w:pPr>
        <w:spacing w:after="0" w:line="44"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3"/>
          <w:szCs w:val="13"/>
          <w:b w:val="1"/>
          <w:bCs w:val="1"/>
          <w:color w:val="auto"/>
        </w:rPr>
        <w:t>Headings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this Agreement, headings are for convenience only, and do not affect interpretation.</w:t>
      </w:r>
    </w:p>
    <w:p>
      <w:pPr>
        <w:spacing w:after="0" w:line="10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3"/>
          <w:szCs w:val="13"/>
          <w:b w:val="1"/>
          <w:bCs w:val="1"/>
          <w:color w:val="auto"/>
        </w:rPr>
        <w:t>Business Days</w:t>
      </w:r>
    </w:p>
    <w:p>
      <w:pPr>
        <w:spacing w:after="0" w:line="93" w:lineRule="exact"/>
        <w:rPr>
          <w:sz w:val="20"/>
          <w:szCs w:val="20"/>
          <w:color w:val="auto"/>
        </w:rPr>
      </w:pPr>
    </w:p>
    <w:p>
      <w:pPr>
        <w:ind w:left="560" w:right="379"/>
        <w:spacing w:after="0" w:line="283" w:lineRule="auto"/>
        <w:rPr>
          <w:sz w:val="20"/>
          <w:szCs w:val="20"/>
          <w:color w:val="auto"/>
        </w:rPr>
      </w:pPr>
      <w:r>
        <w:rPr>
          <w:rFonts w:ascii="Times New Roman" w:cs="Times New Roman" w:eastAsia="Times New Roman" w:hAnsi="Times New Roman"/>
          <w:sz w:val="14"/>
          <w:szCs w:val="14"/>
          <w:color w:val="auto"/>
        </w:rPr>
        <w:t>If the day on or by which a Party must do something under this Agreement is not a Business Day the Party must do it on or by the next Business Day;</w:t>
      </w:r>
    </w:p>
    <w:p>
      <w:pPr>
        <w:spacing w:after="0" w:line="239" w:lineRule="exact"/>
        <w:rPr>
          <w:sz w:val="20"/>
          <w:szCs w:val="20"/>
          <w:color w:val="auto"/>
        </w:rPr>
      </w:pPr>
    </w:p>
    <w:p>
      <w:pPr>
        <w:ind w:left="560" w:hanging="345"/>
        <w:spacing w:after="0"/>
        <w:tabs>
          <w:tab w:leader="none" w:pos="560" w:val="left"/>
        </w:tabs>
        <w:numPr>
          <w:ilvl w:val="0"/>
          <w:numId w:val="4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w:t>
      </w:r>
    </w:p>
    <w:p>
      <w:pPr>
        <w:spacing w:after="0" w:line="91" w:lineRule="exact"/>
        <w:rPr>
          <w:rFonts w:ascii="Times New Roman" w:cs="Times New Roman" w:eastAsia="Times New Roman" w:hAnsi="Times New Roman"/>
          <w:sz w:val="14"/>
          <w:szCs w:val="14"/>
          <w:b w:val="1"/>
          <w:bCs w:val="1"/>
          <w:color w:val="auto"/>
        </w:rPr>
      </w:pPr>
    </w:p>
    <w:p>
      <w:pPr>
        <w:ind w:left="560" w:right="239"/>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of this Agreement will commence and be deemed to have commenced operation on the Commencement Date and shall continue until seven (7) years after the last to expire Valid Claim unless this Agreement is earlier terminated in accordance with its terms.</w:t>
      </w:r>
    </w:p>
    <w:p>
      <w:pPr>
        <w:spacing w:after="0" w:line="7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7</w:t>
      </w:r>
    </w:p>
    <w:p>
      <w:pPr>
        <w:sectPr>
          <w:pgSz w:w="11900" w:h="16838" w:orient="portrait"/>
          <w:cols w:equalWidth="0" w:num="1">
            <w:col w:w="9019"/>
          </w:cols>
          <w:pgMar w:left="1440" w:top="241" w:right="1440" w:bottom="1440" w:gutter="0" w:footer="0" w:header="0"/>
        </w:sectPr>
      </w:pPr>
    </w:p>
    <w:bookmarkStart w:id="545" w:name="page546"/>
    <w:bookmarkEnd w:id="545"/>
    <w:p>
      <w:pPr>
        <w:ind w:left="560" w:hanging="345"/>
        <w:spacing w:after="0"/>
        <w:tabs>
          <w:tab w:leader="none" w:pos="560" w:val="left"/>
        </w:tabs>
        <w:numPr>
          <w:ilvl w:val="0"/>
          <w:numId w:val="4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Commercialisation</w:t>
      </w:r>
    </w:p>
    <w:p>
      <w:pPr>
        <w:spacing w:after="0" w:line="10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3.1</w:t>
      </w:r>
      <w:r>
        <w:rPr>
          <w:sz w:val="20"/>
          <w:szCs w:val="20"/>
          <w:color w:val="auto"/>
        </w:rPr>
        <w:tab/>
      </w:r>
      <w:r>
        <w:rPr>
          <w:rFonts w:ascii="Times New Roman" w:cs="Times New Roman" w:eastAsia="Times New Roman" w:hAnsi="Times New Roman"/>
          <w:sz w:val="13"/>
          <w:szCs w:val="13"/>
          <w:b w:val="1"/>
          <w:bCs w:val="1"/>
          <w:color w:val="auto"/>
        </w:rPr>
        <w:t>Reasonable Commercial Endeavours</w:t>
      </w:r>
    </w:p>
    <w:p>
      <w:pPr>
        <w:spacing w:after="0" w:line="91" w:lineRule="exact"/>
        <w:rPr>
          <w:sz w:val="20"/>
          <w:szCs w:val="20"/>
          <w:color w:val="auto"/>
        </w:rPr>
      </w:pPr>
    </w:p>
    <w:p>
      <w:pPr>
        <w:ind w:left="560" w:right="579"/>
        <w:spacing w:after="0" w:line="286" w:lineRule="auto"/>
        <w:rPr>
          <w:sz w:val="20"/>
          <w:szCs w:val="20"/>
          <w:color w:val="auto"/>
        </w:rPr>
      </w:pPr>
      <w:r>
        <w:rPr>
          <w:rFonts w:ascii="Times New Roman" w:cs="Times New Roman" w:eastAsia="Times New Roman" w:hAnsi="Times New Roman"/>
          <w:sz w:val="14"/>
          <w:szCs w:val="14"/>
          <w:color w:val="auto"/>
        </w:rPr>
        <w:t>Licensee must use Reasonable Commercial Endeavours to undertake the following activities (“</w:t>
      </w:r>
      <w:r>
        <w:rPr>
          <w:rFonts w:ascii="Times New Roman" w:cs="Times New Roman" w:eastAsia="Times New Roman" w:hAnsi="Times New Roman"/>
          <w:sz w:val="14"/>
          <w:szCs w:val="14"/>
          <w:b w:val="1"/>
          <w:bCs w:val="1"/>
          <w:color w:val="auto"/>
        </w:rPr>
        <w:t>Activities</w:t>
      </w:r>
      <w:r>
        <w:rPr>
          <w:rFonts w:ascii="Times New Roman" w:cs="Times New Roman" w:eastAsia="Times New Roman" w:hAnsi="Times New Roman"/>
          <w:sz w:val="14"/>
          <w:szCs w:val="14"/>
          <w:color w:val="auto"/>
        </w:rPr>
        <w:t>”), which efforts may be met by the actions of Sublicensees:</w:t>
      </w:r>
    </w:p>
    <w:p>
      <w:pPr>
        <w:spacing w:after="0" w:line="47" w:lineRule="exact"/>
        <w:rPr>
          <w:sz w:val="20"/>
          <w:szCs w:val="20"/>
          <w:color w:val="auto"/>
        </w:rPr>
      </w:pPr>
    </w:p>
    <w:p>
      <w:pPr>
        <w:ind w:left="980" w:right="439" w:hanging="429"/>
        <w:spacing w:after="0" w:line="268" w:lineRule="auto"/>
        <w:tabs>
          <w:tab w:leader="none" w:pos="980"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develop at least one (1) Product in accordance with a development plan (the “</w:t>
      </w:r>
      <w:r>
        <w:rPr>
          <w:rFonts w:ascii="Times New Roman" w:cs="Times New Roman" w:eastAsia="Times New Roman" w:hAnsi="Times New Roman"/>
          <w:sz w:val="14"/>
          <w:szCs w:val="14"/>
          <w:b w:val="1"/>
          <w:bCs w:val="1"/>
          <w:color w:val="auto"/>
        </w:rPr>
        <w:t>Development Plan</w:t>
      </w:r>
      <w:r>
        <w:rPr>
          <w:rFonts w:ascii="Times New Roman" w:cs="Times New Roman" w:eastAsia="Times New Roman" w:hAnsi="Times New Roman"/>
          <w:sz w:val="14"/>
          <w:szCs w:val="14"/>
          <w:color w:val="auto"/>
        </w:rPr>
        <w:t>”); the Development Plan as of the Restatement Date is attached hereto as Schedule 3, and the Development Plan may be updated from time to time by written notice from Licensee to Monash;</w:t>
      </w:r>
    </w:p>
    <w:p>
      <w:pPr>
        <w:spacing w:after="0" w:line="6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seek regulatory approval for the manufacture, marketing and sale of at least one (1) Product; and</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receipt of regulatory approval of a Product in the USA or any country in Europe, to promote and develop the sale of at least one</w:t>
      </w:r>
    </w:p>
    <w:p>
      <w:pPr>
        <w:spacing w:after="0" w:line="21" w:lineRule="exact"/>
        <w:rPr>
          <w:rFonts w:ascii="Times New Roman" w:cs="Times New Roman" w:eastAsia="Times New Roman" w:hAnsi="Times New Roman"/>
          <w:sz w:val="14"/>
          <w:szCs w:val="14"/>
          <w:color w:val="auto"/>
        </w:rPr>
      </w:pP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Product in such country.</w:t>
      </w:r>
    </w:p>
    <w:p>
      <w:pPr>
        <w:spacing w:after="0" w:line="85"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3.2</w:t>
      </w:r>
      <w:r>
        <w:rPr>
          <w:sz w:val="20"/>
          <w:szCs w:val="20"/>
          <w:color w:val="auto"/>
        </w:rPr>
        <w:tab/>
      </w:r>
      <w:r>
        <w:rPr>
          <w:rFonts w:ascii="Times New Roman" w:cs="Times New Roman" w:eastAsia="Times New Roman" w:hAnsi="Times New Roman"/>
          <w:sz w:val="13"/>
          <w:szCs w:val="13"/>
          <w:b w:val="1"/>
          <w:bCs w:val="1"/>
          <w:color w:val="auto"/>
        </w:rPr>
        <w:t>Failure to Use Reasonable Commercial Endeavours</w:t>
      </w:r>
    </w:p>
    <w:p>
      <w:pPr>
        <w:spacing w:after="0" w:line="104" w:lineRule="exact"/>
        <w:rPr>
          <w:sz w:val="20"/>
          <w:szCs w:val="20"/>
          <w:color w:val="auto"/>
        </w:rPr>
      </w:pPr>
    </w:p>
    <w:p>
      <w:pPr>
        <w:ind w:left="980" w:right="759" w:hanging="429"/>
        <w:spacing w:after="0" w:line="283" w:lineRule="auto"/>
        <w:tabs>
          <w:tab w:leader="none" w:pos="98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Monash reasonably believes that Licensee has failed to use Reasonable Commercial Endeavours to diligently and expeditiously undertake the Activities, Monash must provide written notice to Licensee identifying its concern(s).</w:t>
      </w:r>
    </w:p>
    <w:p>
      <w:pPr>
        <w:spacing w:after="0" w:line="51" w:lineRule="exact"/>
        <w:rPr>
          <w:rFonts w:ascii="Times New Roman" w:cs="Times New Roman" w:eastAsia="Times New Roman" w:hAnsi="Times New Roman"/>
          <w:sz w:val="14"/>
          <w:szCs w:val="14"/>
          <w:color w:val="auto"/>
        </w:rPr>
      </w:pPr>
    </w:p>
    <w:p>
      <w:pPr>
        <w:ind w:left="980" w:right="659" w:hanging="429"/>
        <w:spacing w:after="0" w:line="283" w:lineRule="auto"/>
        <w:tabs>
          <w:tab w:leader="none" w:pos="98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receipt of any such notice, Licensee must provide evidence of its commercial diligence to Monash in the form of a report (the “</w:t>
      </w:r>
      <w:r>
        <w:rPr>
          <w:rFonts w:ascii="Times New Roman" w:cs="Times New Roman" w:eastAsia="Times New Roman" w:hAnsi="Times New Roman"/>
          <w:sz w:val="14"/>
          <w:szCs w:val="14"/>
          <w:b w:val="1"/>
          <w:bCs w:val="1"/>
          <w:color w:val="auto"/>
        </w:rPr>
        <w:t>Activity Report</w:t>
      </w:r>
      <w:r>
        <w:rPr>
          <w:rFonts w:ascii="Times New Roman" w:cs="Times New Roman" w:eastAsia="Times New Roman" w:hAnsi="Times New Roman"/>
          <w:sz w:val="14"/>
          <w:szCs w:val="14"/>
          <w:color w:val="auto"/>
        </w:rPr>
        <w:t>”) which shall be provided within [***] of a request by Monash.</w:t>
      </w:r>
    </w:p>
    <w:p>
      <w:pPr>
        <w:spacing w:after="0" w:line="51" w:lineRule="exact"/>
        <w:rPr>
          <w:rFonts w:ascii="Times New Roman" w:cs="Times New Roman" w:eastAsia="Times New Roman" w:hAnsi="Times New Roman"/>
          <w:sz w:val="14"/>
          <w:szCs w:val="14"/>
          <w:color w:val="auto"/>
        </w:rPr>
      </w:pPr>
    </w:p>
    <w:p>
      <w:pPr>
        <w:ind w:left="980" w:right="719" w:hanging="429"/>
        <w:spacing w:after="0" w:line="283" w:lineRule="auto"/>
        <w:tabs>
          <w:tab w:leader="none" w:pos="98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within [***] of receipt of the Activity Report, discuss the contents of the report and what action may be taken by Licensee, if any (the “</w:t>
      </w:r>
      <w:r>
        <w:rPr>
          <w:rFonts w:ascii="Times New Roman" w:cs="Times New Roman" w:eastAsia="Times New Roman" w:hAnsi="Times New Roman"/>
          <w:sz w:val="14"/>
          <w:szCs w:val="14"/>
          <w:b w:val="1"/>
          <w:bCs w:val="1"/>
          <w:color w:val="auto"/>
        </w:rPr>
        <w:t>Activity Report Discussion</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980" w:right="479" w:hanging="429"/>
        <w:spacing w:after="0" w:line="267" w:lineRule="auto"/>
        <w:tabs>
          <w:tab w:leader="none" w:pos="98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situation is reasonably capable of remedy within a [***] period, Licensee shall prepare within [***] of the Activity Report Discussion, an action plan detailing action it will take to pursue Commercialisation of the Licensed Patents and Project IP (the “</w:t>
      </w:r>
      <w:r>
        <w:rPr>
          <w:rFonts w:ascii="Times New Roman" w:cs="Times New Roman" w:eastAsia="Times New Roman" w:hAnsi="Times New Roman"/>
          <w:sz w:val="14"/>
          <w:szCs w:val="14"/>
          <w:b w:val="1"/>
          <w:bCs w:val="1"/>
          <w:color w:val="auto"/>
        </w:rPr>
        <w:t>Action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ind w:left="980" w:right="339" w:hanging="429"/>
        <w:spacing w:after="0" w:line="267" w:lineRule="auto"/>
        <w:tabs>
          <w:tab w:leader="none" w:pos="98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meet [***] to negotiate the terms of the Action Plan. If the Parties cannot agree on an Action Plan then an independent expert may be appointed with agreement of both parties and with both parties [***] to facilitate further discussion among the Parties with the goal of creating a mutually agreeable Action Plan.</w:t>
      </w:r>
    </w:p>
    <w:p>
      <w:pPr>
        <w:spacing w:after="0" w:line="61" w:lineRule="exact"/>
        <w:rPr>
          <w:rFonts w:ascii="Times New Roman" w:cs="Times New Roman" w:eastAsia="Times New Roman" w:hAnsi="Times New Roman"/>
          <w:sz w:val="14"/>
          <w:szCs w:val="14"/>
          <w:color w:val="auto"/>
        </w:rPr>
      </w:pPr>
    </w:p>
    <w:p>
      <w:pPr>
        <w:ind w:left="980" w:right="759" w:hanging="429"/>
        <w:spacing w:after="0" w:line="267" w:lineRule="auto"/>
        <w:tabs>
          <w:tab w:leader="none" w:pos="980"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parties cannot agree on an Action Plan, or Licensee does not, once an Action Plan is in place, use Reasonable Commercial Endeavours to comply with the terms of the Action Plan, Monash shall be entitled to terminate this Agreement in accordance with Clause 12.1.</w:t>
      </w:r>
    </w:p>
    <w:p>
      <w:pPr>
        <w:spacing w:after="0" w:line="8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8</w:t>
      </w:r>
    </w:p>
    <w:p>
      <w:pPr>
        <w:sectPr>
          <w:pgSz w:w="11900" w:h="16838" w:orient="portrait"/>
          <w:cols w:equalWidth="0" w:num="1">
            <w:col w:w="9019"/>
          </w:cols>
          <w:pgMar w:left="1440" w:top="238" w:right="1440" w:bottom="1440" w:gutter="0" w:footer="0" w:header="0"/>
        </w:sectPr>
      </w:pPr>
    </w:p>
    <w:bookmarkStart w:id="546" w:name="page547"/>
    <w:bookmarkEnd w:id="546"/>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3"/>
          <w:szCs w:val="13"/>
          <w:b w:val="1"/>
          <w:bCs w:val="1"/>
          <w:color w:val="auto"/>
        </w:rPr>
        <w:t>Applicable Laws</w:t>
      </w:r>
    </w:p>
    <w:p>
      <w:pPr>
        <w:spacing w:after="0" w:line="104" w:lineRule="exact"/>
        <w:rPr>
          <w:sz w:val="20"/>
          <w:szCs w:val="20"/>
          <w:color w:val="auto"/>
        </w:rPr>
      </w:pPr>
    </w:p>
    <w:p>
      <w:pPr>
        <w:ind w:left="980" w:right="239" w:hanging="429"/>
        <w:spacing w:after="0" w:line="283" w:lineRule="auto"/>
        <w:tabs>
          <w:tab w:leader="none" w:pos="98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must ensure that all research and development activities undertaken by Licensee, its sub-contractors or Sub-licensees in respect of the Licensed Patents, Licensed Information, or Products are conducted in accordance with all Applicable Laws.</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must ensure that the Products are made and sold by Licensee or its Sublicensees in accordance with all Applicable Laws.</w:t>
      </w:r>
    </w:p>
    <w:p>
      <w:pPr>
        <w:spacing w:after="0" w:line="101" w:lineRule="exact"/>
        <w:rPr>
          <w:rFonts w:ascii="Times New Roman" w:cs="Times New Roman" w:eastAsia="Times New Roman" w:hAnsi="Times New Roman"/>
          <w:sz w:val="14"/>
          <w:szCs w:val="14"/>
          <w:color w:val="auto"/>
        </w:rPr>
      </w:pPr>
    </w:p>
    <w:p>
      <w:pPr>
        <w:jc w:val="both"/>
        <w:ind w:left="980" w:right="339" w:hanging="429"/>
        <w:spacing w:after="0" w:line="267" w:lineRule="auto"/>
        <w:tabs>
          <w:tab w:leader="none" w:pos="98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Monash must use reasonable endeavours to ensure that all research and development activities undertaken by Monash, its sub-contractors or its Sublicensees in respect of the Licensed Patents, Licensed Information, or Products are conducted in accordance with all Applicable Laws.</w:t>
      </w:r>
    </w:p>
    <w:p>
      <w:pPr>
        <w:spacing w:after="0" w:line="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3.4</w:t>
      </w:r>
      <w:r>
        <w:rPr>
          <w:sz w:val="20"/>
          <w:szCs w:val="20"/>
          <w:color w:val="auto"/>
        </w:rPr>
        <w:tab/>
      </w:r>
      <w:r>
        <w:rPr>
          <w:rFonts w:ascii="Times New Roman" w:cs="Times New Roman" w:eastAsia="Times New Roman" w:hAnsi="Times New Roman"/>
          <w:sz w:val="13"/>
          <w:szCs w:val="13"/>
          <w:b w:val="1"/>
          <w:bCs w:val="1"/>
          <w:color w:val="auto"/>
        </w:rPr>
        <w:t>Reporting of Activities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Within [***] following the end of each Calendar Year, Licensee will submit to Monash a written report summarizing [***].</w:t>
      </w:r>
    </w:p>
    <w:p>
      <w:pPr>
        <w:spacing w:after="0" w:line="289" w:lineRule="exact"/>
        <w:rPr>
          <w:sz w:val="20"/>
          <w:szCs w:val="20"/>
          <w:color w:val="auto"/>
        </w:rPr>
      </w:pPr>
    </w:p>
    <w:p>
      <w:pPr>
        <w:ind w:left="220" w:right="6479" w:hanging="5"/>
        <w:spacing w:after="0" w:line="385" w:lineRule="auto"/>
        <w:tabs>
          <w:tab w:leader="none" w:pos="556" w:val="left"/>
        </w:tabs>
        <w:numPr>
          <w:ilvl w:val="0"/>
          <w:numId w:val="4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Monash’s Rights and Obligations 4.1 Technical assistance</w:t>
      </w:r>
    </w:p>
    <w:p>
      <w:pPr>
        <w:spacing w:after="0" w:line="1" w:lineRule="exact"/>
        <w:rPr>
          <w:sz w:val="20"/>
          <w:szCs w:val="20"/>
          <w:color w:val="auto"/>
        </w:rPr>
      </w:pPr>
    </w:p>
    <w:p>
      <w:pPr>
        <w:ind w:left="560" w:right="279"/>
        <w:spacing w:after="0" w:line="258" w:lineRule="auto"/>
        <w:rPr>
          <w:sz w:val="20"/>
          <w:szCs w:val="20"/>
          <w:color w:val="auto"/>
        </w:rPr>
      </w:pPr>
      <w:r>
        <w:rPr>
          <w:rFonts w:ascii="Times New Roman" w:cs="Times New Roman" w:eastAsia="Times New Roman" w:hAnsi="Times New Roman"/>
          <w:sz w:val="14"/>
          <w:szCs w:val="14"/>
          <w:color w:val="auto"/>
        </w:rPr>
        <w:t>To the extent reasonably possible, Monash will give or cause to be given to Licensee such reasonable technical assistance and advice based on Monash’s know-how relating to the Licensed Patents, Project IP, Background Technology and Licensed Information, as, in the reasonable opinion of Monash, may be necessary for Licensee to perform its obligations under this Agreement, which assistance and advice shall be free of charge during the pendency of the Research Projects, and provided that upon the expiry or termination of the Research Projects, Licensee shall pay Monash for such advice and assistance, based on [***] as applicable from time to time.</w:t>
      </w:r>
    </w:p>
    <w:p>
      <w:pPr>
        <w:spacing w:after="0" w:line="68"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4.2</w:t>
      </w:r>
      <w:r>
        <w:rPr>
          <w:sz w:val="20"/>
          <w:szCs w:val="20"/>
          <w:color w:val="auto"/>
        </w:rPr>
        <w:tab/>
      </w:r>
      <w:r>
        <w:rPr>
          <w:rFonts w:ascii="Times New Roman" w:cs="Times New Roman" w:eastAsia="Times New Roman" w:hAnsi="Times New Roman"/>
          <w:sz w:val="13"/>
          <w:szCs w:val="13"/>
          <w:b w:val="1"/>
          <w:bCs w:val="1"/>
          <w:color w:val="auto"/>
        </w:rPr>
        <w:t>Limitation of liability</w:t>
      </w:r>
    </w:p>
    <w:p>
      <w:pPr>
        <w:spacing w:after="0" w:line="104" w:lineRule="exact"/>
        <w:rPr>
          <w:sz w:val="20"/>
          <w:szCs w:val="20"/>
          <w:color w:val="auto"/>
        </w:rPr>
      </w:pPr>
    </w:p>
    <w:p>
      <w:pPr>
        <w:ind w:left="980" w:right="259" w:hanging="429"/>
        <w:spacing w:after="0" w:line="323" w:lineRule="auto"/>
        <w:tabs>
          <w:tab w:leader="none" w:pos="980" w:val="left"/>
        </w:tabs>
        <w:numPr>
          <w:ilvl w:val="0"/>
          <w:numId w:val="4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Monash’s liability in relation to any Loss suffered or incurred by Licensee relating to any technical assistance provided, or research carried out under the MTA or a Research Project or otherwise, by Monash shall be limited, to the maximum extent permitted by law, [***].</w:t>
      </w:r>
    </w:p>
    <w:p>
      <w:pPr>
        <w:spacing w:after="0" w:line="28" w:lineRule="exact"/>
        <w:rPr>
          <w:rFonts w:ascii="Times New Roman" w:cs="Times New Roman" w:eastAsia="Times New Roman" w:hAnsi="Times New Roman"/>
          <w:sz w:val="13"/>
          <w:szCs w:val="13"/>
          <w:color w:val="auto"/>
        </w:rPr>
      </w:pPr>
    </w:p>
    <w:p>
      <w:pPr>
        <w:ind w:left="980" w:hanging="429"/>
        <w:spacing w:after="0"/>
        <w:tabs>
          <w:tab w:leader="none" w:pos="98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Monash shall not be liable for any [***].</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9</w:t>
      </w:r>
    </w:p>
    <w:p>
      <w:pPr>
        <w:sectPr>
          <w:pgSz w:w="11900" w:h="16838" w:orient="portrait"/>
          <w:cols w:equalWidth="0" w:num="1">
            <w:col w:w="9019"/>
          </w:cols>
          <w:pgMar w:left="1440" w:top="239" w:right="1440" w:bottom="1440" w:gutter="0" w:footer="0" w:header="0"/>
        </w:sectPr>
      </w:pPr>
    </w:p>
    <w:bookmarkStart w:id="547" w:name="page548"/>
    <w:bookmarkEnd w:id="547"/>
    <w:p>
      <w:pPr>
        <w:ind w:left="560" w:hanging="345"/>
        <w:spacing w:after="0"/>
        <w:tabs>
          <w:tab w:leader="none" w:pos="560" w:val="left"/>
        </w:tabs>
        <w:numPr>
          <w:ilvl w:val="0"/>
          <w:numId w:val="4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Licence</w:t>
      </w:r>
    </w:p>
    <w:p>
      <w:pPr>
        <w:spacing w:after="0" w:line="10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5.1</w:t>
      </w:r>
      <w:r>
        <w:rPr>
          <w:sz w:val="20"/>
          <w:szCs w:val="20"/>
          <w:color w:val="auto"/>
        </w:rPr>
        <w:tab/>
      </w:r>
      <w:r>
        <w:rPr>
          <w:rFonts w:ascii="Times New Roman" w:cs="Times New Roman" w:eastAsia="Times New Roman" w:hAnsi="Times New Roman"/>
          <w:sz w:val="13"/>
          <w:szCs w:val="13"/>
          <w:b w:val="1"/>
          <w:bCs w:val="1"/>
          <w:color w:val="auto"/>
        </w:rPr>
        <w:t>Licence granted to Licensee</w:t>
      </w:r>
    </w:p>
    <w:p>
      <w:pPr>
        <w:spacing w:after="0" w:line="104" w:lineRule="exact"/>
        <w:rPr>
          <w:sz w:val="20"/>
          <w:szCs w:val="20"/>
          <w:color w:val="auto"/>
        </w:rPr>
      </w:pPr>
    </w:p>
    <w:p>
      <w:pPr>
        <w:jc w:val="both"/>
        <w:ind w:left="980" w:right="299" w:hanging="429"/>
        <w:spacing w:after="0" w:line="267" w:lineRule="auto"/>
        <w:tabs>
          <w:tab w:leader="none" w:pos="980"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Monash hereby grants to Licensee a worldwide exclusive (even as to Monash, other than pursuant to Clause 5.5) licence (including a right to sub-license), under Monash’ rights in the Licensed Patents, Licensed Information, and the Project IP, to (a) perform the Activities in the Field and (ii) otherwise Commercialise Products in the Field.</w:t>
      </w:r>
    </w:p>
    <w:p>
      <w:pPr>
        <w:spacing w:after="0" w:line="61" w:lineRule="exact"/>
        <w:rPr>
          <w:rFonts w:ascii="Times New Roman" w:cs="Times New Roman" w:eastAsia="Times New Roman" w:hAnsi="Times New Roman"/>
          <w:sz w:val="14"/>
          <w:szCs w:val="14"/>
          <w:color w:val="auto"/>
        </w:rPr>
      </w:pPr>
    </w:p>
    <w:p>
      <w:pPr>
        <w:ind w:left="980" w:right="259" w:hanging="429"/>
        <w:spacing w:after="0" w:line="283" w:lineRule="auto"/>
        <w:tabs>
          <w:tab w:leader="none" w:pos="980"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Monash also grants to Licensee a worldwide non-exclusive licence (including a right to sub-license) to use any Background Technology or Monash Adaptation strictly to the extent necessary to exercise the licence in Clause 5.1(a).</w:t>
      </w:r>
    </w:p>
    <w:p>
      <w:pPr>
        <w:spacing w:after="0" w:line="49" w:lineRule="exact"/>
        <w:rPr>
          <w:rFonts w:ascii="Times New Roman" w:cs="Times New Roman" w:eastAsia="Times New Roman" w:hAnsi="Times New Roman"/>
          <w:sz w:val="14"/>
          <w:szCs w:val="14"/>
          <w:color w:val="auto"/>
        </w:rPr>
      </w:pPr>
    </w:p>
    <w:p>
      <w:pPr>
        <w:ind w:left="980" w:right="279" w:hanging="429"/>
        <w:spacing w:after="0" w:line="256" w:lineRule="auto"/>
        <w:tabs>
          <w:tab w:leader="none" w:pos="980"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Monash grants to Licensee a first right and exclusive option (“</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to secure an exclusive licence to the Monash Adaptations (including a right to sub-license) on reasonable commercial terms to be agreed between the parties. This Option may be exercised by Licensee in writing at any time for a period of [***] from the date of disclosure of the Monash Adaptation to Licensee (“</w:t>
      </w:r>
      <w:r>
        <w:rPr>
          <w:rFonts w:ascii="Times New Roman" w:cs="Times New Roman" w:eastAsia="Times New Roman" w:hAnsi="Times New Roman"/>
          <w:sz w:val="14"/>
          <w:szCs w:val="14"/>
          <w:b w:val="1"/>
          <w:bCs w:val="1"/>
          <w:color w:val="auto"/>
        </w:rPr>
        <w:t>Option Period</w:t>
      </w:r>
      <w:r>
        <w:rPr>
          <w:rFonts w:ascii="Times New Roman" w:cs="Times New Roman" w:eastAsia="Times New Roman" w:hAnsi="Times New Roman"/>
          <w:sz w:val="14"/>
          <w:szCs w:val="14"/>
          <w:color w:val="auto"/>
        </w:rPr>
        <w:t>”). If Licensee elects to exercise the Option during the Option Period, it shall do so by sending Monash a written notification of such election. Upon Licensee’s exercise of the Option, the parties shall enter into a licence agreement on terms to be agreed, provided that if Licensee does not exercise, or declines its right to, the Option during the Option Period, or if the Parties are unable to reach agreement on the terms of the licence agreement within [***] of the exercise of the Option, Licensee will have no rights to the Monash Adaptations.</w:t>
      </w:r>
    </w:p>
    <w:p>
      <w:pPr>
        <w:spacing w:after="0" w:line="7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5.2</w:t>
      </w:r>
      <w:r>
        <w:rPr>
          <w:sz w:val="20"/>
          <w:szCs w:val="20"/>
          <w:color w:val="auto"/>
        </w:rPr>
        <w:tab/>
      </w:r>
      <w:r>
        <w:rPr>
          <w:rFonts w:ascii="Times New Roman" w:cs="Times New Roman" w:eastAsia="Times New Roman" w:hAnsi="Times New Roman"/>
          <w:sz w:val="13"/>
          <w:szCs w:val="13"/>
          <w:b w:val="1"/>
          <w:bCs w:val="1"/>
          <w:color w:val="auto"/>
        </w:rPr>
        <w:t>Right to sub-license</w:t>
      </w:r>
    </w:p>
    <w:p>
      <w:pPr>
        <w:spacing w:after="0" w:line="93" w:lineRule="exact"/>
        <w:rPr>
          <w:sz w:val="20"/>
          <w:szCs w:val="20"/>
          <w:color w:val="auto"/>
        </w:rPr>
      </w:pPr>
    </w:p>
    <w:p>
      <w:pPr>
        <w:ind w:left="560" w:right="399"/>
        <w:spacing w:after="0" w:line="283" w:lineRule="auto"/>
        <w:rPr>
          <w:sz w:val="20"/>
          <w:szCs w:val="20"/>
          <w:color w:val="auto"/>
        </w:rPr>
      </w:pPr>
      <w:r>
        <w:rPr>
          <w:rFonts w:ascii="Times New Roman" w:cs="Times New Roman" w:eastAsia="Times New Roman" w:hAnsi="Times New Roman"/>
          <w:sz w:val="14"/>
          <w:szCs w:val="14"/>
          <w:color w:val="auto"/>
        </w:rPr>
        <w:t>Licensee shall be free to grant sub-licences of the Licensed Patents, Licensed Information, and Project IP during the Term to any party provided that:</w:t>
      </w:r>
    </w:p>
    <w:p>
      <w:pPr>
        <w:spacing w:after="0" w:line="51" w:lineRule="exact"/>
        <w:rPr>
          <w:sz w:val="20"/>
          <w:szCs w:val="20"/>
          <w:color w:val="auto"/>
        </w:rPr>
      </w:pPr>
    </w:p>
    <w:p>
      <w:pPr>
        <w:ind w:left="980" w:right="359" w:hanging="429"/>
        <w:spacing w:after="0" w:line="283" w:lineRule="auto"/>
        <w:tabs>
          <w:tab w:leader="none" w:pos="980"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of a sublicense or a subcontract shall not in any way diminish, reduce or eliminate any of Licensee’s Obligations under this Agreement, and Licensee shall remain primarily liable for such obligations;</w:t>
      </w:r>
    </w:p>
    <w:p>
      <w:pPr>
        <w:spacing w:after="0" w:line="51" w:lineRule="exact"/>
        <w:rPr>
          <w:rFonts w:ascii="Times New Roman" w:cs="Times New Roman" w:eastAsia="Times New Roman" w:hAnsi="Times New Roman"/>
          <w:sz w:val="14"/>
          <w:szCs w:val="14"/>
          <w:color w:val="auto"/>
        </w:rPr>
      </w:pPr>
    </w:p>
    <w:p>
      <w:pPr>
        <w:ind w:left="980" w:right="339" w:hanging="429"/>
        <w:spacing w:after="0" w:line="267" w:lineRule="auto"/>
        <w:tabs>
          <w:tab w:leader="none" w:pos="980"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shall provide a copy of the sublicence agreement to Monash, which may be redacted to protect sensitive information (other than information which Monash has a reasonable need to know to enforce its rights under this Agreement) and which shall be considered Confidential Information of Licensee; and</w:t>
      </w:r>
    </w:p>
    <w:p>
      <w:pPr>
        <w:spacing w:after="0" w:line="61" w:lineRule="exact"/>
        <w:rPr>
          <w:rFonts w:ascii="Times New Roman" w:cs="Times New Roman" w:eastAsia="Times New Roman" w:hAnsi="Times New Roman"/>
          <w:sz w:val="14"/>
          <w:szCs w:val="14"/>
          <w:color w:val="auto"/>
        </w:rPr>
      </w:pPr>
    </w:p>
    <w:p>
      <w:pPr>
        <w:ind w:left="980" w:right="579" w:hanging="429"/>
        <w:spacing w:after="0" w:line="283" w:lineRule="auto"/>
        <w:tabs>
          <w:tab w:leader="none" w:pos="980" w:val="left"/>
        </w:tabs>
        <w:numPr>
          <w:ilvl w:val="0"/>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shall only grant a sublicence to any Affiliate or third party which undertakes to perform those obligations of this Agreement relevant to such sublicence in accordance with the terms of this Agreement.</w:t>
      </w:r>
    </w:p>
    <w:p>
      <w:pPr>
        <w:spacing w:after="0" w:line="49"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5.3</w:t>
      </w:r>
      <w:r>
        <w:rPr>
          <w:sz w:val="20"/>
          <w:szCs w:val="20"/>
          <w:color w:val="auto"/>
        </w:rPr>
        <w:tab/>
      </w:r>
      <w:r>
        <w:rPr>
          <w:rFonts w:ascii="Times New Roman" w:cs="Times New Roman" w:eastAsia="Times New Roman" w:hAnsi="Times New Roman"/>
          <w:sz w:val="13"/>
          <w:szCs w:val="13"/>
          <w:b w:val="1"/>
          <w:bCs w:val="1"/>
          <w:color w:val="auto"/>
        </w:rPr>
        <w:t>Prosecution and Maintenance of the Licensed Patents</w:t>
      </w:r>
    </w:p>
    <w:p>
      <w:pPr>
        <w:spacing w:after="0" w:line="104" w:lineRule="exact"/>
        <w:rPr>
          <w:sz w:val="20"/>
          <w:szCs w:val="20"/>
          <w:color w:val="auto"/>
        </w:rPr>
      </w:pPr>
    </w:p>
    <w:p>
      <w:pPr>
        <w:ind w:left="980" w:right="239" w:hanging="429"/>
        <w:spacing w:after="0" w:line="267" w:lineRule="auto"/>
        <w:tabs>
          <w:tab w:leader="none" w:pos="98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will, at its option, have the first right to file for, obtain, prosecute and maintain the Licensed Patents including patent filing, patent application prosecution and any other patent application costs as well as ongoing maintenance fees (“</w:t>
      </w:r>
      <w:r>
        <w:rPr>
          <w:rFonts w:ascii="Times New Roman" w:cs="Times New Roman" w:eastAsia="Times New Roman" w:hAnsi="Times New Roman"/>
          <w:sz w:val="14"/>
          <w:szCs w:val="14"/>
          <w:b w:val="1"/>
          <w:bCs w:val="1"/>
          <w:color w:val="auto"/>
        </w:rPr>
        <w:t>Prosecution and Maintenance</w:t>
      </w:r>
      <w:r>
        <w:rPr>
          <w:rFonts w:ascii="Times New Roman" w:cs="Times New Roman" w:eastAsia="Times New Roman" w:hAnsi="Times New Roman"/>
          <w:sz w:val="14"/>
          <w:szCs w:val="14"/>
          <w:color w:val="auto"/>
        </w:rPr>
        <w:t>”). Licensee will provide Monash with a copy of any material filings or other material correspondence with a patent office</w:t>
      </w:r>
    </w:p>
    <w:p>
      <w:pPr>
        <w:spacing w:after="0" w:line="8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10</w:t>
      </w:r>
    </w:p>
    <w:p>
      <w:pPr>
        <w:sectPr>
          <w:pgSz w:w="11900" w:h="16838" w:orient="portrait"/>
          <w:cols w:equalWidth="0" w:num="1">
            <w:col w:w="9019"/>
          </w:cols>
          <w:pgMar w:left="1440" w:top="238" w:right="1440" w:bottom="1440" w:gutter="0" w:footer="0" w:header="0"/>
        </w:sectPr>
      </w:pPr>
    </w:p>
    <w:bookmarkStart w:id="548" w:name="page549"/>
    <w:bookmarkEnd w:id="548"/>
    <w:p>
      <w:pPr>
        <w:ind w:left="98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at least [***] in advance of filing and shall give [***] to all reasonable comments and requests made by Monash with respect to the Prosecution and Maintenance of the Licensed Patents. If Licensee decides not to file or to discontinue Prosecution and Maintenance of any Licensed Patent in any country, Licensee will give Monash not less than [***] written notice thereof, and thereafter, Monash will have the sole right to Prosecution and Maintenance of such Licensed Patent in such country, and for the avoidance of doubt, such patent shall remain included in the definition of the Licensed Patents.</w:t>
      </w:r>
    </w:p>
    <w:p>
      <w:pPr>
        <w:spacing w:after="0" w:line="70" w:lineRule="exact"/>
        <w:rPr>
          <w:sz w:val="20"/>
          <w:szCs w:val="20"/>
          <w:color w:val="auto"/>
        </w:rPr>
      </w:pPr>
    </w:p>
    <w:p>
      <w:pPr>
        <w:ind w:left="980" w:right="299" w:hanging="429"/>
        <w:spacing w:after="0" w:line="261" w:lineRule="auto"/>
        <w:tabs>
          <w:tab w:leader="none" w:pos="98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Commencement Date, Licensee will pay all costs incurred for Prosecution and Maintenance of the Licensed Patents and any Project IP and shall, within [***] of the Commencement Date, reimburse Monash for all expenses incurred in the filing of national phase patent applications for the Licensed Patents prior to the Commencement Date, including allowances for reasonable fees attributed to work performed by Monash’s internal patent attorneys.</w:t>
      </w:r>
    </w:p>
    <w:p>
      <w:pPr>
        <w:spacing w:after="0" w:line="67" w:lineRule="exact"/>
        <w:rPr>
          <w:rFonts w:ascii="Times New Roman" w:cs="Times New Roman" w:eastAsia="Times New Roman" w:hAnsi="Times New Roman"/>
          <w:sz w:val="14"/>
          <w:szCs w:val="14"/>
          <w:color w:val="auto"/>
        </w:rPr>
      </w:pPr>
    </w:p>
    <w:p>
      <w:pPr>
        <w:ind w:left="980" w:right="379" w:hanging="429"/>
        <w:spacing w:after="0" w:line="267" w:lineRule="auto"/>
        <w:tabs>
          <w:tab w:leader="none" w:pos="980"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will, at the responsible Party’s request but at Licensee’s cost, execute all documents and do all things reasonably necessary to assist the responsible Party in the Prosecution and Maintenance and enforcement of the Licensed Patents, provided the requesting Party shall give the other Party no less than [***] prior notice.</w:t>
      </w:r>
    </w:p>
    <w:p>
      <w:pPr>
        <w:spacing w:after="0" w:line="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5.4</w:t>
      </w:r>
      <w:r>
        <w:rPr>
          <w:sz w:val="20"/>
          <w:szCs w:val="20"/>
          <w:color w:val="auto"/>
        </w:rPr>
        <w:tab/>
      </w:r>
      <w:r>
        <w:rPr>
          <w:rFonts w:ascii="Times New Roman" w:cs="Times New Roman" w:eastAsia="Times New Roman" w:hAnsi="Times New Roman"/>
          <w:sz w:val="13"/>
          <w:szCs w:val="13"/>
          <w:b w:val="1"/>
          <w:bCs w:val="1"/>
          <w:color w:val="auto"/>
        </w:rPr>
        <w:t>Entitlement to license Licensed Patents, Licensed Information, and Background Technology</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Monash warrants and represents to Licensee that:</w:t>
      </w:r>
    </w:p>
    <w:p>
      <w:pPr>
        <w:spacing w:after="0" w:line="102" w:lineRule="exact"/>
        <w:rPr>
          <w:sz w:val="20"/>
          <w:szCs w:val="20"/>
          <w:color w:val="auto"/>
        </w:rPr>
      </w:pPr>
    </w:p>
    <w:p>
      <w:pPr>
        <w:ind w:left="980" w:right="339" w:hanging="429"/>
        <w:spacing w:after="0" w:line="261" w:lineRule="auto"/>
        <w:tabs>
          <w:tab w:leader="none" w:pos="98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best of its actual knowledge or belief (as determined by reference to such Monash employees, contractors and agents engaged in administering this Agreement, the MTA or the Research Project), without the need to make additional enquiries, conduct searches or seek legal or patent opinion, it is free and entitled to grant the licences in the Field specified in this Clause 5 including, without limitation all necessary consents and assignments from the inventors of the Licensed Patents; and</w:t>
      </w:r>
    </w:p>
    <w:p>
      <w:pPr>
        <w:spacing w:after="0" w:line="67" w:lineRule="exact"/>
        <w:rPr>
          <w:rFonts w:ascii="Times New Roman" w:cs="Times New Roman" w:eastAsia="Times New Roman" w:hAnsi="Times New Roman"/>
          <w:sz w:val="14"/>
          <w:szCs w:val="14"/>
          <w:color w:val="auto"/>
        </w:rPr>
      </w:pPr>
    </w:p>
    <w:p>
      <w:pPr>
        <w:ind w:left="980" w:right="339" w:hanging="429"/>
        <w:spacing w:after="0" w:line="283" w:lineRule="auto"/>
        <w:tabs>
          <w:tab w:leader="none" w:pos="98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assign, encumber or otherwise deal with (except as permitted by clause 5.5) Licensed Patents, Licensed Information, Project IP and its Background Technology within the Field, except with the prior written approval of the Licensee [***].</w:t>
      </w:r>
    </w:p>
    <w:p>
      <w:pPr>
        <w:spacing w:after="0" w:line="49"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5.5</w:t>
      </w:r>
      <w:r>
        <w:rPr>
          <w:sz w:val="20"/>
          <w:szCs w:val="20"/>
          <w:color w:val="auto"/>
        </w:rPr>
        <w:tab/>
      </w:r>
      <w:r>
        <w:rPr>
          <w:rFonts w:ascii="Times New Roman" w:cs="Times New Roman" w:eastAsia="Times New Roman" w:hAnsi="Times New Roman"/>
          <w:sz w:val="13"/>
          <w:szCs w:val="13"/>
          <w:b w:val="1"/>
          <w:bCs w:val="1"/>
          <w:color w:val="auto"/>
        </w:rPr>
        <w:t>Licence granted to Monash</w:t>
      </w:r>
    </w:p>
    <w:p>
      <w:pPr>
        <w:spacing w:after="0" w:line="93" w:lineRule="exact"/>
        <w:rPr>
          <w:sz w:val="20"/>
          <w:szCs w:val="20"/>
          <w:color w:val="auto"/>
        </w:rPr>
      </w:pPr>
    </w:p>
    <w:p>
      <w:pPr>
        <w:ind w:left="560" w:right="299"/>
        <w:spacing w:after="0" w:line="261" w:lineRule="auto"/>
        <w:rPr>
          <w:sz w:val="20"/>
          <w:szCs w:val="20"/>
          <w:color w:val="auto"/>
        </w:rPr>
      </w:pPr>
      <w:r>
        <w:rPr>
          <w:rFonts w:ascii="Times New Roman" w:cs="Times New Roman" w:eastAsia="Times New Roman" w:hAnsi="Times New Roman"/>
          <w:sz w:val="14"/>
          <w:szCs w:val="14"/>
          <w:color w:val="auto"/>
        </w:rPr>
        <w:t>Licensee agrees that the rights granted to it in this Agreement are subject to Monash’s right (on a non-exclusive, perpetual, royalty-free basis) to practise the Licensed Patents, Licensed Information, and Project IP solely for academic, teaching and non-commercial research uses, which license shall include the right to sub-license for non-commercial collaborative research to other academic institutions or non-commercial research entities.</w:t>
      </w:r>
    </w:p>
    <w:p>
      <w:pPr>
        <w:spacing w:after="0" w:line="8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11</w:t>
      </w:r>
    </w:p>
    <w:p>
      <w:pPr>
        <w:sectPr>
          <w:pgSz w:w="11900" w:h="16838" w:orient="portrait"/>
          <w:cols w:equalWidth="0" w:num="1">
            <w:col w:w="9019"/>
          </w:cols>
          <w:pgMar w:left="1440" w:top="240" w:right="1440" w:bottom="1440" w:gutter="0" w:footer="0" w:header="0"/>
        </w:sectPr>
      </w:pPr>
    </w:p>
    <w:bookmarkStart w:id="549" w:name="page550"/>
    <w:bookmarkEnd w:id="549"/>
    <w:p>
      <w:pPr>
        <w:ind w:left="560" w:hanging="345"/>
        <w:spacing w:after="0"/>
        <w:tabs>
          <w:tab w:leader="none" w:pos="560" w:val="left"/>
        </w:tabs>
        <w:numPr>
          <w:ilvl w:val="0"/>
          <w:numId w:val="4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Research Projects</w:t>
      </w:r>
    </w:p>
    <w:p>
      <w:pPr>
        <w:spacing w:after="0" w:line="10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6.1</w:t>
      </w:r>
      <w:r>
        <w:rPr>
          <w:sz w:val="20"/>
          <w:szCs w:val="20"/>
          <w:color w:val="auto"/>
        </w:rPr>
        <w:tab/>
      </w:r>
      <w:r>
        <w:rPr>
          <w:rFonts w:ascii="Times New Roman" w:cs="Times New Roman" w:eastAsia="Times New Roman" w:hAnsi="Times New Roman"/>
          <w:sz w:val="13"/>
          <w:szCs w:val="13"/>
          <w:b w:val="1"/>
          <w:bCs w:val="1"/>
          <w:color w:val="auto"/>
        </w:rPr>
        <w:t>Ownership of Project IP</w:t>
      </w:r>
    </w:p>
    <w:p>
      <w:pPr>
        <w:spacing w:after="0" w:line="93" w:lineRule="exact"/>
        <w:rPr>
          <w:sz w:val="20"/>
          <w:szCs w:val="20"/>
          <w:color w:val="auto"/>
        </w:rPr>
      </w:pPr>
    </w:p>
    <w:p>
      <w:pPr>
        <w:ind w:left="560" w:right="359"/>
        <w:spacing w:after="0" w:line="267" w:lineRule="auto"/>
        <w:rPr>
          <w:sz w:val="20"/>
          <w:szCs w:val="20"/>
          <w:color w:val="auto"/>
        </w:rPr>
      </w:pPr>
      <w:r>
        <w:rPr>
          <w:rFonts w:ascii="Times New Roman" w:cs="Times New Roman" w:eastAsia="Times New Roman" w:hAnsi="Times New Roman"/>
          <w:sz w:val="14"/>
          <w:szCs w:val="14"/>
          <w:color w:val="auto"/>
        </w:rPr>
        <w:t>Despite anything to the contrary in the MTA, all Project IP shall vest jointly in both Parties as tenants in common in equal shares. Monash may with Licensee’s prior written consent collaborate with third parties with respect to a Research Project on terms that any Improvements that result from the collaboration will be deemed Project IP.</w:t>
      </w:r>
    </w:p>
    <w:p>
      <w:pPr>
        <w:spacing w:after="0" w:line="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6.2</w:t>
      </w:r>
      <w:r>
        <w:rPr>
          <w:sz w:val="20"/>
          <w:szCs w:val="20"/>
          <w:color w:val="auto"/>
        </w:rPr>
        <w:tab/>
      </w:r>
      <w:r>
        <w:rPr>
          <w:rFonts w:ascii="Times New Roman" w:cs="Times New Roman" w:eastAsia="Times New Roman" w:hAnsi="Times New Roman"/>
          <w:sz w:val="13"/>
          <w:szCs w:val="13"/>
          <w:b w:val="1"/>
          <w:bCs w:val="1"/>
          <w:color w:val="auto"/>
        </w:rPr>
        <w:t>Project IP subject to Licence</w:t>
      </w:r>
    </w:p>
    <w:p>
      <w:pPr>
        <w:spacing w:after="0" w:line="93" w:lineRule="exact"/>
        <w:rPr>
          <w:sz w:val="20"/>
          <w:szCs w:val="20"/>
          <w:color w:val="auto"/>
        </w:rPr>
      </w:pPr>
    </w:p>
    <w:p>
      <w:pPr>
        <w:ind w:left="560" w:right="919"/>
        <w:spacing w:after="0" w:line="283" w:lineRule="auto"/>
        <w:rPr>
          <w:sz w:val="20"/>
          <w:szCs w:val="20"/>
          <w:color w:val="auto"/>
        </w:rPr>
      </w:pPr>
      <w:r>
        <w:rPr>
          <w:rFonts w:ascii="Times New Roman" w:cs="Times New Roman" w:eastAsia="Times New Roman" w:hAnsi="Times New Roman"/>
          <w:sz w:val="14"/>
          <w:szCs w:val="14"/>
          <w:color w:val="auto"/>
        </w:rPr>
        <w:t>Notwithstanding anything to the contrary in this Agreement, the Project IP will be deemed to be part of Licensed Patents and Licensed Information for all purposes in this Agreement and is exclusively licensed to Licensee pursuant to Clause 5.1(a).</w:t>
      </w:r>
    </w:p>
    <w:p>
      <w:pPr>
        <w:spacing w:after="0" w:line="49"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6.3</w:t>
      </w:r>
      <w:r>
        <w:rPr>
          <w:sz w:val="20"/>
          <w:szCs w:val="20"/>
          <w:color w:val="auto"/>
        </w:rPr>
        <w:tab/>
      </w:r>
      <w:r>
        <w:rPr>
          <w:rFonts w:ascii="Times New Roman" w:cs="Times New Roman" w:eastAsia="Times New Roman" w:hAnsi="Times New Roman"/>
          <w:sz w:val="13"/>
          <w:szCs w:val="13"/>
          <w:b w:val="1"/>
          <w:bCs w:val="1"/>
          <w:color w:val="auto"/>
        </w:rPr>
        <w:t>Parties to collaborate in the Research Project</w:t>
      </w:r>
    </w:p>
    <w:p>
      <w:pPr>
        <w:spacing w:after="0" w:line="93" w:lineRule="exact"/>
        <w:rPr>
          <w:sz w:val="20"/>
          <w:szCs w:val="20"/>
          <w:color w:val="auto"/>
        </w:rPr>
      </w:pPr>
    </w:p>
    <w:p>
      <w:pPr>
        <w:ind w:left="560" w:right="299"/>
        <w:spacing w:after="0" w:line="258" w:lineRule="auto"/>
        <w:rPr>
          <w:sz w:val="20"/>
          <w:szCs w:val="20"/>
          <w:color w:val="auto"/>
        </w:rPr>
      </w:pPr>
      <w:r>
        <w:rPr>
          <w:rFonts w:ascii="Times New Roman" w:cs="Times New Roman" w:eastAsia="Times New Roman" w:hAnsi="Times New Roman"/>
          <w:sz w:val="14"/>
          <w:szCs w:val="14"/>
          <w:color w:val="auto"/>
        </w:rPr>
        <w:t>The Parties will collaborate in conducting the research in relation to the Research Project for [***] of the Research Project. Monash agrees to provide advance notice to Licensee of any research projects at Monash that are relevant or adjacent to the Licensed Patents, Licensed Information or the Project IP, where the Project Leader specified in the Schedule has actual knowledge of such research projects, in order to provide Licensee with the option to provide funding for such research projects so that any such project would be included as a Research Project, under this Agreement if mutually agreed.</w:t>
      </w:r>
    </w:p>
    <w:p>
      <w:pPr>
        <w:spacing w:after="0" w:line="68"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6.4</w:t>
      </w:r>
      <w:r>
        <w:rPr>
          <w:sz w:val="20"/>
          <w:szCs w:val="20"/>
          <w:color w:val="auto"/>
        </w:rPr>
        <w:tab/>
      </w:r>
      <w:r>
        <w:rPr>
          <w:rFonts w:ascii="Times New Roman" w:cs="Times New Roman" w:eastAsia="Times New Roman" w:hAnsi="Times New Roman"/>
          <w:sz w:val="13"/>
          <w:szCs w:val="13"/>
          <w:b w:val="1"/>
          <w:bCs w:val="1"/>
          <w:color w:val="auto"/>
        </w:rPr>
        <w:t>Research Results</w:t>
      </w:r>
    </w:p>
    <w:p>
      <w:pPr>
        <w:spacing w:after="0" w:line="93" w:lineRule="exact"/>
        <w:rPr>
          <w:sz w:val="20"/>
          <w:szCs w:val="20"/>
          <w:color w:val="auto"/>
        </w:rPr>
      </w:pPr>
    </w:p>
    <w:p>
      <w:pPr>
        <w:jc w:val="both"/>
        <w:ind w:left="560" w:right="299"/>
        <w:spacing w:after="0" w:line="267" w:lineRule="auto"/>
        <w:rPr>
          <w:sz w:val="20"/>
          <w:szCs w:val="20"/>
          <w:color w:val="auto"/>
        </w:rPr>
      </w:pPr>
      <w:r>
        <w:rPr>
          <w:rFonts w:ascii="Times New Roman" w:cs="Times New Roman" w:eastAsia="Times New Roman" w:hAnsi="Times New Roman"/>
          <w:sz w:val="14"/>
          <w:szCs w:val="14"/>
          <w:color w:val="auto"/>
        </w:rPr>
        <w:t>Each Party hereby agrees that all results under any Research Project shall be Project IP and shall be disclosed to the other Party promptly through the management process set out in Clause 6.8. Licensee reserves the right to decide the scope of further research and development activities [***] following review of the results and report from the Research Project, provided that [***].</w:t>
      </w:r>
    </w:p>
    <w:p>
      <w:pPr>
        <w:spacing w:after="0" w:line="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6.5</w:t>
      </w:r>
      <w:r>
        <w:rPr>
          <w:sz w:val="20"/>
          <w:szCs w:val="20"/>
          <w:color w:val="auto"/>
        </w:rPr>
        <w:tab/>
      </w:r>
      <w:r>
        <w:rPr>
          <w:rFonts w:ascii="Times New Roman" w:cs="Times New Roman" w:eastAsia="Times New Roman" w:hAnsi="Times New Roman"/>
          <w:sz w:val="13"/>
          <w:szCs w:val="13"/>
          <w:b w:val="1"/>
          <w:bCs w:val="1"/>
          <w:color w:val="auto"/>
        </w:rPr>
        <w:t>Resources and personnel</w:t>
      </w:r>
    </w:p>
    <w:p>
      <w:pPr>
        <w:spacing w:after="0" w:line="93" w:lineRule="exact"/>
        <w:rPr>
          <w:sz w:val="20"/>
          <w:szCs w:val="20"/>
          <w:color w:val="auto"/>
        </w:rPr>
      </w:pPr>
    </w:p>
    <w:p>
      <w:pPr>
        <w:ind w:left="560" w:right="399"/>
        <w:spacing w:after="0" w:line="267" w:lineRule="auto"/>
        <w:rPr>
          <w:sz w:val="20"/>
          <w:szCs w:val="20"/>
          <w:color w:val="auto"/>
        </w:rPr>
      </w:pPr>
      <w:r>
        <w:rPr>
          <w:rFonts w:ascii="Times New Roman" w:cs="Times New Roman" w:eastAsia="Times New Roman" w:hAnsi="Times New Roman"/>
          <w:sz w:val="14"/>
          <w:szCs w:val="14"/>
          <w:color w:val="auto"/>
        </w:rPr>
        <w:t>Each Party will provide all necessary resources and personnel, to allow the research to be conducted [***], in accordance with the Research Project. Supervising personnel will be those indicated in the Project Details and/or such other persons as nominated by each Party and approved from time to time by the other Party [***].</w:t>
      </w:r>
    </w:p>
    <w:p>
      <w:pPr>
        <w:spacing w:after="0" w:line="8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12</w:t>
      </w:r>
    </w:p>
    <w:p>
      <w:pPr>
        <w:sectPr>
          <w:pgSz w:w="11900" w:h="16838" w:orient="portrait"/>
          <w:cols w:equalWidth="0" w:num="1">
            <w:col w:w="9019"/>
          </w:cols>
          <w:pgMar w:left="1440" w:top="239" w:right="1440" w:bottom="1440" w:gutter="0" w:footer="0" w:header="0"/>
        </w:sectPr>
      </w:pPr>
    </w:p>
    <w:bookmarkStart w:id="550" w:name="page551"/>
    <w:bookmarkEnd w:id="550"/>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6.6</w:t>
      </w:r>
      <w:r>
        <w:rPr>
          <w:sz w:val="20"/>
          <w:szCs w:val="20"/>
          <w:color w:val="auto"/>
        </w:rPr>
        <w:tab/>
      </w:r>
      <w:r>
        <w:rPr>
          <w:rFonts w:ascii="Times New Roman" w:cs="Times New Roman" w:eastAsia="Times New Roman" w:hAnsi="Times New Roman"/>
          <w:sz w:val="13"/>
          <w:szCs w:val="13"/>
          <w:b w:val="1"/>
          <w:bCs w:val="1"/>
          <w:color w:val="auto"/>
        </w:rPr>
        <w:t>Research premises</w:t>
      </w:r>
    </w:p>
    <w:p>
      <w:pPr>
        <w:spacing w:after="0" w:line="93" w:lineRule="exact"/>
        <w:rPr>
          <w:sz w:val="20"/>
          <w:szCs w:val="20"/>
          <w:color w:val="auto"/>
        </w:rPr>
      </w:pPr>
    </w:p>
    <w:p>
      <w:pPr>
        <w:ind w:left="560" w:right="439"/>
        <w:spacing w:after="0" w:line="261" w:lineRule="auto"/>
        <w:rPr>
          <w:sz w:val="20"/>
          <w:szCs w:val="20"/>
          <w:color w:val="auto"/>
        </w:rPr>
      </w:pPr>
      <w:r>
        <w:rPr>
          <w:rFonts w:ascii="Times New Roman" w:cs="Times New Roman" w:eastAsia="Times New Roman" w:hAnsi="Times New Roman"/>
          <w:sz w:val="14"/>
          <w:szCs w:val="14"/>
          <w:color w:val="auto"/>
        </w:rPr>
        <w:t>Monash will allow Licensee full access to its premises for the purpose of inspecting the progress of the research, reviewing the resources being applied and generally ensuring compliance with the requirements of the Research Project, upon [***] notice and subject to [***] security requirements during usual business hours. Such persons may make tests and analyses of equipment and apparatus utilised in the research and examine any books and records maintained in relation to the performance of the research.</w:t>
      </w:r>
    </w:p>
    <w:p>
      <w:pPr>
        <w:spacing w:after="0" w:line="65"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6.7</w:t>
      </w:r>
      <w:r>
        <w:rPr>
          <w:sz w:val="20"/>
          <w:szCs w:val="20"/>
          <w:color w:val="auto"/>
        </w:rPr>
        <w:tab/>
      </w:r>
      <w:r>
        <w:rPr>
          <w:rFonts w:ascii="Times New Roman" w:cs="Times New Roman" w:eastAsia="Times New Roman" w:hAnsi="Times New Roman"/>
          <w:sz w:val="13"/>
          <w:szCs w:val="13"/>
          <w:b w:val="1"/>
          <w:bCs w:val="1"/>
          <w:color w:val="auto"/>
        </w:rPr>
        <w:t>Conduct of Research Project</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Each Party must:</w:t>
      </w:r>
    </w:p>
    <w:p>
      <w:pPr>
        <w:spacing w:after="0" w:line="102" w:lineRule="exact"/>
        <w:rPr>
          <w:sz w:val="20"/>
          <w:szCs w:val="20"/>
          <w:color w:val="auto"/>
        </w:rPr>
      </w:pPr>
    </w:p>
    <w:p>
      <w:pPr>
        <w:ind w:left="980" w:right="519" w:hanging="429"/>
        <w:spacing w:after="0" w:line="261" w:lineRule="auto"/>
        <w:tabs>
          <w:tab w:leader="none" w:pos="980"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all reasonable endeavours to conduct the Research Project in accordance with this Agreement and the Project Details set out in the Schedule, provided however that Licensee acknowledges that research work is by its nature uncertain and Monash makes no representations and gives no warranties as to the standards, accuracy or outcomes of the Research Project or its ability to produce commercially useful results in a timely manner or at all;</w:t>
      </w:r>
    </w:p>
    <w:p>
      <w:pPr>
        <w:spacing w:after="0" w:line="67" w:lineRule="exact"/>
        <w:rPr>
          <w:rFonts w:ascii="Times New Roman" w:cs="Times New Roman" w:eastAsia="Times New Roman" w:hAnsi="Times New Roman"/>
          <w:sz w:val="14"/>
          <w:szCs w:val="14"/>
          <w:color w:val="auto"/>
        </w:rPr>
      </w:pPr>
    </w:p>
    <w:p>
      <w:pPr>
        <w:ind w:left="980" w:right="599" w:hanging="429"/>
        <w:spacing w:after="0" w:line="323" w:lineRule="auto"/>
        <w:tabs>
          <w:tab w:leader="none" w:pos="980" w:val="left"/>
        </w:tabs>
        <w:numPr>
          <w:ilvl w:val="0"/>
          <w:numId w:val="4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use all reasonable endeavours to conduct the research in an efficient, professional and businesslike manner, including instructing any scientists or investigators to maintain contemporaneous, complete and accurate written records of Research Project activities; and</w:t>
      </w:r>
    </w:p>
    <w:p>
      <w:pPr>
        <w:spacing w:after="0" w:line="28" w:lineRule="exact"/>
        <w:rPr>
          <w:rFonts w:ascii="Times New Roman" w:cs="Times New Roman" w:eastAsia="Times New Roman" w:hAnsi="Times New Roman"/>
          <w:sz w:val="13"/>
          <w:szCs w:val="13"/>
          <w:color w:val="auto"/>
        </w:rPr>
      </w:pPr>
    </w:p>
    <w:p>
      <w:pPr>
        <w:ind w:left="980" w:hanging="429"/>
        <w:spacing w:after="0"/>
        <w:tabs>
          <w:tab w:leader="none" w:pos="980"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the research is conducted in compliance with all relevant statutory and other requirements.</w:t>
      </w:r>
    </w:p>
    <w:p>
      <w:pPr>
        <w:spacing w:after="0" w:line="10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6.8</w:t>
      </w:r>
      <w:r>
        <w:rPr>
          <w:sz w:val="20"/>
          <w:szCs w:val="20"/>
          <w:color w:val="auto"/>
        </w:rPr>
        <w:tab/>
      </w:r>
      <w:r>
        <w:rPr>
          <w:rFonts w:ascii="Times New Roman" w:cs="Times New Roman" w:eastAsia="Times New Roman" w:hAnsi="Times New Roman"/>
          <w:sz w:val="13"/>
          <w:szCs w:val="13"/>
          <w:b w:val="1"/>
          <w:bCs w:val="1"/>
          <w:color w:val="auto"/>
        </w:rPr>
        <w:t>Project Management</w:t>
      </w:r>
    </w:p>
    <w:p>
      <w:pPr>
        <w:spacing w:after="0" w:line="93" w:lineRule="exact"/>
        <w:rPr>
          <w:sz w:val="20"/>
          <w:szCs w:val="20"/>
          <w:color w:val="auto"/>
        </w:rPr>
      </w:pPr>
    </w:p>
    <w:p>
      <w:pPr>
        <w:ind w:left="560" w:right="239"/>
        <w:spacing w:after="0" w:line="267" w:lineRule="auto"/>
        <w:rPr>
          <w:sz w:val="20"/>
          <w:szCs w:val="20"/>
          <w:color w:val="auto"/>
        </w:rPr>
      </w:pPr>
      <w:r>
        <w:rPr>
          <w:rFonts w:ascii="Times New Roman" w:cs="Times New Roman" w:eastAsia="Times New Roman" w:hAnsi="Times New Roman"/>
          <w:sz w:val="14"/>
          <w:szCs w:val="14"/>
          <w:color w:val="auto"/>
        </w:rPr>
        <w:t>Each Party must cooperate with the other Party and any other collaborating research organisations in relation to fulfilment of the Research Project. The management process involves two-way communication between the Parties through the committee or other process identified in the Project Details. Each Party’s supervising personnel will participate in meetings of any applicable committee, as required.</w:t>
      </w:r>
    </w:p>
    <w:p>
      <w:pPr>
        <w:spacing w:after="0" w:line="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6.9</w:t>
      </w:r>
      <w:r>
        <w:rPr>
          <w:sz w:val="20"/>
          <w:szCs w:val="20"/>
          <w:color w:val="auto"/>
        </w:rPr>
        <w:tab/>
      </w:r>
      <w:r>
        <w:rPr>
          <w:rFonts w:ascii="Times New Roman" w:cs="Times New Roman" w:eastAsia="Times New Roman" w:hAnsi="Times New Roman"/>
          <w:sz w:val="13"/>
          <w:szCs w:val="13"/>
          <w:b w:val="1"/>
          <w:bCs w:val="1"/>
          <w:color w:val="auto"/>
        </w:rPr>
        <w:t>Project Committee</w:t>
      </w:r>
    </w:p>
    <w:p>
      <w:pPr>
        <w:spacing w:after="0" w:line="93" w:lineRule="exact"/>
        <w:rPr>
          <w:sz w:val="20"/>
          <w:szCs w:val="20"/>
          <w:color w:val="auto"/>
        </w:rPr>
      </w:pPr>
    </w:p>
    <w:p>
      <w:pPr>
        <w:ind w:left="560" w:right="399"/>
        <w:spacing w:after="0" w:line="261" w:lineRule="auto"/>
        <w:rPr>
          <w:sz w:val="20"/>
          <w:szCs w:val="20"/>
          <w:color w:val="auto"/>
        </w:rPr>
      </w:pPr>
      <w:r>
        <w:rPr>
          <w:rFonts w:ascii="Times New Roman" w:cs="Times New Roman" w:eastAsia="Times New Roman" w:hAnsi="Times New Roman"/>
          <w:sz w:val="14"/>
          <w:szCs w:val="14"/>
          <w:color w:val="auto"/>
        </w:rPr>
        <w:t>Unless otherwise specified in the Project Details, the project committee in relation to the Research Project shall be comprised of [***] Monash and Licensee representatives and, by agreement, other third parties as may be relevant. The project committee may meet, adjourn and otherwise regulate its meetings as it [***] thinks fit, including without limitation, convening and conferring by telephone or other means of audiovisual communications and permitting members to appoint alternatives.</w:t>
      </w:r>
    </w:p>
    <w:p>
      <w:pPr>
        <w:spacing w:after="0" w:line="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project committee will finalise the Project Details for the initial Research Project prior to the Commencement Date.</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13</w:t>
      </w:r>
    </w:p>
    <w:p>
      <w:pPr>
        <w:sectPr>
          <w:pgSz w:w="11900" w:h="16838" w:orient="portrait"/>
          <w:cols w:equalWidth="0" w:num="1">
            <w:col w:w="9019"/>
          </w:cols>
          <w:pgMar w:left="1440" w:top="239" w:right="1440" w:bottom="1440" w:gutter="0" w:footer="0" w:header="0"/>
        </w:sectPr>
      </w:pPr>
    </w:p>
    <w:bookmarkStart w:id="551" w:name="page552"/>
    <w:bookmarkEnd w:id="551"/>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6.10 Modification of Research Project</w:t>
      </w:r>
    </w:p>
    <w:p>
      <w:pPr>
        <w:spacing w:after="0" w:line="93" w:lineRule="exact"/>
        <w:rPr>
          <w:sz w:val="20"/>
          <w:szCs w:val="20"/>
          <w:color w:val="auto"/>
        </w:rPr>
      </w:pPr>
    </w:p>
    <w:p>
      <w:pPr>
        <w:ind w:left="560" w:right="359"/>
        <w:spacing w:after="0" w:line="267" w:lineRule="auto"/>
        <w:rPr>
          <w:sz w:val="20"/>
          <w:szCs w:val="20"/>
          <w:color w:val="auto"/>
        </w:rPr>
      </w:pPr>
      <w:r>
        <w:rPr>
          <w:rFonts w:ascii="Times New Roman" w:cs="Times New Roman" w:eastAsia="Times New Roman" w:hAnsi="Times New Roman"/>
          <w:sz w:val="14"/>
          <w:szCs w:val="14"/>
          <w:color w:val="auto"/>
        </w:rPr>
        <w:t>If on the recommendation of the project committee, it appears that the research in relation to a Research Project in whole or part is not achieving its objectives or those objectives are not commercially viable, the Parties shall meet to discuss the Research Project, including whether any variation or modification of the Research Project is required.</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6.11  Records and Accounts; Information Reporting</w:t>
      </w:r>
    </w:p>
    <w:p>
      <w:pPr>
        <w:spacing w:after="0" w:line="93" w:lineRule="exact"/>
        <w:rPr>
          <w:sz w:val="20"/>
          <w:szCs w:val="20"/>
          <w:color w:val="auto"/>
        </w:rPr>
      </w:pPr>
    </w:p>
    <w:p>
      <w:pPr>
        <w:ind w:left="560" w:right="239"/>
        <w:spacing w:after="0" w:line="256" w:lineRule="auto"/>
        <w:rPr>
          <w:sz w:val="20"/>
          <w:szCs w:val="20"/>
          <w:color w:val="auto"/>
        </w:rPr>
      </w:pPr>
      <w:r>
        <w:rPr>
          <w:rFonts w:ascii="Times New Roman" w:cs="Times New Roman" w:eastAsia="Times New Roman" w:hAnsi="Times New Roman"/>
          <w:sz w:val="14"/>
          <w:szCs w:val="14"/>
          <w:color w:val="auto"/>
        </w:rPr>
        <w:t>Each Party must keep complete records and accounts in respect of the research carried out by that Party. The records and accounts must be sufficient to enable a complete understanding of all Project IP and contributions and expenditure made by the Party and all steps taken in the research. No later than [***] after either Party receives written notice of the making, creation, conception or reduction to practice of any Project IP, such Party shall provide disclosure of the same to the other Party. Such disclosure shall contain sufficient detail to enable the Parties to determine whether or not the Project IP contains patentable subject matter. Monash will provide to Licensee [***] written reports summarizing the Research Project activity not previously reported, which reports shall include [***]. In addition, Monash will provide Licensee with a final report of the activities performed and results and data obtained within [***] following the completion of the Research Project.</w:t>
      </w:r>
    </w:p>
    <w:p>
      <w:pPr>
        <w:spacing w:after="0" w:line="257" w:lineRule="exact"/>
        <w:rPr>
          <w:sz w:val="20"/>
          <w:szCs w:val="20"/>
          <w:color w:val="auto"/>
        </w:rPr>
      </w:pPr>
    </w:p>
    <w:p>
      <w:pPr>
        <w:ind w:left="560" w:hanging="345"/>
        <w:spacing w:after="0"/>
        <w:tabs>
          <w:tab w:leader="none" w:pos="560" w:val="left"/>
        </w:tabs>
        <w:numPr>
          <w:ilvl w:val="0"/>
          <w:numId w:val="4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Payments</w:t>
      </w:r>
    </w:p>
    <w:p>
      <w:pPr>
        <w:spacing w:after="0" w:line="10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7.1</w:t>
      </w:r>
      <w:r>
        <w:rPr>
          <w:sz w:val="20"/>
          <w:szCs w:val="20"/>
          <w:color w:val="auto"/>
        </w:rPr>
        <w:tab/>
      </w:r>
      <w:r>
        <w:rPr>
          <w:rFonts w:ascii="Times New Roman" w:cs="Times New Roman" w:eastAsia="Times New Roman" w:hAnsi="Times New Roman"/>
          <w:sz w:val="13"/>
          <w:szCs w:val="13"/>
          <w:b w:val="1"/>
          <w:bCs w:val="1"/>
          <w:color w:val="auto"/>
        </w:rPr>
        <w:t>Research Funding</w:t>
      </w:r>
    </w:p>
    <w:p>
      <w:pPr>
        <w:spacing w:after="0" w:line="93" w:lineRule="exact"/>
        <w:rPr>
          <w:sz w:val="20"/>
          <w:szCs w:val="20"/>
          <w:color w:val="auto"/>
        </w:rPr>
      </w:pPr>
    </w:p>
    <w:p>
      <w:pPr>
        <w:ind w:left="560" w:right="319"/>
        <w:spacing w:after="0" w:line="283" w:lineRule="auto"/>
        <w:rPr>
          <w:sz w:val="20"/>
          <w:szCs w:val="20"/>
          <w:color w:val="auto"/>
        </w:rPr>
      </w:pPr>
      <w:r>
        <w:rPr>
          <w:rFonts w:ascii="Times New Roman" w:cs="Times New Roman" w:eastAsia="Times New Roman" w:hAnsi="Times New Roman"/>
          <w:sz w:val="14"/>
          <w:szCs w:val="14"/>
          <w:color w:val="auto"/>
        </w:rPr>
        <w:t>Licensee shall pay Monash for performance of the Research Project as mutually agreed between the Parties and set forth in the applicable Project Details. The Research Funding must be paid [***] unless otherwise agreed.</w:t>
      </w:r>
    </w:p>
    <w:p>
      <w:pPr>
        <w:spacing w:after="0" w:line="49"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7.2</w:t>
      </w:r>
      <w:r>
        <w:rPr>
          <w:sz w:val="20"/>
          <w:szCs w:val="20"/>
          <w:color w:val="auto"/>
        </w:rPr>
        <w:tab/>
      </w:r>
      <w:r>
        <w:rPr>
          <w:rFonts w:ascii="Times New Roman" w:cs="Times New Roman" w:eastAsia="Times New Roman" w:hAnsi="Times New Roman"/>
          <w:sz w:val="13"/>
          <w:szCs w:val="13"/>
          <w:b w:val="1"/>
          <w:bCs w:val="1"/>
          <w:color w:val="auto"/>
        </w:rPr>
        <w:t>Maintenance Fee</w:t>
      </w:r>
    </w:p>
    <w:p>
      <w:pPr>
        <w:spacing w:after="0" w:line="93" w:lineRule="exact"/>
        <w:rPr>
          <w:sz w:val="20"/>
          <w:szCs w:val="20"/>
          <w:color w:val="auto"/>
        </w:rPr>
      </w:pPr>
    </w:p>
    <w:p>
      <w:pPr>
        <w:ind w:left="560" w:right="239"/>
        <w:spacing w:after="0" w:line="261" w:lineRule="auto"/>
        <w:rPr>
          <w:sz w:val="20"/>
          <w:szCs w:val="20"/>
          <w:color w:val="auto"/>
        </w:rPr>
      </w:pPr>
      <w:r>
        <w:rPr>
          <w:rFonts w:ascii="Times New Roman" w:cs="Times New Roman" w:eastAsia="Times New Roman" w:hAnsi="Times New Roman"/>
          <w:sz w:val="14"/>
          <w:szCs w:val="14"/>
          <w:color w:val="auto"/>
        </w:rPr>
        <w:t>During the Term and commencing on the third anniversary of the Commencement Date, Licensee must pay the Maintenance Fee to Monash on [***]. The Maintenance Fee shall be [***] on the [***]anniversary of the Commencement Date, and [***] on the [***]anniversary of the Commencement Date but shall not be payable after the First Commercial Sale of a Product. This fee is non-refundable and will be credited against payments due under Clause 7.3 and Clause 7.4.</w:t>
      </w:r>
    </w:p>
    <w:p>
      <w:pPr>
        <w:spacing w:after="0" w:line="65"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7.3</w:t>
      </w:r>
      <w:r>
        <w:rPr>
          <w:sz w:val="20"/>
          <w:szCs w:val="20"/>
          <w:color w:val="auto"/>
        </w:rPr>
        <w:tab/>
      </w:r>
      <w:r>
        <w:rPr>
          <w:rFonts w:ascii="Times New Roman" w:cs="Times New Roman" w:eastAsia="Times New Roman" w:hAnsi="Times New Roman"/>
          <w:sz w:val="13"/>
          <w:szCs w:val="13"/>
          <w:b w:val="1"/>
          <w:bCs w:val="1"/>
          <w:color w:val="auto"/>
        </w:rPr>
        <w:t>Ongoing Net Income Sharing and Royalty Payments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If during the Term, on a country-by-country and Product-by-Product basis, Licensee receives any Net Income or Net Sales, then it shall pay to</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Monash a proportion of its Net Income, or Net Sales of such Product as follows:</w:t>
      </w:r>
    </w:p>
    <w:p>
      <w:pPr>
        <w:spacing w:after="0" w:line="87" w:lineRule="exact"/>
        <w:rPr>
          <w:sz w:val="20"/>
          <w:szCs w:val="20"/>
          <w:color w:val="auto"/>
        </w:rPr>
      </w:pPr>
    </w:p>
    <w:p>
      <w:pPr>
        <w:ind w:left="980" w:hanging="429"/>
        <w:spacing w:after="0"/>
        <w:tabs>
          <w:tab w:leader="none" w:pos="980"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Sharing</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14</w:t>
      </w:r>
    </w:p>
    <w:p>
      <w:pPr>
        <w:sectPr>
          <w:pgSz w:w="11900" w:h="16838" w:orient="portrait"/>
          <w:cols w:equalWidth="0" w:num="1">
            <w:col w:w="9019"/>
          </w:cols>
          <w:pgMar w:left="1440" w:top="238" w:right="1440" w:bottom="1440" w:gutter="0" w:footer="0" w:header="0"/>
        </w:sectPr>
      </w:pPr>
    </w:p>
    <w:bookmarkStart w:id="552" w:name="page553"/>
    <w:bookmarkEnd w:id="552"/>
    <w:p>
      <w:pPr>
        <w:ind w:left="1320" w:right="719" w:hanging="338"/>
        <w:spacing w:after="0" w:line="286" w:lineRule="auto"/>
        <w:tabs>
          <w:tab w:leader="none" w:pos="1320"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Until such time as the first dosing of the first patient in the first Phase 1 Trial of any Product (the “</w:t>
      </w:r>
      <w:r>
        <w:rPr>
          <w:rFonts w:ascii="Times New Roman" w:cs="Times New Roman" w:eastAsia="Times New Roman" w:hAnsi="Times New Roman"/>
          <w:sz w:val="14"/>
          <w:szCs w:val="14"/>
          <w:b w:val="1"/>
          <w:bCs w:val="1"/>
          <w:color w:val="auto"/>
        </w:rPr>
        <w:t>First Phase 1 Trial</w:t>
      </w:r>
      <w:r>
        <w:rPr>
          <w:rFonts w:ascii="Times New Roman" w:cs="Times New Roman" w:eastAsia="Times New Roman" w:hAnsi="Times New Roman"/>
          <w:sz w:val="14"/>
          <w:szCs w:val="14"/>
          <w:color w:val="auto"/>
        </w:rPr>
        <w:t>”), the percentage of Net Income payable to Monash, for all sub-licences, shall be</w:t>
      </w:r>
    </w:p>
    <w:p>
      <w:pPr>
        <w:spacing w:after="0" w:line="38" w:lineRule="exact"/>
        <w:rPr>
          <w:rFonts w:ascii="Times New Roman" w:cs="Times New Roman" w:eastAsia="Times New Roman" w:hAnsi="Times New Roman"/>
          <w:sz w:val="14"/>
          <w:szCs w:val="14"/>
          <w:color w:val="auto"/>
        </w:rPr>
      </w:pPr>
    </w:p>
    <w:p>
      <w:pPr>
        <w:ind w:left="1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340" w:right="49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each case, the percentage of Net Income payable to Monash pursuant to this Clause 7.3(a)(1) shall be referred to herein as the “</w:t>
      </w:r>
      <w:r>
        <w:rPr>
          <w:rFonts w:ascii="Times New Roman" w:cs="Times New Roman" w:eastAsia="Times New Roman" w:hAnsi="Times New Roman"/>
          <w:sz w:val="14"/>
          <w:szCs w:val="14"/>
          <w:b w:val="1"/>
          <w:bCs w:val="1"/>
          <w:color w:val="auto"/>
        </w:rPr>
        <w:t>Percent Net Income</w:t>
      </w:r>
      <w:r>
        <w:rPr>
          <w:rFonts w:ascii="Times New Roman" w:cs="Times New Roman" w:eastAsia="Times New Roman" w:hAnsi="Times New Roman"/>
          <w:sz w:val="14"/>
          <w:szCs w:val="14"/>
          <w:color w:val="auto"/>
        </w:rPr>
        <w:t>”.</w:t>
      </w:r>
    </w:p>
    <w:p>
      <w:pPr>
        <w:spacing w:after="0" w:line="49" w:lineRule="exact"/>
        <w:rPr>
          <w:rFonts w:ascii="Times New Roman" w:cs="Times New Roman" w:eastAsia="Times New Roman" w:hAnsi="Times New Roman"/>
          <w:sz w:val="14"/>
          <w:szCs w:val="14"/>
          <w:color w:val="auto"/>
        </w:rPr>
      </w:pPr>
    </w:p>
    <w:p>
      <w:pPr>
        <w:ind w:left="1320" w:right="219" w:hanging="338"/>
        <w:spacing w:after="0" w:line="255" w:lineRule="auto"/>
        <w:tabs>
          <w:tab w:leader="none" w:pos="1320"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Effect of other third party licence payments stacking on Net Income: </w:t>
      </w:r>
      <w:r>
        <w:rPr>
          <w:rFonts w:ascii="Times New Roman" w:cs="Times New Roman" w:eastAsia="Times New Roman" w:hAnsi="Times New Roman"/>
          <w:sz w:val="14"/>
          <w:szCs w:val="14"/>
          <w:color w:val="auto"/>
        </w:rPr>
        <w:t>In the event Net Income is attributable (at least in part)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sublicensing of the rights of one or more third parties (in addition to the Licensed Patents and Licensed Information) to whom Licensee also has an obligation to pay a percent of such Net Income (on the basis that the bundling of rights is intended by Licensee to provide material benefit or advantage in the development and commercialisation of the bundled intellectual property), then the Net Income payable to Monash in that instance (other than any up-front, milestone, success, bonus, maintenance, periodic (including [***]) and minimum royalty payments due under any sub-licence agreement which are solely attributable to the Licensed Patents, Licensed Information, or Project IP and for which no payments are owed to any other licensor) shall be adjusted (“</w:t>
      </w:r>
      <w:r>
        <w:rPr>
          <w:rFonts w:ascii="Times New Roman" w:cs="Times New Roman" w:eastAsia="Times New Roman" w:hAnsi="Times New Roman"/>
          <w:sz w:val="14"/>
          <w:szCs w:val="14"/>
          <w:b w:val="1"/>
          <w:bCs w:val="1"/>
          <w:color w:val="auto"/>
        </w:rPr>
        <w:t>Adjusted 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Income</w:t>
      </w:r>
      <w:r>
        <w:rPr>
          <w:rFonts w:ascii="Times New Roman" w:cs="Times New Roman" w:eastAsia="Times New Roman" w:hAnsi="Times New Roman"/>
          <w:sz w:val="14"/>
          <w:szCs w:val="14"/>
          <w:color w:val="auto"/>
        </w:rPr>
        <w:t>”) by the ratio calculation methodology in accordance with the following paragraphs.</w:t>
      </w:r>
    </w:p>
    <w:p>
      <w:pPr>
        <w:spacing w:after="0" w:line="63" w:lineRule="exact"/>
        <w:rPr>
          <w:rFonts w:ascii="Times New Roman" w:cs="Times New Roman" w:eastAsia="Times New Roman" w:hAnsi="Times New Roman"/>
          <w:sz w:val="14"/>
          <w:szCs w:val="14"/>
          <w:color w:val="auto"/>
        </w:rPr>
      </w:pPr>
    </w:p>
    <w:p>
      <w:pPr>
        <w:ind w:left="1340" w:right="23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determining such Adjusted Net Income, Licensee shall inform Monash of such allocation, and Monash shall have the right to have a third party expert, [***], audit such allocation to determine whether such allocation is reasonable, which audit shall be conducted at the [***] of Monash and shall otherwise be conducted in accordance with the procedures set forth for financial audits set forth in Clause 7.11. In addition, the Percent Net Income stated above shall be reduced by [***] if the Product is not covered by a Valid Claim.</w:t>
      </w:r>
    </w:p>
    <w:p>
      <w:pPr>
        <w:spacing w:after="0" w:line="59" w:lineRule="exact"/>
        <w:rPr>
          <w:rFonts w:ascii="Times New Roman" w:cs="Times New Roman" w:eastAsia="Times New Roman" w:hAnsi="Times New Roman"/>
          <w:sz w:val="14"/>
          <w:szCs w:val="14"/>
          <w:color w:val="auto"/>
        </w:rPr>
      </w:pPr>
    </w:p>
    <w:p>
      <w:pPr>
        <w:ind w:left="1340" w:right="2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the Adjusted Net Income shall not be reduced below [***] of the Net Income otherwise payable to Monash in the case of one additional third party (whereupon this shall in no case be less than [***] of Net Income), or in the case of more than one third party, shall not be reduced below [***] of the Net Income otherwise payable to Monash (whereupon this shall in no case be reduced to less than [***] of Net Income).</w:t>
      </w:r>
    </w:p>
    <w:p>
      <w:pPr>
        <w:spacing w:after="0" w:line="8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15</w:t>
      </w:r>
    </w:p>
    <w:p>
      <w:pPr>
        <w:sectPr>
          <w:pgSz w:w="11900" w:h="16838" w:orient="portrait"/>
          <w:cols w:equalWidth="0" w:num="1">
            <w:col w:w="9019"/>
          </w:cols>
          <w:pgMar w:left="1440" w:top="238" w:right="1440" w:bottom="1440" w:gutter="0" w:footer="0" w:header="0"/>
        </w:sectPr>
      </w:pPr>
    </w:p>
    <w:bookmarkStart w:id="553" w:name="page554"/>
    <w:bookmarkEnd w:id="553"/>
    <w:p>
      <w:pPr>
        <w:jc w:val="both"/>
        <w:ind w:left="980" w:right="499" w:hanging="429"/>
        <w:spacing w:after="0" w:line="296" w:lineRule="auto"/>
        <w:tabs>
          <w:tab w:leader="none" w:pos="980" w:val="left"/>
        </w:tabs>
        <w:numPr>
          <w:ilvl w:val="0"/>
          <w:numId w:val="4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Royalty obligations shall commence from the First Commercial Sale of a Licensed Product and continue, on a Product-by-Product and country-by-country basis, during the Term, for a period of up to [***] from the First Commercial Sale of such Product in such country. Royalties on Net Sales of Product effected during the foregoing period of the Term (the “</w:t>
      </w:r>
      <w:r>
        <w:rPr>
          <w:rFonts w:ascii="Times New Roman" w:cs="Times New Roman" w:eastAsia="Times New Roman" w:hAnsi="Times New Roman"/>
          <w:sz w:val="13"/>
          <w:szCs w:val="13"/>
          <w:b w:val="1"/>
          <w:bCs w:val="1"/>
          <w:color w:val="auto"/>
        </w:rPr>
        <w:t>Royalty Period</w:t>
      </w:r>
      <w:r>
        <w:rPr>
          <w:rFonts w:ascii="Times New Roman" w:cs="Times New Roman" w:eastAsia="Times New Roman" w:hAnsi="Times New Roman"/>
          <w:sz w:val="13"/>
          <w:szCs w:val="13"/>
          <w:color w:val="auto"/>
        </w:rPr>
        <w:t>”) shall be as follows:</w:t>
      </w:r>
    </w:p>
    <w:p>
      <w:pPr>
        <w:spacing w:after="0" w:line="125" w:lineRule="exact"/>
        <w:rPr>
          <w:sz w:val="20"/>
          <w:szCs w:val="20"/>
          <w:color w:val="auto"/>
        </w:rPr>
      </w:pPr>
    </w:p>
    <w:tbl>
      <w:tblPr>
        <w:tblLayout w:type="fixed"/>
        <w:tblInd w:w="980" w:type="dxa"/>
        <w:tblCellMar>
          <w:top w:w="0" w:type="dxa"/>
          <w:left w:w="0" w:type="dxa"/>
          <w:bottom w:w="0" w:type="dxa"/>
          <w:right w:w="0" w:type="dxa"/>
        </w:tblCellMar>
      </w:tblPr>
      <w:tr>
        <w:trPr>
          <w:trHeight w:val="126"/>
        </w:trPr>
        <w:tc>
          <w:tcPr>
            <w:tcW w:w="3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Aggregate Net Sales of all Products</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Royalty Rate</w:t>
            </w:r>
          </w:p>
        </w:tc>
        <w:tc>
          <w:tcPr>
            <w:tcW w:w="0" w:type="dxa"/>
            <w:vAlign w:val="bottom"/>
          </w:tcPr>
          <w:p>
            <w:pPr>
              <w:spacing w:after="0"/>
              <w:rPr>
                <w:sz w:val="1"/>
                <w:szCs w:val="1"/>
                <w:color w:val="auto"/>
              </w:rPr>
            </w:pPr>
          </w:p>
        </w:tc>
      </w:tr>
      <w:tr>
        <w:trPr>
          <w:trHeight w:val="155"/>
        </w:trPr>
        <w:tc>
          <w:tcPr>
            <w:tcW w:w="3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during any Calendar Year</w:t>
            </w:r>
          </w:p>
        </w:tc>
        <w:tc>
          <w:tcPr>
            <w:tcW w:w="3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Portion of Net Sales less than</w:t>
            </w:r>
          </w:p>
        </w:tc>
        <w:tc>
          <w:tcPr>
            <w:tcW w:w="1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US [***]</w:t>
            </w:r>
          </w:p>
        </w:tc>
        <w:tc>
          <w:tcPr>
            <w:tcW w:w="33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 of Net Sales equal to or greater than [***] up to [***]</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 of Net Sales equal to or greater than [***] up to [***]</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 of Net Sales equal to or greater than [***] up to [***]</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83"/>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 of Net Sales equal to or greater than [***]</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20" w:right="419" w:hanging="338"/>
        <w:spacing w:after="0" w:line="267" w:lineRule="auto"/>
        <w:tabs>
          <w:tab w:leader="none" w:pos="1320" w:val="left"/>
        </w:tabs>
        <w:numPr>
          <w:ilvl w:val="0"/>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for so long as no Valid Claim of a Licensed Patent covers a Product in a country in which Net Sales were generated, the Royalty rate in such country shall be reduced by an amount equal to [***] of the proportion otherwise payable in accordance with the table above for the remainder of the Royalty Period.</w:t>
      </w:r>
    </w:p>
    <w:p>
      <w:pPr>
        <w:spacing w:after="0" w:line="61" w:lineRule="exact"/>
        <w:rPr>
          <w:rFonts w:ascii="Times New Roman" w:cs="Times New Roman" w:eastAsia="Times New Roman" w:hAnsi="Times New Roman"/>
          <w:sz w:val="14"/>
          <w:szCs w:val="14"/>
          <w:color w:val="auto"/>
        </w:rPr>
      </w:pPr>
    </w:p>
    <w:p>
      <w:pPr>
        <w:ind w:left="1320" w:right="299" w:hanging="338"/>
        <w:spacing w:after="0" w:line="283" w:lineRule="auto"/>
        <w:tabs>
          <w:tab w:leader="none" w:pos="1320" w:val="left"/>
        </w:tabs>
        <w:numPr>
          <w:ilvl w:val="0"/>
          <w:numId w:val="4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for so long as the Commercialisation of a Product (but not any other component(s) within a Combination Product) reasonably requires Licensee to license one or more patents from a third party, then the Royalty rate payable on Net Sales of such Product may be reduced by an amount up to [***] of the royalty or other ongoing licence fee payable to such third party. For the avoidance of doubt, this reduction shall not apply to reduce the Royalty rate applicable to a Combination Product to the extent that the relevant Licensed Patents are required for the Commercialisation of the other component(s) comprised in any Combination Product.</w:t>
      </w:r>
    </w:p>
    <w:p>
      <w:pPr>
        <w:spacing w:after="0" w:line="54" w:lineRule="exact"/>
        <w:rPr>
          <w:rFonts w:ascii="Times New Roman" w:cs="Times New Roman" w:eastAsia="Times New Roman" w:hAnsi="Times New Roman"/>
          <w:sz w:val="13"/>
          <w:szCs w:val="13"/>
          <w:color w:val="auto"/>
        </w:rPr>
      </w:pPr>
    </w:p>
    <w:p>
      <w:pPr>
        <w:ind w:left="1320" w:right="259" w:hanging="338"/>
        <w:spacing w:after="0" w:line="267" w:lineRule="auto"/>
        <w:tabs>
          <w:tab w:leader="none" w:pos="1320" w:val="left"/>
        </w:tabs>
        <w:numPr>
          <w:ilvl w:val="0"/>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for so long as the Royalty payable by Licensee to Monash on Net Sales by a Sub-licensee exceeds [***] of the royalty paid by the Sub-licensee to Licensee, the Royalty payable by Licensee to Monash shall be reduced to [***] of the royalty payable to Licensee from its Sublicensees.</w:t>
      </w:r>
    </w:p>
    <w:p>
      <w:pPr>
        <w:spacing w:after="0" w:line="51" w:lineRule="exact"/>
        <w:rPr>
          <w:sz w:val="20"/>
          <w:szCs w:val="20"/>
          <w:color w:val="auto"/>
        </w:rPr>
      </w:pPr>
    </w:p>
    <w:p>
      <w:pPr>
        <w:ind w:left="560" w:right="479"/>
        <w:spacing w:after="0" w:line="283" w:lineRule="auto"/>
        <w:rPr>
          <w:sz w:val="20"/>
          <w:szCs w:val="20"/>
          <w:color w:val="auto"/>
        </w:rPr>
      </w:pPr>
      <w:r>
        <w:rPr>
          <w:rFonts w:ascii="Times New Roman" w:cs="Times New Roman" w:eastAsia="Times New Roman" w:hAnsi="Times New Roman"/>
          <w:sz w:val="14"/>
          <w:szCs w:val="14"/>
          <w:color w:val="auto"/>
        </w:rPr>
        <w:t>In the case of Royalty rate reductions as provided for in (1)., (2)., or (3)., above, such Royalty rate reduction shall be capped and the minimum Royalty rate shall in no circumstances be lower than [***] of Net Sales payable to Monash for such Product.</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16</w:t>
      </w:r>
    </w:p>
    <w:p>
      <w:pPr>
        <w:sectPr>
          <w:pgSz w:w="11900" w:h="16838" w:orient="portrait"/>
          <w:cols w:equalWidth="0" w:num="1">
            <w:col w:w="9019"/>
          </w:cols>
          <w:pgMar w:left="1440" w:top="241" w:right="1440" w:bottom="1440" w:gutter="0" w:footer="0" w:header="0"/>
        </w:sectPr>
      </w:pPr>
    </w:p>
    <w:bookmarkStart w:id="554" w:name="page555"/>
    <w:bookmarkEnd w:id="554"/>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7.4</w:t>
      </w:r>
      <w:r>
        <w:rPr>
          <w:sz w:val="20"/>
          <w:szCs w:val="20"/>
          <w:color w:val="auto"/>
        </w:rPr>
        <w:tab/>
      </w:r>
      <w:r>
        <w:rPr>
          <w:rFonts w:ascii="Times New Roman" w:cs="Times New Roman" w:eastAsia="Times New Roman" w:hAnsi="Times New Roman"/>
          <w:sz w:val="13"/>
          <w:szCs w:val="13"/>
          <w:b w:val="1"/>
          <w:bCs w:val="1"/>
          <w:color w:val="auto"/>
        </w:rPr>
        <w:t>Milestone Payments</w:t>
      </w:r>
    </w:p>
    <w:p>
      <w:pPr>
        <w:spacing w:after="0" w:line="93" w:lineRule="exact"/>
        <w:rPr>
          <w:sz w:val="20"/>
          <w:szCs w:val="20"/>
          <w:color w:val="auto"/>
        </w:rPr>
      </w:pPr>
    </w:p>
    <w:p>
      <w:pPr>
        <w:ind w:left="560" w:right="679"/>
        <w:spacing w:after="0" w:line="283" w:lineRule="auto"/>
        <w:rPr>
          <w:sz w:val="20"/>
          <w:szCs w:val="20"/>
          <w:color w:val="auto"/>
        </w:rPr>
      </w:pPr>
      <w:r>
        <w:rPr>
          <w:rFonts w:ascii="Times New Roman" w:cs="Times New Roman" w:eastAsia="Times New Roman" w:hAnsi="Times New Roman"/>
          <w:sz w:val="14"/>
          <w:szCs w:val="14"/>
          <w:color w:val="auto"/>
        </w:rPr>
        <w:t>On achievement of the following development milestones by the first three Licensed Products, Licensee shall pay to Monash the following milestone payments on each of the following occurrences in relation to each such Licensed Product:</w:t>
      </w:r>
    </w:p>
    <w:p>
      <w:pPr>
        <w:spacing w:after="0" w:line="123"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Development Milestones</w:t>
            </w:r>
          </w:p>
        </w:tc>
        <w:tc>
          <w:tcPr>
            <w:tcW w:w="2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40" w:type="dxa"/>
            <w:vAlign w:val="bottom"/>
            <w:vMerge w:val="continue"/>
          </w:tcPr>
          <w:p>
            <w:pPr>
              <w:spacing w:after="0"/>
              <w:rPr>
                <w:sz w:val="14"/>
                <w:szCs w:val="14"/>
                <w:color w:val="auto"/>
              </w:rPr>
            </w:pPr>
          </w:p>
        </w:tc>
        <w:tc>
          <w:tcPr>
            <w:tcW w:w="274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4"/>
                <w:szCs w:val="14"/>
                <w:color w:val="auto"/>
                <w:w w:val="92"/>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US50,000</w:t>
            </w: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2740" w:type="dxa"/>
            <w:vAlign w:val="bottom"/>
          </w:tcPr>
          <w:p>
            <w:pPr>
              <w:jc w:val="right"/>
              <w:ind w:right="2370"/>
              <w:spacing w:after="0"/>
              <w:rPr>
                <w:sz w:val="20"/>
                <w:szCs w:val="20"/>
                <w:color w:val="auto"/>
              </w:rPr>
            </w:pPr>
            <w:r>
              <w:rPr>
                <w:rFonts w:ascii="Times New Roman" w:cs="Times New Roman" w:eastAsia="Times New Roman" w:hAnsi="Times New Roman"/>
                <w:sz w:val="14"/>
                <w:szCs w:val="14"/>
                <w:color w:val="auto"/>
                <w:w w:val="92"/>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US175,000</w:t>
            </w: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274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4"/>
                <w:szCs w:val="14"/>
                <w:color w:val="auto"/>
                <w:w w:val="92"/>
              </w:rPr>
              <w:t>[***]</w:t>
            </w:r>
          </w:p>
        </w:tc>
        <w:tc>
          <w:tcPr>
            <w:tcW w:w="24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740" w:type="dxa"/>
            <w:vAlign w:val="bottom"/>
          </w:tcPr>
          <w:p>
            <w:pPr>
              <w:jc w:val="right"/>
              <w:ind w:right="2370"/>
              <w:spacing w:after="0"/>
              <w:rPr>
                <w:sz w:val="20"/>
                <w:szCs w:val="20"/>
                <w:color w:val="auto"/>
              </w:rPr>
            </w:pPr>
            <w:r>
              <w:rPr>
                <w:rFonts w:ascii="Times New Roman" w:cs="Times New Roman" w:eastAsia="Times New Roman" w:hAnsi="Times New Roman"/>
                <w:sz w:val="14"/>
                <w:szCs w:val="14"/>
                <w:color w:val="auto"/>
                <w:w w:val="92"/>
              </w:rPr>
              <w:t>[***]</w:t>
            </w:r>
          </w:p>
        </w:tc>
        <w:tc>
          <w:tcPr>
            <w:tcW w:w="2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2"/>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Commercial Milestones</w:t>
            </w: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40" w:type="dxa"/>
            <w:vAlign w:val="bottom"/>
            <w:vMerge w:val="continue"/>
          </w:tcPr>
          <w:p>
            <w:pPr>
              <w:spacing w:after="0"/>
              <w:rPr>
                <w:sz w:val="14"/>
                <w:szCs w:val="14"/>
                <w:color w:val="auto"/>
              </w:rPr>
            </w:pPr>
          </w:p>
        </w:tc>
        <w:tc>
          <w:tcPr>
            <w:tcW w:w="274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4"/>
                <w:szCs w:val="14"/>
                <w:color w:val="auto"/>
                <w:w w:val="92"/>
              </w:rPr>
              <w:t>[***]</w:t>
            </w:r>
          </w:p>
        </w:tc>
        <w:tc>
          <w:tcPr>
            <w:tcW w:w="24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2740" w:type="dxa"/>
            <w:vAlign w:val="bottom"/>
          </w:tcPr>
          <w:p>
            <w:pPr>
              <w:jc w:val="right"/>
              <w:ind w:right="2370"/>
              <w:spacing w:after="0"/>
              <w:rPr>
                <w:sz w:val="20"/>
                <w:szCs w:val="20"/>
                <w:color w:val="auto"/>
              </w:rPr>
            </w:pPr>
            <w:r>
              <w:rPr>
                <w:rFonts w:ascii="Times New Roman" w:cs="Times New Roman" w:eastAsia="Times New Roman" w:hAnsi="Times New Roman"/>
                <w:sz w:val="14"/>
                <w:szCs w:val="14"/>
                <w:color w:val="auto"/>
                <w:w w:val="92"/>
              </w:rPr>
              <w:t>[***]</w:t>
            </w:r>
          </w:p>
        </w:tc>
        <w:tc>
          <w:tcPr>
            <w:tcW w:w="2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274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4"/>
                <w:szCs w:val="14"/>
                <w:color w:val="auto"/>
                <w:w w:val="92"/>
              </w:rPr>
              <w:t>[***]</w:t>
            </w:r>
          </w:p>
        </w:tc>
        <w:tc>
          <w:tcPr>
            <w:tcW w:w="24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60" w:right="419"/>
        <w:spacing w:after="0" w:line="283" w:lineRule="auto"/>
        <w:rPr>
          <w:sz w:val="20"/>
          <w:szCs w:val="20"/>
          <w:color w:val="auto"/>
        </w:rPr>
      </w:pPr>
      <w:r>
        <w:rPr>
          <w:rFonts w:ascii="Times New Roman" w:cs="Times New Roman" w:eastAsia="Times New Roman" w:hAnsi="Times New Roman"/>
          <w:sz w:val="14"/>
          <w:szCs w:val="14"/>
          <w:color w:val="auto"/>
        </w:rPr>
        <w:t>For the avoidance of doubt, if Licensee develops more than one Product, then Licensee shall pay an amount equal to [***] of each of the above Development Milestones for each additional Product that requires a separate regulatory approval, up to a maximum of three (3) Products.</w:t>
      </w:r>
    </w:p>
    <w:p>
      <w:pPr>
        <w:spacing w:after="0" w:line="49"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7.5</w:t>
      </w:r>
      <w:r>
        <w:rPr>
          <w:sz w:val="20"/>
          <w:szCs w:val="20"/>
          <w:color w:val="auto"/>
        </w:rPr>
        <w:tab/>
      </w:r>
      <w:r>
        <w:rPr>
          <w:rFonts w:ascii="Times New Roman" w:cs="Times New Roman" w:eastAsia="Times New Roman" w:hAnsi="Times New Roman"/>
          <w:sz w:val="13"/>
          <w:szCs w:val="13"/>
          <w:b w:val="1"/>
          <w:bCs w:val="1"/>
          <w:color w:val="auto"/>
        </w:rPr>
        <w:t>Licensee Paid-Up Licence</w:t>
      </w:r>
    </w:p>
    <w:p>
      <w:pPr>
        <w:spacing w:after="0" w:line="93" w:lineRule="exact"/>
        <w:rPr>
          <w:sz w:val="20"/>
          <w:szCs w:val="20"/>
          <w:color w:val="auto"/>
        </w:rPr>
      </w:pPr>
    </w:p>
    <w:p>
      <w:pPr>
        <w:ind w:left="560" w:right="259"/>
        <w:spacing w:after="0" w:line="261" w:lineRule="auto"/>
        <w:rPr>
          <w:sz w:val="20"/>
          <w:szCs w:val="20"/>
          <w:color w:val="auto"/>
        </w:rPr>
      </w:pPr>
      <w:r>
        <w:rPr>
          <w:rFonts w:ascii="Times New Roman" w:cs="Times New Roman" w:eastAsia="Times New Roman" w:hAnsi="Times New Roman"/>
          <w:sz w:val="14"/>
          <w:szCs w:val="14"/>
          <w:color w:val="auto"/>
        </w:rPr>
        <w:t>Upon the expiration of Licensee’s obligation under Clause 7.3 to pay Royalties during the Term on Net Sales in a particular country, Licensee shall have a fully paid-up, nonexclusive licence in that country, with the right to sublicense, to research, develop, make, have made, use, sell, offer for sale, have sold, import, export or otherwise exploit, or transfer physical possession of or title in such Licensed Product for any use in that country.</w:t>
      </w:r>
    </w:p>
    <w:p>
      <w:pPr>
        <w:spacing w:after="0" w:line="65"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7.6</w:t>
      </w:r>
      <w:r>
        <w:rPr>
          <w:sz w:val="20"/>
          <w:szCs w:val="20"/>
          <w:color w:val="auto"/>
        </w:rPr>
        <w:tab/>
      </w:r>
      <w:r>
        <w:rPr>
          <w:rFonts w:ascii="Times New Roman" w:cs="Times New Roman" w:eastAsia="Times New Roman" w:hAnsi="Times New Roman"/>
          <w:sz w:val="13"/>
          <w:szCs w:val="13"/>
          <w:b w:val="1"/>
          <w:bCs w:val="1"/>
          <w:color w:val="auto"/>
        </w:rPr>
        <w:t>Deduction of Taxes</w:t>
      </w:r>
    </w:p>
    <w:p>
      <w:pPr>
        <w:spacing w:after="0" w:line="93" w:lineRule="exact"/>
        <w:rPr>
          <w:sz w:val="20"/>
          <w:szCs w:val="20"/>
          <w:color w:val="auto"/>
        </w:rPr>
      </w:pPr>
    </w:p>
    <w:p>
      <w:pPr>
        <w:ind w:left="560" w:right="339"/>
        <w:spacing w:after="0" w:line="258" w:lineRule="auto"/>
        <w:rPr>
          <w:sz w:val="20"/>
          <w:szCs w:val="20"/>
          <w:color w:val="auto"/>
        </w:rPr>
      </w:pPr>
      <w:r>
        <w:rPr>
          <w:rFonts w:ascii="Times New Roman" w:cs="Times New Roman" w:eastAsia="Times New Roman" w:hAnsi="Times New Roman"/>
          <w:sz w:val="14"/>
          <w:szCs w:val="14"/>
          <w:color w:val="auto"/>
        </w:rPr>
        <w:t>All payments of royalties, milestones and licence fees under Clause 7, shall be made without deduction of income tax or other taxes charges or duties that may be imposed, except insofar as the Licensee is required to deduct the same to comply with applicable laws. The Parties shall cooperate and take all steps reasonably and lawfully available to them, [***] of Licensee, to avoid deducting such taxes and to obtain double taxation relief. If the Licensee is required to make any such deduction it shall provide Monash with such certificates or other documents as it can reasonably obtain to enable Monash to obtain appropriate relief from double taxation of the payment in question.</w:t>
      </w:r>
    </w:p>
    <w:p>
      <w:pPr>
        <w:spacing w:after="0" w:line="9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17</w:t>
      </w:r>
    </w:p>
    <w:p>
      <w:pPr>
        <w:sectPr>
          <w:pgSz w:w="11900" w:h="16838" w:orient="portrait"/>
          <w:cols w:equalWidth="0" w:num="1">
            <w:col w:w="9019"/>
          </w:cols>
          <w:pgMar w:left="1440" w:top="239" w:right="1440" w:bottom="1440" w:gutter="0" w:footer="0" w:header="0"/>
        </w:sectPr>
      </w:pPr>
    </w:p>
    <w:bookmarkStart w:id="555" w:name="page556"/>
    <w:bookmarkEnd w:id="555"/>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7.7</w:t>
      </w:r>
      <w:r>
        <w:rPr>
          <w:sz w:val="20"/>
          <w:szCs w:val="20"/>
          <w:color w:val="auto"/>
        </w:rPr>
        <w:tab/>
      </w:r>
      <w:r>
        <w:rPr>
          <w:rFonts w:ascii="Times New Roman" w:cs="Times New Roman" w:eastAsia="Times New Roman" w:hAnsi="Times New Roman"/>
          <w:sz w:val="13"/>
          <w:szCs w:val="13"/>
          <w:b w:val="1"/>
          <w:bCs w:val="1"/>
          <w:color w:val="auto"/>
        </w:rPr>
        <w:t>Sales of Products</w:t>
      </w:r>
    </w:p>
    <w:p>
      <w:pPr>
        <w:spacing w:after="0" w:line="104" w:lineRule="exact"/>
        <w:rPr>
          <w:sz w:val="20"/>
          <w:szCs w:val="20"/>
          <w:color w:val="auto"/>
        </w:rPr>
      </w:pPr>
    </w:p>
    <w:p>
      <w:pPr>
        <w:ind w:left="980" w:right="379" w:hanging="429"/>
        <w:spacing w:after="0" w:line="267" w:lineRule="auto"/>
        <w:tabs>
          <w:tab w:leader="none" w:pos="980"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payments under Clause 7.3 shall be due and payable upon the sale or other transfer of Product among Licensee and its Sub-licensees, but in such cases the payment shall be due and payable and calculated upon Licensee’s or its Sub- licensee’s sale of such Product to the first entity which is not Licensee or a Sublicensee.</w:t>
      </w:r>
    </w:p>
    <w:p>
      <w:pPr>
        <w:spacing w:after="0" w:line="61" w:lineRule="exact"/>
        <w:rPr>
          <w:rFonts w:ascii="Times New Roman" w:cs="Times New Roman" w:eastAsia="Times New Roman" w:hAnsi="Times New Roman"/>
          <w:sz w:val="14"/>
          <w:szCs w:val="14"/>
          <w:color w:val="auto"/>
        </w:rPr>
      </w:pPr>
    </w:p>
    <w:p>
      <w:pPr>
        <w:ind w:left="980" w:right="279" w:hanging="429"/>
        <w:spacing w:after="0" w:line="267" w:lineRule="auto"/>
        <w:tabs>
          <w:tab w:leader="none" w:pos="980" w:val="left"/>
        </w:tabs>
        <w:numPr>
          <w:ilvl w:val="0"/>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must ensure that sales of Products by Licensee and its Sub-licensees to third parties (excluding such limited quantities of promotional samples as are reasonable and customary in the markets in which such Product sales are to occur) are on an arm’s length basis and if in doubt Licensee will provide notification to Monash in advance.</w:t>
      </w:r>
    </w:p>
    <w:p>
      <w:pPr>
        <w:spacing w:after="0" w:line="6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7.8</w:t>
      </w:r>
      <w:r>
        <w:rPr>
          <w:sz w:val="20"/>
          <w:szCs w:val="20"/>
          <w:color w:val="auto"/>
        </w:rPr>
        <w:tab/>
      </w:r>
      <w:r>
        <w:rPr>
          <w:rFonts w:ascii="Times New Roman" w:cs="Times New Roman" w:eastAsia="Times New Roman" w:hAnsi="Times New Roman"/>
          <w:sz w:val="13"/>
          <w:szCs w:val="13"/>
          <w:b w:val="1"/>
          <w:bCs w:val="1"/>
          <w:color w:val="auto"/>
        </w:rPr>
        <w:t>Timing of payments and interest</w:t>
      </w:r>
    </w:p>
    <w:p>
      <w:pPr>
        <w:spacing w:after="0" w:line="104" w:lineRule="exact"/>
        <w:rPr>
          <w:sz w:val="20"/>
          <w:szCs w:val="20"/>
          <w:color w:val="auto"/>
        </w:rPr>
      </w:pPr>
    </w:p>
    <w:p>
      <w:pPr>
        <w:ind w:left="980" w:right="259" w:hanging="429"/>
        <w:spacing w:after="0" w:line="267" w:lineRule="auto"/>
        <w:tabs>
          <w:tab w:leader="none" w:pos="980"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shall pay to Monash any monies due under Clause 7 on a [***]basis, within [***] after the end of each [***]. With respect to Net Income and Net Sales generated during the Term but received after the end of the Term, Licensee shall pay Monash the applicable monies due under Clause 7 within [***] of receipt.</w:t>
      </w:r>
    </w:p>
    <w:p>
      <w:pPr>
        <w:spacing w:after="0" w:line="61" w:lineRule="exact"/>
        <w:rPr>
          <w:rFonts w:ascii="Times New Roman" w:cs="Times New Roman" w:eastAsia="Times New Roman" w:hAnsi="Times New Roman"/>
          <w:sz w:val="14"/>
          <w:szCs w:val="14"/>
          <w:color w:val="auto"/>
        </w:rPr>
      </w:pPr>
    </w:p>
    <w:p>
      <w:pPr>
        <w:ind w:left="980" w:right="239" w:hanging="429"/>
        <w:spacing w:after="0" w:line="283" w:lineRule="auto"/>
        <w:tabs>
          <w:tab w:leader="none" w:pos="980"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must pay interest on any money that it owes in relation to this agreement but fails to pay on time. Such interest accrues [***]. The rate of interest shall be [***].</w:t>
      </w:r>
    </w:p>
    <w:p>
      <w:pPr>
        <w:spacing w:after="0" w:line="49"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7.9</w:t>
      </w:r>
      <w:r>
        <w:rPr>
          <w:sz w:val="20"/>
          <w:szCs w:val="20"/>
          <w:color w:val="auto"/>
        </w:rPr>
        <w:tab/>
      </w:r>
      <w:r>
        <w:rPr>
          <w:rFonts w:ascii="Times New Roman" w:cs="Times New Roman" w:eastAsia="Times New Roman" w:hAnsi="Times New Roman"/>
          <w:sz w:val="13"/>
          <w:szCs w:val="13"/>
          <w:b w:val="1"/>
          <w:bCs w:val="1"/>
          <w:color w:val="auto"/>
        </w:rPr>
        <w:t>Royalty Reports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Within [***] of the end of each Calendar Year, Licensee will make written reports setting out:</w:t>
      </w:r>
    </w:p>
    <w:p>
      <w:pPr>
        <w:spacing w:after="0" w:line="102" w:lineRule="exact"/>
        <w:rPr>
          <w:sz w:val="20"/>
          <w:szCs w:val="20"/>
          <w:color w:val="auto"/>
        </w:rPr>
      </w:pPr>
    </w:p>
    <w:p>
      <w:pPr>
        <w:ind w:left="980" w:hanging="429"/>
        <w:spacing w:after="0"/>
        <w:tabs>
          <w:tab w:leader="none" w:pos="98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and Net Sales revenue earned from all Products during that Financial Year;</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for calculation of Royalties;</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Royalty payable for that Calendar Year; and</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projections for the following Calendar Year.</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7.10 Currency and form of payment</w:t>
      </w:r>
    </w:p>
    <w:p>
      <w:pPr>
        <w:spacing w:after="0" w:line="93" w:lineRule="exact"/>
        <w:rPr>
          <w:sz w:val="20"/>
          <w:szCs w:val="20"/>
          <w:color w:val="auto"/>
        </w:rPr>
      </w:pPr>
    </w:p>
    <w:p>
      <w:pPr>
        <w:ind w:left="560" w:right="339"/>
        <w:spacing w:after="0" w:line="267" w:lineRule="auto"/>
        <w:rPr>
          <w:sz w:val="20"/>
          <w:szCs w:val="20"/>
          <w:color w:val="auto"/>
        </w:rPr>
      </w:pPr>
      <w:r>
        <w:rPr>
          <w:rFonts w:ascii="Times New Roman" w:cs="Times New Roman" w:eastAsia="Times New Roman" w:hAnsi="Times New Roman"/>
          <w:sz w:val="14"/>
          <w:szCs w:val="14"/>
          <w:color w:val="auto"/>
        </w:rPr>
        <w:t>All payments to be made by Licensee to Monash under this agreement shall be made in United States dollars or such other currency as agreed by the Parties from time to time and be paid via wire transfer or such other method as is specified by Monash from time to time in immediately available funds to a bank account in Australia in Monash’s name designated in writing by Monash from time to time.</w:t>
      </w:r>
    </w:p>
    <w:p>
      <w:pPr>
        <w:spacing w:after="0" w:line="8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18</w:t>
      </w:r>
    </w:p>
    <w:p>
      <w:pPr>
        <w:sectPr>
          <w:pgSz w:w="11900" w:h="16838" w:orient="portrait"/>
          <w:cols w:equalWidth="0" w:num="1">
            <w:col w:w="9019"/>
          </w:cols>
          <w:pgMar w:left="1440" w:top="238" w:right="1440" w:bottom="1440" w:gutter="0" w:footer="0" w:header="0"/>
        </w:sectPr>
      </w:pPr>
    </w:p>
    <w:bookmarkStart w:id="556" w:name="page557"/>
    <w:bookmarkEnd w:id="556"/>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7.11  Books of account</w:t>
      </w:r>
    </w:p>
    <w:p>
      <w:pPr>
        <w:spacing w:after="0" w:line="93" w:lineRule="exact"/>
        <w:rPr>
          <w:sz w:val="20"/>
          <w:szCs w:val="20"/>
          <w:color w:val="auto"/>
        </w:rPr>
      </w:pPr>
    </w:p>
    <w:p>
      <w:pPr>
        <w:ind w:left="560" w:right="639"/>
        <w:spacing w:after="0" w:line="267" w:lineRule="auto"/>
        <w:rPr>
          <w:sz w:val="20"/>
          <w:szCs w:val="20"/>
          <w:color w:val="auto"/>
        </w:rPr>
      </w:pPr>
      <w:r>
        <w:rPr>
          <w:rFonts w:ascii="Times New Roman" w:cs="Times New Roman" w:eastAsia="Times New Roman" w:hAnsi="Times New Roman"/>
          <w:sz w:val="14"/>
          <w:szCs w:val="14"/>
          <w:color w:val="auto"/>
        </w:rPr>
        <w:t>Licensee must keep proper and accurate books of account and records which must contain all information and financial statements as to the production, manufacture and supply of the Products and the receipts and expenses in respect of those Products, so as to enable a correct computation to be made of the Royalty payable in respect of the Products.</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7.12 Inspection and audit of books</w:t>
      </w:r>
    </w:p>
    <w:p>
      <w:pPr>
        <w:spacing w:after="0" w:line="104" w:lineRule="exact"/>
        <w:rPr>
          <w:sz w:val="20"/>
          <w:szCs w:val="20"/>
          <w:color w:val="auto"/>
        </w:rPr>
      </w:pPr>
    </w:p>
    <w:p>
      <w:pPr>
        <w:ind w:left="980" w:right="379" w:hanging="429"/>
        <w:spacing w:after="0" w:line="255" w:lineRule="auto"/>
        <w:tabs>
          <w:tab w:leader="none" w:pos="980" w:val="left"/>
        </w:tabs>
        <w:numPr>
          <w:ilvl w:val="1"/>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must, upon reasonable notice and subject to reasonable security requirement during usual business hours, permit an internationally recognised, independent, certified or chartered public accounting firm appointed by Monash (the “</w:t>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to access all records kept by Licensee in relation to the manufacture and supply of the Products to the extent relevant to calculation of the Royalty payable by Licensee in respect of any Calendar Year and to inspect and take copies of such records. Any such inspection will be at Monash’s [***] (except as set forth in Clause 7.12(b) below) and will be limited to [***]. The Auditor must sign Licensee’s reasonable form confidentiality agreement prior to any such access and all books and records reviewed will be deemed Licensee’s Confidential Information. The Auditor will be permitted to provide Monash with only a report of the results of its findings, and will provide a copy of any such report to Licensee. The Auditor’s report will be deemed Licensee’s Confidential Information.</w:t>
      </w:r>
    </w:p>
    <w:p>
      <w:pPr>
        <w:spacing w:after="0" w:line="71" w:lineRule="exact"/>
        <w:rPr>
          <w:rFonts w:ascii="Times New Roman" w:cs="Times New Roman" w:eastAsia="Times New Roman" w:hAnsi="Times New Roman"/>
          <w:sz w:val="14"/>
          <w:szCs w:val="14"/>
          <w:color w:val="auto"/>
        </w:rPr>
      </w:pPr>
    </w:p>
    <w:p>
      <w:pPr>
        <w:ind w:left="980" w:right="239" w:hanging="429"/>
        <w:spacing w:after="0" w:line="261" w:lineRule="auto"/>
        <w:tabs>
          <w:tab w:leader="none" w:pos="980" w:val="left"/>
        </w:tabs>
        <w:numPr>
          <w:ilvl w:val="1"/>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inspection or audit made pursuant to Clause 7.12(a) reveals that any amount paid by Licensee to Monash is less than the amount required by this Agreement, Licensee must [***] pay to Monash the shortfall. If any such shortfall in payment is in excess of [***] of the amount which had initially been paid by Licensee, Licensee must immediately reimburse Monash for [***] incurred in connection with the audit or inspection which disclosed that shortfall [***].</w:t>
      </w:r>
    </w:p>
    <w:p>
      <w:pPr>
        <w:spacing w:after="0" w:line="67" w:lineRule="exact"/>
        <w:rPr>
          <w:rFonts w:ascii="Times New Roman" w:cs="Times New Roman" w:eastAsia="Times New Roman" w:hAnsi="Times New Roman"/>
          <w:sz w:val="14"/>
          <w:szCs w:val="14"/>
          <w:color w:val="auto"/>
        </w:rPr>
      </w:pPr>
    </w:p>
    <w:p>
      <w:pPr>
        <w:ind w:left="980" w:right="539" w:hanging="429"/>
        <w:spacing w:after="0" w:line="283" w:lineRule="auto"/>
        <w:tabs>
          <w:tab w:leader="none" w:pos="980" w:val="left"/>
        </w:tabs>
        <w:numPr>
          <w:ilvl w:val="1"/>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made under Clause 7.12(b), are without prejudice to any other remedies that Monash may have under this Agreement or otherwise.</w:t>
      </w:r>
    </w:p>
    <w:p>
      <w:pPr>
        <w:spacing w:after="0" w:line="238" w:lineRule="exact"/>
        <w:rPr>
          <w:rFonts w:ascii="Times New Roman" w:cs="Times New Roman" w:eastAsia="Times New Roman" w:hAnsi="Times New Roman"/>
          <w:sz w:val="14"/>
          <w:szCs w:val="14"/>
          <w:color w:val="auto"/>
        </w:rPr>
      </w:pPr>
    </w:p>
    <w:p>
      <w:pPr>
        <w:ind w:left="560" w:hanging="345"/>
        <w:spacing w:after="0"/>
        <w:tabs>
          <w:tab w:leader="none" w:pos="560" w:val="left"/>
        </w:tabs>
        <w:numPr>
          <w:ilvl w:val="0"/>
          <w:numId w:val="4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Intellectual Property Infringement</w:t>
      </w:r>
    </w:p>
    <w:p>
      <w:pPr>
        <w:spacing w:after="0" w:line="10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8.1</w:t>
      </w:r>
      <w:r>
        <w:rPr>
          <w:sz w:val="20"/>
          <w:szCs w:val="20"/>
          <w:color w:val="auto"/>
        </w:rPr>
        <w:tab/>
      </w:r>
      <w:r>
        <w:rPr>
          <w:rFonts w:ascii="Times New Roman" w:cs="Times New Roman" w:eastAsia="Times New Roman" w:hAnsi="Times New Roman"/>
          <w:sz w:val="13"/>
          <w:szCs w:val="13"/>
          <w:b w:val="1"/>
          <w:bCs w:val="1"/>
          <w:color w:val="auto"/>
        </w:rPr>
        <w:t>Notification</w:t>
      </w:r>
    </w:p>
    <w:p>
      <w:pPr>
        <w:spacing w:after="0" w:line="104" w:lineRule="exact"/>
        <w:rPr>
          <w:sz w:val="20"/>
          <w:szCs w:val="20"/>
          <w:color w:val="auto"/>
        </w:rPr>
      </w:pPr>
    </w:p>
    <w:p>
      <w:pPr>
        <w:ind w:left="980" w:right="399" w:hanging="429"/>
        <w:spacing w:after="0" w:line="323" w:lineRule="auto"/>
        <w:tabs>
          <w:tab w:leader="none" w:pos="980" w:val="left"/>
        </w:tabs>
        <w:numPr>
          <w:ilvl w:val="0"/>
          <w:numId w:val="4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agrees to [***]notify the other in writing of any potential infringement of any of the Licensed Patents, or misuse or misappropriation of Licensed Information or Project IP by third parties which may come to its attention (“</w:t>
      </w:r>
      <w:r>
        <w:rPr>
          <w:rFonts w:ascii="Times New Roman" w:cs="Times New Roman" w:eastAsia="Times New Roman" w:hAnsi="Times New Roman"/>
          <w:sz w:val="13"/>
          <w:szCs w:val="13"/>
          <w:b w:val="1"/>
          <w:bCs w:val="1"/>
          <w:color w:val="auto"/>
        </w:rPr>
        <w:t>Third Party Infringement</w:t>
      </w:r>
      <w:r>
        <w:rPr>
          <w:rFonts w:ascii="Times New Roman" w:cs="Times New Roman" w:eastAsia="Times New Roman" w:hAnsi="Times New Roman"/>
          <w:sz w:val="13"/>
          <w:szCs w:val="13"/>
          <w:color w:val="auto"/>
        </w:rPr>
        <w:t>”).</w:t>
      </w:r>
    </w:p>
    <w:p>
      <w:pPr>
        <w:spacing w:after="0" w:line="28" w:lineRule="exact"/>
        <w:rPr>
          <w:rFonts w:ascii="Times New Roman" w:cs="Times New Roman" w:eastAsia="Times New Roman" w:hAnsi="Times New Roman"/>
          <w:sz w:val="13"/>
          <w:szCs w:val="13"/>
          <w:color w:val="auto"/>
        </w:rPr>
      </w:pPr>
    </w:p>
    <w:p>
      <w:pPr>
        <w:ind w:left="980" w:right="399" w:hanging="429"/>
        <w:spacing w:after="0" w:line="267" w:lineRule="auto"/>
        <w:tabs>
          <w:tab w:leader="none" w:pos="98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either party becomes aware of a patent or other third party IP right which may be infringed by the Commercialisation of the Licensed Patents, Project IP or Products (“</w:t>
      </w:r>
      <w:r>
        <w:rPr>
          <w:rFonts w:ascii="Times New Roman" w:cs="Times New Roman" w:eastAsia="Times New Roman" w:hAnsi="Times New Roman"/>
          <w:sz w:val="14"/>
          <w:szCs w:val="14"/>
          <w:b w:val="1"/>
          <w:bCs w:val="1"/>
          <w:color w:val="auto"/>
        </w:rPr>
        <w:t>Necessary Third Party IP</w:t>
      </w:r>
      <w:r>
        <w:rPr>
          <w:rFonts w:ascii="Times New Roman" w:cs="Times New Roman" w:eastAsia="Times New Roman" w:hAnsi="Times New Roman"/>
          <w:sz w:val="14"/>
          <w:szCs w:val="14"/>
          <w:color w:val="auto"/>
        </w:rPr>
        <w:t>”), or receives a notice or is the subject of any action filed against it alleging such infringement (“</w:t>
      </w:r>
      <w:r>
        <w:rPr>
          <w:rFonts w:ascii="Times New Roman" w:cs="Times New Roman" w:eastAsia="Times New Roman" w:hAnsi="Times New Roman"/>
          <w:sz w:val="14"/>
          <w:szCs w:val="14"/>
          <w:b w:val="1"/>
          <w:bCs w:val="1"/>
          <w:color w:val="auto"/>
        </w:rPr>
        <w:t>Infringement Claim</w:t>
      </w:r>
      <w:r>
        <w:rPr>
          <w:rFonts w:ascii="Times New Roman" w:cs="Times New Roman" w:eastAsia="Times New Roman" w:hAnsi="Times New Roman"/>
          <w:sz w:val="14"/>
          <w:szCs w:val="14"/>
          <w:color w:val="auto"/>
        </w:rPr>
        <w:t>”), that party will [***]notify the other party.</w:t>
      </w:r>
    </w:p>
    <w:p>
      <w:pPr>
        <w:spacing w:after="0" w:line="8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19</w:t>
      </w:r>
    </w:p>
    <w:p>
      <w:pPr>
        <w:sectPr>
          <w:pgSz w:w="11900" w:h="16838" w:orient="portrait"/>
          <w:cols w:equalWidth="0" w:num="1">
            <w:col w:w="9019"/>
          </w:cols>
          <w:pgMar w:left="1440" w:top="239" w:right="1440" w:bottom="1440" w:gutter="0" w:footer="0" w:header="0"/>
        </w:sectPr>
      </w:pPr>
    </w:p>
    <w:bookmarkStart w:id="557" w:name="page558"/>
    <w:bookmarkEnd w:id="557"/>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8.2</w:t>
        <w:tab/>
        <w:t>Actions and assistance</w:t>
      </w:r>
    </w:p>
    <w:p>
      <w:pPr>
        <w:spacing w:after="0" w:line="104" w:lineRule="exact"/>
        <w:rPr>
          <w:sz w:val="20"/>
          <w:szCs w:val="20"/>
          <w:color w:val="auto"/>
        </w:rPr>
      </w:pPr>
    </w:p>
    <w:p>
      <w:pPr>
        <w:jc w:val="both"/>
        <w:ind w:left="980" w:right="239" w:hanging="429"/>
        <w:spacing w:after="0" w:line="261" w:lineRule="auto"/>
        <w:tabs>
          <w:tab w:leader="none" w:pos="98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meet to discuss and consult with each other regarding the best way to respond to any Third Party Infringement, Necessary Third Party IP or Infringement Claim (collectively, “</w:t>
      </w:r>
      <w:r>
        <w:rPr>
          <w:rFonts w:ascii="Times New Roman" w:cs="Times New Roman" w:eastAsia="Times New Roman" w:hAnsi="Times New Roman"/>
          <w:sz w:val="14"/>
          <w:szCs w:val="14"/>
          <w:b w:val="1"/>
          <w:bCs w:val="1"/>
          <w:color w:val="auto"/>
        </w:rPr>
        <w:t>FTO Issues</w:t>
      </w:r>
      <w:r>
        <w:rPr>
          <w:rFonts w:ascii="Times New Roman" w:cs="Times New Roman" w:eastAsia="Times New Roman" w:hAnsi="Times New Roman"/>
          <w:sz w:val="14"/>
          <w:szCs w:val="14"/>
          <w:color w:val="auto"/>
        </w:rPr>
        <w:t>”), provided that if the Parties do not agree on a joint programme of action with respect to FTO Issues, including how the costs of such action are to be borne and how any damages or other sums received from such action are to be distributed, then [***].</w:t>
      </w:r>
    </w:p>
    <w:p>
      <w:pPr>
        <w:spacing w:after="0" w:line="67" w:lineRule="exact"/>
        <w:rPr>
          <w:rFonts w:ascii="Times New Roman" w:cs="Times New Roman" w:eastAsia="Times New Roman" w:hAnsi="Times New Roman"/>
          <w:sz w:val="14"/>
          <w:szCs w:val="14"/>
          <w:color w:val="auto"/>
        </w:rPr>
      </w:pPr>
    </w:p>
    <w:p>
      <w:pPr>
        <w:ind w:left="980" w:right="499" w:hanging="429"/>
        <w:spacing w:after="0" w:line="283" w:lineRule="auto"/>
        <w:tabs>
          <w:tab w:leader="none" w:pos="98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commencing any legal action under Clause 8.2(a) or amending any patent claims or specifications that would have the effect of reducing or limiting the extent of the patent coverage of the Licensed Patents, [***].</w:t>
      </w:r>
    </w:p>
    <w:p>
      <w:pPr>
        <w:spacing w:after="0" w:line="51" w:lineRule="exact"/>
        <w:rPr>
          <w:rFonts w:ascii="Times New Roman" w:cs="Times New Roman" w:eastAsia="Times New Roman" w:hAnsi="Times New Roman"/>
          <w:sz w:val="14"/>
          <w:szCs w:val="14"/>
          <w:color w:val="auto"/>
        </w:rPr>
      </w:pPr>
    </w:p>
    <w:p>
      <w:pPr>
        <w:ind w:left="980" w:right="479" w:hanging="429"/>
        <w:spacing w:after="0" w:line="283" w:lineRule="auto"/>
        <w:tabs>
          <w:tab w:leader="none" w:pos="98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alleged FTO Issue extends beyond the Field to include the Field Exemption, the Parties shall also [***] cooperate with Monash’s other licensees (if any) in relation to any such action.</w:t>
      </w:r>
    </w:p>
    <w:p>
      <w:pPr>
        <w:spacing w:after="0" w:line="51" w:lineRule="exact"/>
        <w:rPr>
          <w:rFonts w:ascii="Times New Roman" w:cs="Times New Roman" w:eastAsia="Times New Roman" w:hAnsi="Times New Roman"/>
          <w:sz w:val="14"/>
          <w:szCs w:val="14"/>
          <w:color w:val="auto"/>
        </w:rPr>
      </w:pPr>
    </w:p>
    <w:p>
      <w:pPr>
        <w:ind w:left="980" w:right="239" w:hanging="429"/>
        <w:spacing w:after="0" w:line="261" w:lineRule="auto"/>
        <w:tabs>
          <w:tab w:leader="none" w:pos="98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Licensee does not take any action under Clause 8.2(a) (which action may include, without limitation, sending a notice of infringement or entering settlement or licensing discussions) within [***] after the discussion contemplated in Clause 8.2(a), Monash may upon [***] prior written notice to Licensee take action in relation to such FTO Issues[***] and shall be entitled to keep any proceeds of any Third Party Infringement action.</w:t>
      </w:r>
    </w:p>
    <w:p>
      <w:pPr>
        <w:spacing w:after="0" w:line="67" w:lineRule="exact"/>
        <w:rPr>
          <w:rFonts w:ascii="Times New Roman" w:cs="Times New Roman" w:eastAsia="Times New Roman" w:hAnsi="Times New Roman"/>
          <w:sz w:val="14"/>
          <w:szCs w:val="14"/>
          <w:color w:val="auto"/>
        </w:rPr>
      </w:pPr>
    </w:p>
    <w:p>
      <w:pPr>
        <w:jc w:val="both"/>
        <w:ind w:left="980" w:right="239" w:hanging="429"/>
        <w:spacing w:after="0" w:line="267" w:lineRule="auto"/>
        <w:tabs>
          <w:tab w:leader="none" w:pos="98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will co-operate [***] with, and [***], the other party in respect of any action brought by or against the other party in relation to that potential infringement. Without limiting the foregoing, upon Licensee’s request [***] where Licensee is the responsible Party, Monash will join as a party plaintiff in any action regarding FTO Issues.</w:t>
      </w:r>
    </w:p>
    <w:p>
      <w:pPr>
        <w:spacing w:after="0" w:line="61" w:lineRule="exact"/>
        <w:rPr>
          <w:rFonts w:ascii="Times New Roman" w:cs="Times New Roman" w:eastAsia="Times New Roman" w:hAnsi="Times New Roman"/>
          <w:sz w:val="14"/>
          <w:szCs w:val="14"/>
          <w:color w:val="auto"/>
        </w:rPr>
      </w:pPr>
    </w:p>
    <w:p>
      <w:pPr>
        <w:ind w:left="980" w:right="439" w:hanging="429"/>
        <w:spacing w:after="0" w:line="261" w:lineRule="auto"/>
        <w:tabs>
          <w:tab w:leader="none" w:pos="980"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Licensee shall reimburse Monash for any [***]expenses incurred in assisting it in connection with FTO Issues and shall pay Monash Royalties, in accordance with Clause 7, on any damages received from such action as if the amount of such damages (after deduction of both Parties’ [***]expenses in such action) in relation to the action were Net Sales or Net Income as determined by the Licensee acting [***] having [***]regard to the relevant infringing conduct and basis on which the damages have been calculated.</w:t>
      </w:r>
    </w:p>
    <w:p>
      <w:pPr>
        <w:spacing w:after="0" w:line="8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20</w:t>
      </w:r>
    </w:p>
    <w:p>
      <w:pPr>
        <w:sectPr>
          <w:pgSz w:w="11900" w:h="16838" w:orient="portrait"/>
          <w:cols w:equalWidth="0" w:num="1">
            <w:col w:w="9019"/>
          </w:cols>
          <w:pgMar w:left="1440" w:top="238" w:right="1440" w:bottom="1440" w:gutter="0" w:footer="0" w:header="0"/>
        </w:sectPr>
      </w:pPr>
    </w:p>
    <w:bookmarkStart w:id="558" w:name="page559"/>
    <w:bookmarkEnd w:id="558"/>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3"/>
          <w:szCs w:val="13"/>
          <w:b w:val="1"/>
          <w:bCs w:val="1"/>
          <w:color w:val="auto"/>
        </w:rPr>
        <w:t>Indemnity</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 one Party independently commences or defends litigation in accordance with this Clause 8, that Party:</w:t>
      </w:r>
    </w:p>
    <w:p>
      <w:pPr>
        <w:spacing w:after="0" w:line="102" w:lineRule="exact"/>
        <w:rPr>
          <w:sz w:val="20"/>
          <w:szCs w:val="20"/>
          <w:color w:val="auto"/>
        </w:rPr>
      </w:pPr>
    </w:p>
    <w:p>
      <w:pPr>
        <w:ind w:left="980" w:right="219" w:hanging="429"/>
        <w:spacing w:after="0" w:line="267" w:lineRule="auto"/>
        <w:tabs>
          <w:tab w:leader="none" w:pos="980" w:val="left"/>
        </w:tabs>
        <w:numPr>
          <w:ilvl w:val="1"/>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indemnify and keep indemnified the other Party from and against all loss, damage, costs, charges, expenses and other liabilities which may be suffered or incurred by the other Party arising out of any claim so asserted or action instituted by the Party which commences or defends litigation in accordance with this Clause 8; and</w:t>
      </w:r>
    </w:p>
    <w:p>
      <w:pPr>
        <w:spacing w:after="0" w:line="6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bear [***] of the costs thereof including any damages or costs awarded against Monash and/or Licensee.</w:t>
      </w:r>
    </w:p>
    <w:p>
      <w:pPr>
        <w:spacing w:after="0" w:line="289" w:lineRule="exact"/>
        <w:rPr>
          <w:rFonts w:ascii="Times New Roman" w:cs="Times New Roman" w:eastAsia="Times New Roman" w:hAnsi="Times New Roman"/>
          <w:sz w:val="14"/>
          <w:szCs w:val="14"/>
          <w:color w:val="auto"/>
        </w:rPr>
      </w:pPr>
    </w:p>
    <w:p>
      <w:pPr>
        <w:ind w:left="560" w:hanging="345"/>
        <w:spacing w:after="0"/>
        <w:tabs>
          <w:tab w:leader="none" w:pos="560" w:val="left"/>
        </w:tabs>
        <w:numPr>
          <w:ilvl w:val="0"/>
          <w:numId w:val="4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Confidentiality</w:t>
      </w:r>
    </w:p>
    <w:p>
      <w:pPr>
        <w:spacing w:after="0" w:line="93" w:lineRule="exact"/>
        <w:rPr>
          <w:rFonts w:ascii="Times New Roman" w:cs="Times New Roman" w:eastAsia="Times New Roman" w:hAnsi="Times New Roman"/>
          <w:sz w:val="14"/>
          <w:szCs w:val="14"/>
          <w:b w:val="1"/>
          <w:bCs w:val="1"/>
          <w:color w:val="auto"/>
        </w:rPr>
      </w:pPr>
    </w:p>
    <w:p>
      <w:pPr>
        <w:ind w:left="560" w:right="419"/>
        <w:spacing w:after="0" w:line="26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Subject to this Clause 9, no Party shall (without the written consent of the other party) disclose the terms of this Agreement or any Confidential Information of the other Party to any third party or use any Confidential Information of the other party except for the purpose for which it was disclosed, except for disclosures:</w:t>
      </w:r>
    </w:p>
    <w:p>
      <w:pPr>
        <w:spacing w:after="0" w:line="61" w:lineRule="exact"/>
        <w:rPr>
          <w:rFonts w:ascii="Times New Roman" w:cs="Times New Roman" w:eastAsia="Times New Roman" w:hAnsi="Times New Roman"/>
          <w:sz w:val="14"/>
          <w:szCs w:val="14"/>
          <w:b w:val="1"/>
          <w:bCs w:val="1"/>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form of scientific publications expressly permitted under the MTA but nevertheless subject to Clause 10.1; or</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by law or government authorities;</w:t>
      </w:r>
    </w:p>
    <w:p>
      <w:pPr>
        <w:spacing w:after="0" w:line="101" w:lineRule="exact"/>
        <w:rPr>
          <w:rFonts w:ascii="Times New Roman" w:cs="Times New Roman" w:eastAsia="Times New Roman" w:hAnsi="Times New Roman"/>
          <w:sz w:val="14"/>
          <w:szCs w:val="14"/>
          <w:color w:val="auto"/>
        </w:rPr>
      </w:pPr>
    </w:p>
    <w:p>
      <w:pPr>
        <w:ind w:left="980" w:right="259" w:hanging="429"/>
        <w:spacing w:after="0" w:line="283" w:lineRule="auto"/>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Sub-licensees, agents, contractors and employees or financial, insurance, or legal advisers and potential investors or lenders on a need to know basis and provided they agree to be bound by obligations of confidentiality; or</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necessary in connection with:</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or prosecuting patent applications;</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prosecuting or defending litigation;</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of research studies or clinical trials; or</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regulatory approval of a Product;</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1"/>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and entering into a Sublicensee agreement, provided that such disclosure is subject to a written confidentiality agreement [***].</w:t>
      </w:r>
    </w:p>
    <w:p>
      <w:pPr>
        <w:spacing w:after="0" w:line="91" w:lineRule="exact"/>
        <w:rPr>
          <w:sz w:val="20"/>
          <w:szCs w:val="20"/>
          <w:color w:val="auto"/>
        </w:rPr>
      </w:pPr>
    </w:p>
    <w:p>
      <w:pPr>
        <w:ind w:left="560" w:right="359"/>
        <w:spacing w:after="0" w:line="283" w:lineRule="auto"/>
        <w:rPr>
          <w:sz w:val="20"/>
          <w:szCs w:val="20"/>
          <w:color w:val="auto"/>
        </w:rPr>
      </w:pPr>
      <w:r>
        <w:rPr>
          <w:rFonts w:ascii="Times New Roman" w:cs="Times New Roman" w:eastAsia="Times New Roman" w:hAnsi="Times New Roman"/>
          <w:sz w:val="14"/>
          <w:szCs w:val="14"/>
          <w:color w:val="auto"/>
        </w:rPr>
        <w:t>The Parties acknowledge and agree, following execution of this Agreement, they may decide to make a public announcement regarding entering into this Agreement (and if so, the terms of the public announcement shall be mutually agreed).</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21</w:t>
      </w:r>
    </w:p>
    <w:p>
      <w:pPr>
        <w:sectPr>
          <w:pgSz w:w="11900" w:h="16838" w:orient="portrait"/>
          <w:cols w:equalWidth="0" w:num="1">
            <w:col w:w="9019"/>
          </w:cols>
          <w:pgMar w:left="1440" w:top="238" w:right="1440" w:bottom="1440" w:gutter="0" w:footer="0" w:header="0"/>
        </w:sectPr>
      </w:pPr>
    </w:p>
    <w:bookmarkStart w:id="559" w:name="page560"/>
    <w:bookmarkEnd w:id="559"/>
    <w:p>
      <w:pPr>
        <w:ind w:left="220" w:right="6899" w:hanging="5"/>
        <w:spacing w:after="0" w:line="415" w:lineRule="auto"/>
        <w:tabs>
          <w:tab w:leader="none" w:pos="556" w:val="left"/>
        </w:tabs>
        <w:numPr>
          <w:ilvl w:val="0"/>
          <w:numId w:val="4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Publications and publicity 10.1 Proposed publications</w:t>
      </w:r>
    </w:p>
    <w:p>
      <w:pPr>
        <w:ind w:left="560" w:right="359"/>
        <w:spacing w:after="0" w:line="283" w:lineRule="auto"/>
        <w:rPr>
          <w:sz w:val="20"/>
          <w:szCs w:val="20"/>
          <w:color w:val="auto"/>
        </w:rPr>
      </w:pPr>
      <w:r>
        <w:rPr>
          <w:rFonts w:ascii="Times New Roman" w:cs="Times New Roman" w:eastAsia="Times New Roman" w:hAnsi="Times New Roman"/>
          <w:sz w:val="14"/>
          <w:szCs w:val="14"/>
          <w:color w:val="auto"/>
        </w:rPr>
        <w:t>If Monash wishes to make any publication in respect of the Research Project, including thesis publications as described in Clause 10.2, it will, at least [***] prior to submitting the publication;</w:t>
      </w:r>
    </w:p>
    <w:p>
      <w:pPr>
        <w:spacing w:after="0" w:line="51" w:lineRule="exact"/>
        <w:rPr>
          <w:sz w:val="20"/>
          <w:szCs w:val="20"/>
          <w:color w:val="auto"/>
        </w:rPr>
      </w:pPr>
    </w:p>
    <w:p>
      <w:pPr>
        <w:ind w:left="980" w:hanging="429"/>
        <w:spacing w:after="0"/>
        <w:tabs>
          <w:tab w:leader="none" w:pos="98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forward a copy of the proposed publication to Licensee; and</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 from the publication any Confidential Information of Licensee, at the request of Licensee; and</w:t>
      </w:r>
    </w:p>
    <w:p>
      <w:pPr>
        <w:spacing w:after="0" w:line="101" w:lineRule="exact"/>
        <w:rPr>
          <w:rFonts w:ascii="Times New Roman" w:cs="Times New Roman" w:eastAsia="Times New Roman" w:hAnsi="Times New Roman"/>
          <w:sz w:val="14"/>
          <w:szCs w:val="14"/>
          <w:color w:val="auto"/>
        </w:rPr>
      </w:pPr>
    </w:p>
    <w:p>
      <w:pPr>
        <w:ind w:left="980" w:right="419" w:hanging="429"/>
        <w:spacing w:after="0" w:line="283" w:lineRule="auto"/>
        <w:tabs>
          <w:tab w:leader="none" w:pos="98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Licensee [***] to seek such legal protection of the Research Project results, Licensed Patents, Project IP and future improvements and/or any material contained in the proposed publication as it considers necessary.</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10.2 Thesis publication</w:t>
      </w:r>
    </w:p>
    <w:p>
      <w:pPr>
        <w:spacing w:after="0" w:line="93" w:lineRule="exact"/>
        <w:rPr>
          <w:sz w:val="20"/>
          <w:szCs w:val="20"/>
          <w:color w:val="auto"/>
        </w:rPr>
      </w:pPr>
    </w:p>
    <w:p>
      <w:pPr>
        <w:ind w:left="560" w:right="279"/>
        <w:spacing w:after="0" w:line="261" w:lineRule="auto"/>
        <w:rPr>
          <w:sz w:val="20"/>
          <w:szCs w:val="20"/>
          <w:color w:val="auto"/>
        </w:rPr>
      </w:pPr>
      <w:r>
        <w:rPr>
          <w:rFonts w:ascii="Times New Roman" w:cs="Times New Roman" w:eastAsia="Times New Roman" w:hAnsi="Times New Roman"/>
          <w:sz w:val="14"/>
          <w:szCs w:val="14"/>
          <w:color w:val="auto"/>
        </w:rPr>
        <w:t>The Parties acknowledge that where a researcher who is actively involved in noncommercial research using the Licensed Patents and requires their results to be published, in whole or in part, as part of their examination for the award of a postgraduate research degree (Examination Work), which for the avoidance of doubt shall include a thesis, the results may be published subject to compliance with Clause 10.1 and on the following additional conditions:</w:t>
      </w:r>
    </w:p>
    <w:p>
      <w:pPr>
        <w:spacing w:after="0" w:line="67" w:lineRule="exact"/>
        <w:rPr>
          <w:sz w:val="20"/>
          <w:szCs w:val="20"/>
          <w:color w:val="auto"/>
        </w:rPr>
      </w:pPr>
    </w:p>
    <w:p>
      <w:pPr>
        <w:ind w:left="980" w:hanging="429"/>
        <w:spacing w:after="0"/>
        <w:tabs>
          <w:tab w:leader="none" w:pos="98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candidate owns copyright in the Examination Work and/or thesis; and</w:t>
      </w:r>
    </w:p>
    <w:p>
      <w:pPr>
        <w:spacing w:after="0" w:line="101" w:lineRule="exact"/>
        <w:rPr>
          <w:rFonts w:ascii="Times New Roman" w:cs="Times New Roman" w:eastAsia="Times New Roman" w:hAnsi="Times New Roman"/>
          <w:sz w:val="14"/>
          <w:szCs w:val="14"/>
          <w:color w:val="auto"/>
        </w:rPr>
      </w:pPr>
    </w:p>
    <w:p>
      <w:pPr>
        <w:ind w:left="980" w:right="259" w:hanging="429"/>
        <w:spacing w:after="0" w:line="283" w:lineRule="auto"/>
        <w:tabs>
          <w:tab w:leader="none" w:pos="98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Examination Work and/or thesis, other than papers published before examination, may be distributed to the candidate’s examiners, on a confidential basis if requested by Licensee; and</w:t>
      </w:r>
    </w:p>
    <w:p>
      <w:pPr>
        <w:spacing w:after="0" w:line="51" w:lineRule="exact"/>
        <w:rPr>
          <w:rFonts w:ascii="Times New Roman" w:cs="Times New Roman" w:eastAsia="Times New Roman" w:hAnsi="Times New Roman"/>
          <w:sz w:val="14"/>
          <w:szCs w:val="14"/>
          <w:color w:val="auto"/>
        </w:rPr>
      </w:pPr>
    </w:p>
    <w:p>
      <w:pPr>
        <w:ind w:left="980" w:right="259" w:hanging="429"/>
        <w:spacing w:after="0" w:line="267" w:lineRule="auto"/>
        <w:tabs>
          <w:tab w:leader="none" w:pos="98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copies of the thesis, other than papers published before examination, will be maintained only in the “restricted” section of the library of the educational institution of which the candidate is a student for such period as is reasonable to obtain protection of any intellectual property and in accordance with the statutes and regulations of the educational institution.</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10.3 Use of name of the other party</w:t>
      </w:r>
    </w:p>
    <w:p>
      <w:pPr>
        <w:spacing w:after="0" w:line="93" w:lineRule="exact"/>
        <w:rPr>
          <w:sz w:val="20"/>
          <w:szCs w:val="20"/>
          <w:color w:val="auto"/>
        </w:rPr>
      </w:pPr>
    </w:p>
    <w:p>
      <w:pPr>
        <w:ind w:left="560" w:right="239"/>
        <w:spacing w:after="0" w:line="267" w:lineRule="auto"/>
        <w:rPr>
          <w:sz w:val="20"/>
          <w:szCs w:val="20"/>
          <w:color w:val="auto"/>
        </w:rPr>
      </w:pPr>
      <w:r>
        <w:rPr>
          <w:rFonts w:ascii="Times New Roman" w:cs="Times New Roman" w:eastAsia="Times New Roman" w:hAnsi="Times New Roman"/>
          <w:sz w:val="14"/>
          <w:szCs w:val="14"/>
          <w:color w:val="auto"/>
        </w:rPr>
        <w:t>Neither Party may use the other Party’s name, logos, trade marks or indicia; or the name of any of its Personnel or Affiliates in any announcement, press release or other publicity material without, express, prior written consent of the other party (such not to be [***] where such announcement or release occurs in connection with publicity of this Agreement).</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10.4 No endorsement</w:t>
      </w:r>
    </w:p>
    <w:p>
      <w:pPr>
        <w:spacing w:after="0" w:line="93" w:lineRule="exact"/>
        <w:rPr>
          <w:sz w:val="20"/>
          <w:szCs w:val="20"/>
          <w:color w:val="auto"/>
        </w:rPr>
      </w:pPr>
    </w:p>
    <w:p>
      <w:pPr>
        <w:ind w:left="560" w:right="359"/>
        <w:spacing w:after="0" w:line="283" w:lineRule="auto"/>
        <w:rPr>
          <w:sz w:val="20"/>
          <w:szCs w:val="20"/>
          <w:color w:val="auto"/>
        </w:rPr>
      </w:pPr>
      <w:r>
        <w:rPr>
          <w:rFonts w:ascii="Times New Roman" w:cs="Times New Roman" w:eastAsia="Times New Roman" w:hAnsi="Times New Roman"/>
          <w:sz w:val="14"/>
          <w:szCs w:val="14"/>
          <w:color w:val="auto"/>
        </w:rPr>
        <w:t>Neither Party may represent that another Party or any associated entity endorses its business or the Research Project, Licensed Patents, Licensed Information, Project IP or future improvements.</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22</w:t>
      </w:r>
    </w:p>
    <w:p>
      <w:pPr>
        <w:sectPr>
          <w:pgSz w:w="11900" w:h="16838" w:orient="portrait"/>
          <w:cols w:equalWidth="0" w:num="1">
            <w:col w:w="9019"/>
          </w:cols>
          <w:pgMar w:left="1440" w:top="239" w:right="1440" w:bottom="1440" w:gutter="0" w:footer="0" w:header="0"/>
        </w:sectPr>
      </w:pPr>
    </w:p>
    <w:bookmarkStart w:id="560" w:name="page561"/>
    <w:bookmarkEnd w:id="560"/>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10.5 Patent Listings</w:t>
      </w:r>
    </w:p>
    <w:p>
      <w:pPr>
        <w:spacing w:after="0" w:line="93" w:lineRule="exact"/>
        <w:rPr>
          <w:sz w:val="20"/>
          <w:szCs w:val="20"/>
          <w:color w:val="auto"/>
        </w:rPr>
      </w:pPr>
    </w:p>
    <w:p>
      <w:pPr>
        <w:ind w:left="560" w:right="259"/>
        <w:spacing w:after="0" w:line="258" w:lineRule="auto"/>
        <w:rPr>
          <w:sz w:val="20"/>
          <w:szCs w:val="20"/>
          <w:color w:val="auto"/>
        </w:rPr>
      </w:pPr>
      <w:r>
        <w:rPr>
          <w:rFonts w:ascii="Times New Roman" w:cs="Times New Roman" w:eastAsia="Times New Roman" w:hAnsi="Times New Roman"/>
          <w:sz w:val="14"/>
          <w:szCs w:val="14"/>
          <w:color w:val="auto"/>
        </w:rPr>
        <w:t>Notwithstanding anything to the contrary set forth in this Agreement, Licensee shall have [***] to make all filings with regulatory authorities in the territory with respect to the Products and Licensed Patents covering Products, including as required or allowed (a) in the United States, in the FDA’s ‘</w:t>
      </w:r>
      <w:r>
        <w:rPr>
          <w:rFonts w:ascii="Times New Roman" w:cs="Times New Roman" w:eastAsia="Times New Roman" w:hAnsi="Times New Roman"/>
          <w:sz w:val="14"/>
          <w:szCs w:val="14"/>
          <w:i w:val="1"/>
          <w:iCs w:val="1"/>
          <w:color w:val="auto"/>
        </w:rPr>
        <w:t>Approved Drug Products with Therapeutic Equivalence Evaluations</w:t>
      </w:r>
      <w:r>
        <w:rPr>
          <w:rFonts w:ascii="Times New Roman" w:cs="Times New Roman" w:eastAsia="Times New Roman" w:hAnsi="Times New Roman"/>
          <w:sz w:val="14"/>
          <w:szCs w:val="14"/>
          <w:color w:val="auto"/>
        </w:rPr>
        <w:t>’ (or the so-called ‘Orange Book’) and (b) in the European Union, under the national implementations of Article 10.1(a)(iii) of Directive 2001/EC/83 or other international equivalents. Monash shall cooperate with Licensee’s reasonable requests in connection with the foregoing, including executing any documents reasonably requested by Licensee [***].</w:t>
      </w:r>
    </w:p>
    <w:p>
      <w:pPr>
        <w:spacing w:after="0" w:line="258" w:lineRule="exact"/>
        <w:rPr>
          <w:sz w:val="20"/>
          <w:szCs w:val="20"/>
          <w:color w:val="auto"/>
        </w:rPr>
      </w:pPr>
    </w:p>
    <w:p>
      <w:pPr>
        <w:ind w:left="220" w:right="6959" w:hanging="5"/>
        <w:spacing w:after="0" w:line="385" w:lineRule="auto"/>
        <w:tabs>
          <w:tab w:leader="none" w:pos="556" w:val="left"/>
        </w:tabs>
        <w:numPr>
          <w:ilvl w:val="0"/>
          <w:numId w:val="4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Indemnity and Insurance 11.1 Indemnity</w:t>
      </w:r>
    </w:p>
    <w:p>
      <w:pPr>
        <w:spacing w:after="0" w:line="1" w:lineRule="exact"/>
        <w:rPr>
          <w:sz w:val="20"/>
          <w:szCs w:val="20"/>
          <w:color w:val="auto"/>
        </w:rPr>
      </w:pPr>
    </w:p>
    <w:p>
      <w:pPr>
        <w:ind w:left="560" w:right="619"/>
        <w:spacing w:after="0" w:line="283" w:lineRule="auto"/>
        <w:rPr>
          <w:sz w:val="20"/>
          <w:szCs w:val="20"/>
          <w:color w:val="auto"/>
        </w:rPr>
      </w:pPr>
      <w:r>
        <w:rPr>
          <w:rFonts w:ascii="Times New Roman" w:cs="Times New Roman" w:eastAsia="Times New Roman" w:hAnsi="Times New Roman"/>
          <w:sz w:val="14"/>
          <w:szCs w:val="14"/>
          <w:color w:val="auto"/>
        </w:rPr>
        <w:t xml:space="preserve">Licensee indemnifies and agrees to keep fully indemnified on demand each of Monash, and its respective directors, officers, employees and students (collectively, the </w:t>
      </w:r>
      <w:r>
        <w:rPr>
          <w:rFonts w:ascii="Times New Roman" w:cs="Times New Roman" w:eastAsia="Times New Roman" w:hAnsi="Times New Roman"/>
          <w:sz w:val="14"/>
          <w:szCs w:val="14"/>
          <w:b w:val="1"/>
          <w:bCs w:val="1"/>
          <w:color w:val="auto"/>
        </w:rPr>
        <w:t>Indemnified</w:t>
      </w:r>
      <w:r>
        <w:rPr>
          <w:rFonts w:ascii="Times New Roman" w:cs="Times New Roman" w:eastAsia="Times New Roman" w:hAnsi="Times New Roman"/>
          <w:sz w:val="14"/>
          <w:szCs w:val="14"/>
          <w:color w:val="auto"/>
        </w:rPr>
        <w:t>) against:</w:t>
      </w:r>
    </w:p>
    <w:p>
      <w:pPr>
        <w:spacing w:after="0" w:line="51" w:lineRule="exact"/>
        <w:rPr>
          <w:sz w:val="20"/>
          <w:szCs w:val="20"/>
          <w:color w:val="auto"/>
        </w:rPr>
      </w:pPr>
    </w:p>
    <w:p>
      <w:pPr>
        <w:ind w:left="980" w:right="499" w:hanging="429"/>
        <w:spacing w:after="0" w:line="283" w:lineRule="auto"/>
        <w:tabs>
          <w:tab w:leader="none" w:pos="980"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Loss which may be brought against the indemnified or any of them and whether at common law, in equity or pursuant to statute or otherwise to the extent arising out of:</w:t>
      </w:r>
    </w:p>
    <w:p>
      <w:pPr>
        <w:spacing w:after="0" w:line="5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Commercialisation or use of the Licensed Patents by Licensee,</w:t>
      </w:r>
    </w:p>
    <w:p>
      <w:pPr>
        <w:spacing w:after="0" w:line="10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manufacture, marketing, sale, distribution or use of Products by Licensee; and</w:t>
      </w:r>
    </w:p>
    <w:p>
      <w:pPr>
        <w:spacing w:after="0" w:line="101" w:lineRule="exact"/>
        <w:rPr>
          <w:rFonts w:ascii="Times New Roman" w:cs="Times New Roman" w:eastAsia="Times New Roman" w:hAnsi="Times New Roman"/>
          <w:sz w:val="14"/>
          <w:szCs w:val="14"/>
          <w:color w:val="auto"/>
        </w:rPr>
      </w:pPr>
    </w:p>
    <w:p>
      <w:pPr>
        <w:ind w:left="1320" w:right="439" w:hanging="338"/>
        <w:spacing w:after="0" w:line="283" w:lineRule="auto"/>
        <w:tabs>
          <w:tab w:leader="none" w:pos="1320"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unlawful act or omission by Licensee (including, without limitation, any negligence or breach of contract or duty or failure to comply with any laws);</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(collectively called “</w:t>
      </w:r>
      <w:r>
        <w:rPr>
          <w:rFonts w:ascii="Times New Roman" w:cs="Times New Roman" w:eastAsia="Times New Roman" w:hAnsi="Times New Roman"/>
          <w:sz w:val="14"/>
          <w:szCs w:val="14"/>
          <w:b w:val="1"/>
          <w:bCs w:val="1"/>
          <w:color w:val="auto"/>
        </w:rPr>
        <w:t>Licensee’s Obligations</w:t>
      </w:r>
      <w:r>
        <w:rPr>
          <w:rFonts w:ascii="Times New Roman" w:cs="Times New Roman" w:eastAsia="Times New Roman" w:hAnsi="Times New Roman"/>
          <w:sz w:val="14"/>
          <w:szCs w:val="14"/>
          <w:color w:val="auto"/>
        </w:rPr>
        <w:t>”); and</w:t>
      </w:r>
    </w:p>
    <w:p>
      <w:pPr>
        <w:spacing w:after="0" w:line="104" w:lineRule="exact"/>
        <w:rPr>
          <w:sz w:val="20"/>
          <w:szCs w:val="20"/>
          <w:color w:val="auto"/>
        </w:rPr>
      </w:pPr>
    </w:p>
    <w:p>
      <w:pPr>
        <w:ind w:left="560" w:right="5679" w:hanging="9"/>
        <w:spacing w:after="0" w:line="383" w:lineRule="auto"/>
        <w:tabs>
          <w:tab w:leader="none" w:pos="974"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this agreement by Licensee, excluding:</w:t>
      </w:r>
    </w:p>
    <w:p>
      <w:pPr>
        <w:spacing w:after="0" w:line="1" w:lineRule="exact"/>
        <w:rPr>
          <w:rFonts w:ascii="Times New Roman" w:cs="Times New Roman" w:eastAsia="Times New Roman" w:hAnsi="Times New Roman"/>
          <w:sz w:val="14"/>
          <w:szCs w:val="14"/>
          <w:color w:val="auto"/>
        </w:rPr>
      </w:pPr>
    </w:p>
    <w:p>
      <w:pPr>
        <w:ind w:left="980" w:right="459" w:hanging="429"/>
        <w:spacing w:after="0" w:line="283" w:lineRule="auto"/>
        <w:tabs>
          <w:tab w:leader="none" w:pos="98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costs, damages, expenses, claims, liabilities and losses to the extent arising as a result of any breach of this agreement, or any gross negligence or wilful act or omission by the Indemnified; and</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indirect or consequential loss or damage or loss of profits.</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23</w:t>
      </w:r>
    </w:p>
    <w:p>
      <w:pPr>
        <w:sectPr>
          <w:pgSz w:w="11900" w:h="16838" w:orient="portrait"/>
          <w:cols w:equalWidth="0" w:num="1">
            <w:col w:w="9019"/>
          </w:cols>
          <w:pgMar w:left="1440" w:top="239" w:right="1440" w:bottom="1440" w:gutter="0" w:footer="0" w:header="0"/>
        </w:sectPr>
      </w:pPr>
    </w:p>
    <w:bookmarkStart w:id="561" w:name="page562"/>
    <w:bookmarkEnd w:id="561"/>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11.2  Release</w:t>
      </w:r>
    </w:p>
    <w:p>
      <w:pPr>
        <w:spacing w:after="0" w:line="93" w:lineRule="exact"/>
        <w:rPr>
          <w:sz w:val="20"/>
          <w:szCs w:val="20"/>
          <w:color w:val="auto"/>
        </w:rPr>
      </w:pPr>
    </w:p>
    <w:p>
      <w:pPr>
        <w:ind w:left="560" w:right="579"/>
        <w:spacing w:after="0" w:line="283" w:lineRule="auto"/>
        <w:rPr>
          <w:sz w:val="20"/>
          <w:szCs w:val="20"/>
          <w:color w:val="auto"/>
        </w:rPr>
      </w:pPr>
      <w:r>
        <w:rPr>
          <w:rFonts w:ascii="Times New Roman" w:cs="Times New Roman" w:eastAsia="Times New Roman" w:hAnsi="Times New Roman"/>
          <w:sz w:val="14"/>
          <w:szCs w:val="14"/>
          <w:color w:val="auto"/>
        </w:rPr>
        <w:t>Licensee hereby fully releases each indemnified from and against all Loss directly or indirectly relating to Licensee’s Obligations, except for claims described in Clause 10.1(c) of this Agreement.</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11.3  Continuing Indemnity</w:t>
      </w:r>
    </w:p>
    <w:p>
      <w:pPr>
        <w:spacing w:after="0" w:line="93" w:lineRule="exact"/>
        <w:rPr>
          <w:sz w:val="20"/>
          <w:szCs w:val="20"/>
          <w:color w:val="auto"/>
        </w:rPr>
      </w:pPr>
    </w:p>
    <w:p>
      <w:pPr>
        <w:ind w:left="560" w:right="619"/>
        <w:spacing w:after="0" w:line="283" w:lineRule="auto"/>
        <w:rPr>
          <w:sz w:val="20"/>
          <w:szCs w:val="20"/>
          <w:color w:val="auto"/>
        </w:rPr>
      </w:pPr>
      <w:r>
        <w:rPr>
          <w:rFonts w:ascii="Times New Roman" w:cs="Times New Roman" w:eastAsia="Times New Roman" w:hAnsi="Times New Roman"/>
          <w:sz w:val="14"/>
          <w:szCs w:val="14"/>
          <w:color w:val="auto"/>
        </w:rPr>
        <w:t>The indemnity in Clause 11.1 is a continuing obligation despite any settlement of account or any other thing and survives termination of the Licence and the expiry or termination of this Agreement.</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11.4  Insurance</w:t>
      </w:r>
    </w:p>
    <w:p>
      <w:pPr>
        <w:spacing w:after="0" w:line="93" w:lineRule="exact"/>
        <w:rPr>
          <w:sz w:val="20"/>
          <w:szCs w:val="20"/>
          <w:color w:val="auto"/>
        </w:rPr>
      </w:pPr>
    </w:p>
    <w:p>
      <w:pPr>
        <w:ind w:left="560" w:right="339"/>
        <w:spacing w:after="0" w:line="261" w:lineRule="auto"/>
        <w:rPr>
          <w:sz w:val="20"/>
          <w:szCs w:val="20"/>
          <w:color w:val="auto"/>
        </w:rPr>
      </w:pPr>
      <w:r>
        <w:rPr>
          <w:rFonts w:ascii="Times New Roman" w:cs="Times New Roman" w:eastAsia="Times New Roman" w:hAnsi="Times New Roman"/>
          <w:sz w:val="14"/>
          <w:szCs w:val="14"/>
          <w:color w:val="auto"/>
        </w:rPr>
        <w:t>Licensee must, at its [***] and before it commences human clinical development of Products, effect and maintain thereafter during the Term and for a period of no less than[***] thereafter in respect of all Products, [***] insurance against public liability and product liability and all other risks usually insured in accordance with industry custom and practice. Licensee must, on reasonable request by Monash, provide to Monash a copy of any insurance policy and the certificate of currency in respect of each such policy.</w:t>
      </w:r>
    </w:p>
    <w:p>
      <w:pPr>
        <w:spacing w:after="0" w:line="254" w:lineRule="exact"/>
        <w:rPr>
          <w:sz w:val="20"/>
          <w:szCs w:val="20"/>
          <w:color w:val="auto"/>
        </w:rPr>
      </w:pPr>
    </w:p>
    <w:p>
      <w:pPr>
        <w:ind w:left="560" w:hanging="345"/>
        <w:spacing w:after="0"/>
        <w:tabs>
          <w:tab w:leader="none" w:pos="560" w:val="left"/>
        </w:tabs>
        <w:numPr>
          <w:ilvl w:val="0"/>
          <w:numId w:val="4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Termination</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12.1 Termination for Due Cause or Otherwise</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Without limiting any other rights it may have, a Party may terminate this agreement by written notice to the other if the other Party:</w:t>
      </w:r>
    </w:p>
    <w:p>
      <w:pPr>
        <w:spacing w:after="0" w:line="102" w:lineRule="exact"/>
        <w:rPr>
          <w:sz w:val="20"/>
          <w:szCs w:val="20"/>
          <w:color w:val="auto"/>
        </w:rPr>
      </w:pPr>
    </w:p>
    <w:p>
      <w:pPr>
        <w:ind w:left="980" w:right="539" w:hanging="429"/>
        <w:spacing w:after="0" w:line="283" w:lineRule="auto"/>
        <w:tabs>
          <w:tab w:leader="none" w:pos="98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fails to pay when due any sum payable under this Agreement and such default continues for a period of [***] after receipt of a written notice requiring payment;</w:t>
      </w:r>
    </w:p>
    <w:p>
      <w:pPr>
        <w:spacing w:after="0" w:line="51" w:lineRule="exact"/>
        <w:rPr>
          <w:rFonts w:ascii="Times New Roman" w:cs="Times New Roman" w:eastAsia="Times New Roman" w:hAnsi="Times New Roman"/>
          <w:sz w:val="14"/>
          <w:szCs w:val="14"/>
          <w:color w:val="auto"/>
        </w:rPr>
      </w:pPr>
    </w:p>
    <w:p>
      <w:pPr>
        <w:ind w:left="980" w:right="539" w:hanging="429"/>
        <w:spacing w:after="0" w:line="283" w:lineRule="auto"/>
        <w:tabs>
          <w:tab w:leader="none" w:pos="98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material breach of any of its other obligations under this Agreement and, if that breach is capable of remedy, does not rectify that breach within [***] after receipt of a notice to remedy that breach or such other period of time agreed to by the parties;</w:t>
      </w:r>
    </w:p>
    <w:p>
      <w:pPr>
        <w:spacing w:after="0" w:line="51" w:lineRule="exact"/>
        <w:rPr>
          <w:rFonts w:ascii="Times New Roman" w:cs="Times New Roman" w:eastAsia="Times New Roman" w:hAnsi="Times New Roman"/>
          <w:sz w:val="14"/>
          <w:szCs w:val="14"/>
          <w:color w:val="auto"/>
        </w:rPr>
      </w:pPr>
    </w:p>
    <w:p>
      <w:pPr>
        <w:ind w:left="980" w:right="319" w:hanging="429"/>
        <w:spacing w:after="0" w:line="283" w:lineRule="auto"/>
        <w:tabs>
          <w:tab w:leader="none" w:pos="98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unable to pay its debts as they fall due, or makes a general assignment, scheme of arrangement or composition with or for the benefit of its creditors;</w:t>
      </w:r>
    </w:p>
    <w:p>
      <w:pPr>
        <w:spacing w:after="0" w:line="51" w:lineRule="exact"/>
        <w:rPr>
          <w:rFonts w:ascii="Times New Roman" w:cs="Times New Roman" w:eastAsia="Times New Roman" w:hAnsi="Times New Roman"/>
          <w:sz w:val="14"/>
          <w:szCs w:val="14"/>
          <w:color w:val="auto"/>
        </w:rPr>
      </w:pPr>
    </w:p>
    <w:p>
      <w:pPr>
        <w:ind w:left="980" w:right="799" w:hanging="429"/>
        <w:spacing w:after="0" w:line="283" w:lineRule="auto"/>
        <w:tabs>
          <w:tab w:leader="none" w:pos="98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ceases to carry on business or disposes of the whole or a material part of its business other than as permitted under Clause 16.2 to reconstruct or amalgamate while solvent on terms acceptable by the other party (which acceptance will not be [***]);</w:t>
      </w:r>
    </w:p>
    <w:p>
      <w:pPr>
        <w:spacing w:after="0" w:line="51" w:lineRule="exact"/>
        <w:rPr>
          <w:rFonts w:ascii="Times New Roman" w:cs="Times New Roman" w:eastAsia="Times New Roman" w:hAnsi="Times New Roman"/>
          <w:sz w:val="14"/>
          <w:szCs w:val="14"/>
          <w:color w:val="auto"/>
        </w:rPr>
      </w:pPr>
    </w:p>
    <w:p>
      <w:pPr>
        <w:ind w:left="980" w:right="319" w:hanging="429"/>
        <w:spacing w:after="0" w:line="283" w:lineRule="auto"/>
        <w:tabs>
          <w:tab w:leader="none" w:pos="98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takes any corporate action or any steps are taken or legal proceedings (provided that in circumstances in which such legal proceedings are involuntary, a party shall have [***] to obtain a dismissal of such a proceeding) are stated for:</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24</w:t>
      </w:r>
    </w:p>
    <w:p>
      <w:pPr>
        <w:sectPr>
          <w:pgSz w:w="11900" w:h="16838" w:orient="portrait"/>
          <w:cols w:equalWidth="0" w:num="1">
            <w:col w:w="9019"/>
          </w:cols>
          <w:pgMar w:left="1440" w:top="239" w:right="1440" w:bottom="1440" w:gutter="0" w:footer="0" w:header="0"/>
        </w:sectPr>
      </w:pPr>
    </w:p>
    <w:bookmarkStart w:id="562" w:name="page563"/>
    <w:bookmarkEnd w:id="562"/>
    <w:p>
      <w:pPr>
        <w:ind w:left="980" w:right="559" w:hanging="429"/>
        <w:spacing w:after="0" w:line="283" w:lineRule="auto"/>
        <w:tabs>
          <w:tab w:leader="none" w:pos="98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its winding-up, dissolution, liquidation, or re-organisation, other than as permitted by Clause 16.2 to reconstruct or amalgamate while solvent on terms approved by the other party (which approval will not be [***]); or</w:t>
      </w:r>
    </w:p>
    <w:p>
      <w:pPr>
        <w:spacing w:after="0" w:line="51" w:lineRule="exact"/>
        <w:rPr>
          <w:rFonts w:ascii="Times New Roman" w:cs="Times New Roman" w:eastAsia="Times New Roman" w:hAnsi="Times New Roman"/>
          <w:sz w:val="14"/>
          <w:szCs w:val="14"/>
          <w:color w:val="auto"/>
        </w:rPr>
      </w:pPr>
    </w:p>
    <w:p>
      <w:pPr>
        <w:ind w:left="980" w:right="279" w:hanging="429"/>
        <w:spacing w:after="0" w:line="283" w:lineRule="auto"/>
        <w:tabs>
          <w:tab w:leader="none" w:pos="98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 controller, receiver, administrator, official manager, trustee or similar officer of it or of any of its revenues and assets; or</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seeks protection or is granted protection from its creditors, under any applicable legislation;</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12.2 Discontinuing the Activities</w:t>
      </w:r>
    </w:p>
    <w:p>
      <w:pPr>
        <w:spacing w:after="0" w:line="104" w:lineRule="exact"/>
        <w:rPr>
          <w:sz w:val="20"/>
          <w:szCs w:val="20"/>
          <w:color w:val="auto"/>
        </w:rPr>
      </w:pPr>
    </w:p>
    <w:p>
      <w:pPr>
        <w:ind w:left="980" w:right="399" w:hanging="429"/>
        <w:spacing w:after="0" w:line="283" w:lineRule="auto"/>
        <w:tabs>
          <w:tab w:leader="none" w:pos="9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Licensee, [***], determines that the Activities are no longer commercially viable, it may give Monash [***] notice to this effect.</w:t>
      </w:r>
    </w:p>
    <w:p>
      <w:pPr>
        <w:spacing w:after="0" w:line="51" w:lineRule="exact"/>
        <w:rPr>
          <w:rFonts w:ascii="Times New Roman" w:cs="Times New Roman" w:eastAsia="Times New Roman" w:hAnsi="Times New Roman"/>
          <w:sz w:val="14"/>
          <w:szCs w:val="14"/>
          <w:color w:val="auto"/>
        </w:rPr>
      </w:pPr>
    </w:p>
    <w:p>
      <w:pPr>
        <w:ind w:left="980" w:right="279" w:hanging="429"/>
        <w:spacing w:after="0" w:line="267" w:lineRule="auto"/>
        <w:tabs>
          <w:tab w:leader="none" w:pos="9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this notice being given, the Parties will meet and negotiate [***] the future Commercialisation and respective rights of each party. In the event that the Parties are unable to reach a continuing agreement within that [***] period, either party may [***]terminate this Agreement upon written notice to that effect to the other party.</w:t>
      </w:r>
    </w:p>
    <w:p>
      <w:pPr>
        <w:spacing w:after="0" w:line="61" w:lineRule="exact"/>
        <w:rPr>
          <w:rFonts w:ascii="Times New Roman" w:cs="Times New Roman" w:eastAsia="Times New Roman" w:hAnsi="Times New Roman"/>
          <w:sz w:val="14"/>
          <w:szCs w:val="14"/>
          <w:color w:val="auto"/>
        </w:rPr>
      </w:pPr>
    </w:p>
    <w:p>
      <w:pPr>
        <w:ind w:left="980" w:right="459" w:hanging="429"/>
        <w:spacing w:after="0" w:line="267" w:lineRule="auto"/>
        <w:tabs>
          <w:tab w:leader="none" w:pos="9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Agreement is terminated under this Clause 12.2, the licences granted under Clause 5.1 shall be deemed to terminate as at the date of termination of this Agreement, and any further licence fee payment which would otherwise have been payable but for the termination will no longer be payable.</w:t>
      </w:r>
    </w:p>
    <w:p>
      <w:pPr>
        <w:spacing w:after="0" w:line="61" w:lineRule="exact"/>
        <w:rPr>
          <w:rFonts w:ascii="Times New Roman" w:cs="Times New Roman" w:eastAsia="Times New Roman" w:hAnsi="Times New Roman"/>
          <w:sz w:val="14"/>
          <w:szCs w:val="14"/>
          <w:color w:val="auto"/>
        </w:rPr>
      </w:pPr>
    </w:p>
    <w:p>
      <w:pPr>
        <w:ind w:left="980" w:right="579" w:hanging="429"/>
        <w:spacing w:after="0" w:line="267" w:lineRule="auto"/>
        <w:tabs>
          <w:tab w:leader="none" w:pos="98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Agreement is terminated under this Clause 12.2, a final royalty report will be promptly prepared and sent to Monash. That report will include details of Net Income and Net Sales as at the date of termination including a calculation of any payments due to Monash. Licensee will remit any payment to Monash within [***] of sending that report.</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12.3 Consequences of Termination</w:t>
      </w:r>
    </w:p>
    <w:p>
      <w:pPr>
        <w:spacing w:after="0" w:line="93" w:lineRule="exact"/>
        <w:rPr>
          <w:sz w:val="20"/>
          <w:szCs w:val="20"/>
          <w:color w:val="auto"/>
        </w:rPr>
      </w:pPr>
    </w:p>
    <w:p>
      <w:pPr>
        <w:ind w:left="560" w:right="279"/>
        <w:spacing w:after="0" w:line="267" w:lineRule="auto"/>
        <w:rPr>
          <w:sz w:val="20"/>
          <w:szCs w:val="20"/>
          <w:color w:val="auto"/>
        </w:rPr>
      </w:pPr>
      <w:r>
        <w:rPr>
          <w:rFonts w:ascii="Times New Roman" w:cs="Times New Roman" w:eastAsia="Times New Roman" w:hAnsi="Times New Roman"/>
          <w:sz w:val="14"/>
          <w:szCs w:val="14"/>
          <w:color w:val="auto"/>
        </w:rPr>
        <w:t>Subject to this Clause, upon termination of this Agreement, all further rights and obligations under this Agreement are at an end (except those that are expressly or by implication intended to survive termination). Clauses 5.5, 9, 10, and 11 shall survive the termination or expiration of this Agreement.</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12.4 Rights prior to Termination</w:t>
      </w:r>
    </w:p>
    <w:p>
      <w:pPr>
        <w:spacing w:after="0" w:line="93" w:lineRule="exact"/>
        <w:rPr>
          <w:sz w:val="20"/>
          <w:szCs w:val="20"/>
          <w:color w:val="auto"/>
        </w:rPr>
      </w:pPr>
    </w:p>
    <w:p>
      <w:pPr>
        <w:ind w:left="560" w:right="419"/>
        <w:spacing w:after="0" w:line="283" w:lineRule="auto"/>
        <w:rPr>
          <w:sz w:val="20"/>
          <w:szCs w:val="20"/>
          <w:color w:val="auto"/>
        </w:rPr>
      </w:pPr>
      <w:r>
        <w:rPr>
          <w:rFonts w:ascii="Times New Roman" w:cs="Times New Roman" w:eastAsia="Times New Roman" w:hAnsi="Times New Roman"/>
          <w:sz w:val="14"/>
          <w:szCs w:val="14"/>
          <w:color w:val="auto"/>
        </w:rPr>
        <w:t>Any termination of this Agreement will not affect the enforceability of any other obligations of a Party or rights against a Party accrued prior to termination.</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25</w:t>
      </w:r>
    </w:p>
    <w:p>
      <w:pPr>
        <w:sectPr>
          <w:pgSz w:w="11900" w:h="16838" w:orient="portrait"/>
          <w:cols w:equalWidth="0" w:num="1">
            <w:col w:w="9019"/>
          </w:cols>
          <w:pgMar w:left="1440" w:top="240" w:right="1440" w:bottom="1440" w:gutter="0" w:footer="0" w:header="0"/>
        </w:sectPr>
      </w:pPr>
    </w:p>
    <w:bookmarkStart w:id="563" w:name="page564"/>
    <w:bookmarkEnd w:id="563"/>
    <w:p>
      <w:pPr>
        <w:ind w:left="560" w:hanging="345"/>
        <w:spacing w:after="0"/>
        <w:tabs>
          <w:tab w:leader="none" w:pos="560" w:val="left"/>
        </w:tabs>
        <w:numPr>
          <w:ilvl w:val="0"/>
          <w:numId w:val="4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Force Majeure</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13.1 Effect of Force Majeure</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 a Party is unable, wholly or in part, by reason of Force Majeure, to carry out any obligation under this Agreement, and that party:</w:t>
      </w:r>
    </w:p>
    <w:p>
      <w:pPr>
        <w:spacing w:after="0" w:line="102" w:lineRule="exact"/>
        <w:rPr>
          <w:sz w:val="20"/>
          <w:szCs w:val="20"/>
          <w:color w:val="auto"/>
        </w:rPr>
      </w:pPr>
    </w:p>
    <w:p>
      <w:pPr>
        <w:ind w:left="980" w:right="279" w:hanging="429"/>
        <w:spacing w:after="0" w:line="283" w:lineRule="auto"/>
        <w:tabs>
          <w:tab w:leader="none" w:pos="9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the other Party prompt notice of that Force Majeure including reasonable particulars and anticipated extent to which it will be unable to perform or be delayed in performing that obligation; and</w:t>
      </w:r>
    </w:p>
    <w:p>
      <w:pPr>
        <w:spacing w:after="0" w:line="51" w:lineRule="exact"/>
        <w:rPr>
          <w:rFonts w:ascii="Times New Roman" w:cs="Times New Roman" w:eastAsia="Times New Roman" w:hAnsi="Times New Roman"/>
          <w:sz w:val="14"/>
          <w:szCs w:val="14"/>
          <w:color w:val="auto"/>
        </w:rPr>
      </w:pPr>
    </w:p>
    <w:p>
      <w:pPr>
        <w:ind w:left="980" w:right="279" w:hanging="429"/>
        <w:spacing w:after="0" w:line="261" w:lineRule="auto"/>
        <w:tabs>
          <w:tab w:leader="none" w:pos="98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what it reasonably can to remove that Force Majeure as quickly as reasonably possible (this does not require the settlement of strikes, lockouts or other labour disputes or claims or demands by any government on terms contrary to the wishes of the Party affected), that obligation is suspended so far as it is affected by Force Majeure during the continuance of that Force Majeure and that party shall be allowed a [***] extension of time to perform its obligations.</w:t>
      </w:r>
    </w:p>
    <w:p>
      <w:pPr>
        <w:spacing w:after="0" w:line="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13.2 Remedial action</w:t>
      </w:r>
    </w:p>
    <w:p>
      <w:pPr>
        <w:spacing w:after="0" w:line="93" w:lineRule="exact"/>
        <w:rPr>
          <w:sz w:val="20"/>
          <w:szCs w:val="20"/>
          <w:color w:val="auto"/>
        </w:rPr>
      </w:pPr>
    </w:p>
    <w:p>
      <w:pPr>
        <w:ind w:left="560" w:right="759"/>
        <w:spacing w:after="0" w:line="283" w:lineRule="auto"/>
        <w:rPr>
          <w:sz w:val="20"/>
          <w:szCs w:val="20"/>
          <w:color w:val="auto"/>
        </w:rPr>
      </w:pPr>
      <w:r>
        <w:rPr>
          <w:rFonts w:ascii="Times New Roman" w:cs="Times New Roman" w:eastAsia="Times New Roman" w:hAnsi="Times New Roman"/>
          <w:sz w:val="14"/>
          <w:szCs w:val="14"/>
          <w:color w:val="auto"/>
        </w:rPr>
        <w:t>If, after [***], the Force Majeure has not ceased, the Parties shall meet [***] to discuss the situation and endeavour to achieve a mutually satisfactory resolution to the problem.</w:t>
      </w:r>
    </w:p>
    <w:p>
      <w:pPr>
        <w:spacing w:after="0" w:line="239" w:lineRule="exact"/>
        <w:rPr>
          <w:sz w:val="20"/>
          <w:szCs w:val="20"/>
          <w:color w:val="auto"/>
        </w:rPr>
      </w:pPr>
    </w:p>
    <w:p>
      <w:pPr>
        <w:ind w:left="220" w:right="7339" w:hanging="5"/>
        <w:spacing w:after="0" w:line="415" w:lineRule="auto"/>
        <w:tabs>
          <w:tab w:leader="none" w:pos="556" w:val="left"/>
        </w:tabs>
        <w:numPr>
          <w:ilvl w:val="0"/>
          <w:numId w:val="4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Dispute Resolution 14.1 [***] negotiation</w:t>
      </w:r>
    </w:p>
    <w:p>
      <w:pPr>
        <w:ind w:left="560" w:right="779"/>
        <w:spacing w:after="0" w:line="283" w:lineRule="auto"/>
        <w:rPr>
          <w:sz w:val="20"/>
          <w:szCs w:val="20"/>
          <w:color w:val="auto"/>
        </w:rPr>
      </w:pPr>
      <w:r>
        <w:rPr>
          <w:rFonts w:ascii="Times New Roman" w:cs="Times New Roman" w:eastAsia="Times New Roman" w:hAnsi="Times New Roman"/>
          <w:sz w:val="14"/>
          <w:szCs w:val="14"/>
          <w:color w:val="auto"/>
        </w:rPr>
        <w:t>The Parties shall without delay and in [***] attempt to resolve any dispute or difference which may arise between them in relation to this Agreement.</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14.2 Disputes generally</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Any dispute or difference relating to a matter shall be resolved in accordance with the following procedure:</w:t>
      </w:r>
    </w:p>
    <w:p>
      <w:pPr>
        <w:spacing w:after="0" w:line="102" w:lineRule="exact"/>
        <w:rPr>
          <w:sz w:val="20"/>
          <w:szCs w:val="20"/>
          <w:color w:val="auto"/>
        </w:rPr>
      </w:pPr>
    </w:p>
    <w:p>
      <w:pPr>
        <w:ind w:left="980" w:right="539" w:hanging="429"/>
        <w:spacing w:after="0" w:line="283" w:lineRule="auto"/>
        <w:tabs>
          <w:tab w:leader="none" w:pos="98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Party claiming that a dispute exists shall notify the other party in writing that a dispute exists and forthwith submit such dispute or difference to the senior representatives of each Party for resolution;</w:t>
      </w:r>
    </w:p>
    <w:p>
      <w:pPr>
        <w:spacing w:after="0" w:line="51" w:lineRule="exact"/>
        <w:rPr>
          <w:rFonts w:ascii="Times New Roman" w:cs="Times New Roman" w:eastAsia="Times New Roman" w:hAnsi="Times New Roman"/>
          <w:sz w:val="14"/>
          <w:szCs w:val="14"/>
          <w:color w:val="auto"/>
        </w:rPr>
      </w:pPr>
    </w:p>
    <w:p>
      <w:pPr>
        <w:ind w:left="980" w:right="279" w:hanging="429"/>
        <w:spacing w:after="0" w:line="283" w:lineRule="auto"/>
        <w:tabs>
          <w:tab w:leader="none" w:pos="98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senior representatives are unable to resolve the dispute or difference within a reasonable time, a meeting shall be convened forthwith between an Officer of Licensee and a senior representative of Monash for resolution of the dispute or difference; and</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26</w:t>
      </w:r>
    </w:p>
    <w:p>
      <w:pPr>
        <w:sectPr>
          <w:pgSz w:w="11900" w:h="16838" w:orient="portrait"/>
          <w:cols w:equalWidth="0" w:num="1">
            <w:col w:w="9019"/>
          </w:cols>
          <w:pgMar w:left="1440" w:top="238" w:right="1440" w:bottom="1440" w:gutter="0" w:footer="0" w:header="0"/>
        </w:sectPr>
      </w:pPr>
    </w:p>
    <w:bookmarkStart w:id="564" w:name="page565"/>
    <w:bookmarkEnd w:id="564"/>
    <w:p>
      <w:pPr>
        <w:ind w:left="980" w:right="319" w:hanging="429"/>
        <w:spacing w:after="0" w:line="283" w:lineRule="auto"/>
        <w:tabs>
          <w:tab w:leader="none" w:pos="98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if the dispute or difference is not resolved by the persons referred to in Clause 14.2(b) above, within such time as they agree but not being more than [***], Clause 14.3 (mediation) shall apply.</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14.3 Mediation</w:t>
      </w:r>
    </w:p>
    <w:p>
      <w:pPr>
        <w:spacing w:after="0" w:line="93" w:lineRule="exact"/>
        <w:rPr>
          <w:sz w:val="20"/>
          <w:szCs w:val="20"/>
          <w:color w:val="auto"/>
        </w:rPr>
      </w:pPr>
    </w:p>
    <w:p>
      <w:pPr>
        <w:jc w:val="both"/>
        <w:ind w:left="560" w:right="279"/>
        <w:spacing w:after="0" w:line="261" w:lineRule="auto"/>
        <w:rPr>
          <w:sz w:val="20"/>
          <w:szCs w:val="20"/>
          <w:color w:val="auto"/>
        </w:rPr>
      </w:pPr>
      <w:r>
        <w:rPr>
          <w:rFonts w:ascii="Times New Roman" w:cs="Times New Roman" w:eastAsia="Times New Roman" w:hAnsi="Times New Roman"/>
          <w:sz w:val="14"/>
          <w:szCs w:val="14"/>
          <w:color w:val="auto"/>
        </w:rPr>
        <w:t>If any dispute or difference is not resolved by negotiation in accordance with the above procedure, the Parties agree that it shall first be referred to mediation before either of them shall be entitled to commence any proceedings in a court of competent jurisdiction or otherwise in respect of such dispute or difference. However, this (and the procedure referred to under Clause 14.2) shall not preclude a Party from seeking urgent interlocutory relief in a court of competent jurisdiction.</w:t>
      </w:r>
    </w:p>
    <w:p>
      <w:pPr>
        <w:spacing w:after="0" w:line="254" w:lineRule="exact"/>
        <w:rPr>
          <w:sz w:val="20"/>
          <w:szCs w:val="20"/>
          <w:color w:val="auto"/>
        </w:rPr>
      </w:pPr>
    </w:p>
    <w:p>
      <w:pPr>
        <w:jc w:val="right"/>
        <w:ind w:left="220" w:right="7999" w:hanging="5"/>
        <w:spacing w:after="0" w:line="385" w:lineRule="auto"/>
        <w:tabs>
          <w:tab w:leader="none" w:pos="556" w:val="left"/>
        </w:tabs>
        <w:numPr>
          <w:ilvl w:val="0"/>
          <w:numId w:val="4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Notices 15.1 Method</w:t>
      </w:r>
    </w:p>
    <w:p>
      <w:pPr>
        <w:spacing w:after="0" w:line="1" w:lineRule="exact"/>
        <w:rPr>
          <w:sz w:val="20"/>
          <w:szCs w:val="20"/>
          <w:color w:val="auto"/>
        </w:rPr>
      </w:pPr>
    </w:p>
    <w:p>
      <w:pPr>
        <w:ind w:left="560" w:right="279"/>
        <w:spacing w:after="0" w:line="261" w:lineRule="auto"/>
        <w:rPr>
          <w:sz w:val="20"/>
          <w:szCs w:val="20"/>
          <w:color w:val="auto"/>
        </w:rPr>
      </w:pPr>
      <w:r>
        <w:rPr>
          <w:rFonts w:ascii="Times New Roman" w:cs="Times New Roman" w:eastAsia="Times New Roman" w:hAnsi="Times New Roman"/>
          <w:sz w:val="14"/>
          <w:szCs w:val="14"/>
          <w:color w:val="auto"/>
        </w:rPr>
        <w:t>A notice, consent or other communication under this Agreement is only effective if it is in writing and either left at the addressee’s address or sent to the addressee by mail or email. If it is sent by mail, it is taken to have been received [***] after it is posted. If it is sent by email, it is taken to have been received at the time indicated on confirmation of transmission. However, if transmission is completed after 5.00pm on a Business Day or is sent on a day that is not a Business Day, the message is taken to have been received at 9.00am on the next Business Day.</w:t>
      </w:r>
    </w:p>
    <w:p>
      <w:pPr>
        <w:spacing w:after="0" w:line="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15.2 Address for service</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 Party’s address and email address are those set out below, or as the Party notifies the sender from time to time:</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Address    101 Seaport Blvd., Floor 12, Boston, MA 02210, USA</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 a copy by email: [***]</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Monash</w:t>
      </w:r>
    </w:p>
    <w:p>
      <w:pPr>
        <w:spacing w:after="0" w:line="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Address: Monash University, Wellington Road, Clayton, VIC 3800 Australia</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 Monash Innovation</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 copy by email: [***]</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27</w:t>
      </w:r>
    </w:p>
    <w:p>
      <w:pPr>
        <w:sectPr>
          <w:pgSz w:w="11900" w:h="16838" w:orient="portrait"/>
          <w:cols w:equalWidth="0" w:num="1">
            <w:col w:w="9019"/>
          </w:cols>
          <w:pgMar w:left="1440" w:top="240" w:right="1440" w:bottom="1440" w:gutter="0" w:footer="0" w:header="0"/>
        </w:sectPr>
      </w:pPr>
    </w:p>
    <w:bookmarkStart w:id="565" w:name="page566"/>
    <w:bookmarkEnd w:id="565"/>
    <w:p>
      <w:pPr>
        <w:ind w:left="560" w:hanging="345"/>
        <w:spacing w:after="0"/>
        <w:tabs>
          <w:tab w:leader="none" w:pos="560" w:val="left"/>
        </w:tabs>
        <w:numPr>
          <w:ilvl w:val="0"/>
          <w:numId w:val="4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General</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16.1 Amendment</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Agreement may only be varied or replaced by a document duly executed by the Parties.</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16.2 Assignment</w:t>
      </w:r>
    </w:p>
    <w:p>
      <w:pPr>
        <w:spacing w:after="0" w:line="93" w:lineRule="exact"/>
        <w:rPr>
          <w:sz w:val="20"/>
          <w:szCs w:val="20"/>
          <w:color w:val="auto"/>
        </w:rPr>
      </w:pPr>
    </w:p>
    <w:p>
      <w:pPr>
        <w:ind w:left="560" w:right="279"/>
        <w:spacing w:after="0" w:line="257" w:lineRule="auto"/>
        <w:rPr>
          <w:sz w:val="20"/>
          <w:szCs w:val="20"/>
          <w:color w:val="auto"/>
        </w:rPr>
      </w:pPr>
      <w:r>
        <w:rPr>
          <w:rFonts w:ascii="Times New Roman" w:cs="Times New Roman" w:eastAsia="Times New Roman" w:hAnsi="Times New Roman"/>
          <w:sz w:val="14"/>
          <w:szCs w:val="14"/>
          <w:color w:val="auto"/>
        </w:rPr>
        <w:t>A Party shall not dispose of or encumber any right under this Agreement without the prior written consent of the other party, provided, however, that either Party may assign this Agreement, without the consent of the other Party, (i) to any of its Affiliates, if the assigning Party guarantees the full performance of its Affiliates’ obligations hereunder, or (ii) in connection with the transfer or sale of all or substantially all of its assets or business or in the event of its merger or consolidation with another company, if the successor party agrees in writing to be bound by this Agreement. Monash may subcontract or collaborate with third parties in respect of any aspect of the research and development under this Agreement or the MTA with the prior written consent of Licensee (such consent not to be [***]).</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16.3 Governing law</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Agreement is governed by the law in force in Victoria, Australia.</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16.4 Costs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Unless otherwise agreed, each party shall bear [***] in relation to the preparation and execution of this Agreement.</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16.5 Further assurance</w:t>
      </w:r>
    </w:p>
    <w:p>
      <w:pPr>
        <w:spacing w:after="0" w:line="93" w:lineRule="exact"/>
        <w:rPr>
          <w:sz w:val="20"/>
          <w:szCs w:val="20"/>
          <w:color w:val="auto"/>
        </w:rPr>
      </w:pPr>
    </w:p>
    <w:p>
      <w:pPr>
        <w:ind w:left="560" w:right="239"/>
        <w:spacing w:after="0" w:line="283" w:lineRule="auto"/>
        <w:rPr>
          <w:sz w:val="20"/>
          <w:szCs w:val="20"/>
          <w:color w:val="auto"/>
        </w:rPr>
      </w:pPr>
      <w:r>
        <w:rPr>
          <w:rFonts w:ascii="Times New Roman" w:cs="Times New Roman" w:eastAsia="Times New Roman" w:hAnsi="Times New Roman"/>
          <w:sz w:val="14"/>
          <w:szCs w:val="14"/>
          <w:color w:val="auto"/>
        </w:rPr>
        <w:t>Each party must do anything (including execute any document), and must ensure that its employees and agents do anything (including execute any document), that the other party may reasonably require to give full effect to this Agreement.</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16.6 Waiver of rights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 right may only be waived in writing, signed by the Party giving the waiver, and:</w:t>
      </w:r>
    </w:p>
    <w:p>
      <w:pPr>
        <w:spacing w:after="0" w:line="102" w:lineRule="exact"/>
        <w:rPr>
          <w:sz w:val="20"/>
          <w:szCs w:val="20"/>
          <w:color w:val="auto"/>
        </w:rPr>
      </w:pPr>
    </w:p>
    <w:p>
      <w:pPr>
        <w:ind w:left="980" w:right="359" w:hanging="429"/>
        <w:spacing w:after="0" w:line="283" w:lineRule="auto"/>
        <w:tabs>
          <w:tab w:leader="none" w:pos="980"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other conduct of a Party (including a failure to exercise, or delay in exercising, the right) operates as a waiver of the right or otherwise prevents the exercise of the right;</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waiver of a right on one or more occasions does not operate as a waiver of that right if it arises again; and</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a right does not prevent any further exercise of that right or of any other right.</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28</w:t>
      </w:r>
    </w:p>
    <w:p>
      <w:pPr>
        <w:sectPr>
          <w:pgSz w:w="11900" w:h="16838" w:orient="portrait"/>
          <w:cols w:equalWidth="0" w:num="1">
            <w:col w:w="9019"/>
          </w:cols>
          <w:pgMar w:left="1440" w:top="238" w:right="1440" w:bottom="1440" w:gutter="0" w:footer="0" w:header="0"/>
        </w:sectPr>
      </w:pPr>
    </w:p>
    <w:bookmarkStart w:id="566" w:name="page567"/>
    <w:bookmarkEnd w:id="566"/>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16.7 Original Agreement; Entire Agreement</w:t>
      </w:r>
    </w:p>
    <w:p>
      <w:pPr>
        <w:spacing w:after="0" w:line="93" w:lineRule="exact"/>
        <w:rPr>
          <w:sz w:val="20"/>
          <w:szCs w:val="20"/>
          <w:color w:val="auto"/>
        </w:rPr>
      </w:pPr>
    </w:p>
    <w:p>
      <w:pPr>
        <w:ind w:left="560" w:right="499"/>
        <w:spacing w:after="0" w:line="267" w:lineRule="auto"/>
        <w:rPr>
          <w:sz w:val="20"/>
          <w:szCs w:val="20"/>
          <w:color w:val="auto"/>
        </w:rPr>
      </w:pPr>
      <w:r>
        <w:rPr>
          <w:rFonts w:ascii="Times New Roman" w:cs="Times New Roman" w:eastAsia="Times New Roman" w:hAnsi="Times New Roman"/>
          <w:sz w:val="14"/>
          <w:szCs w:val="14"/>
          <w:color w:val="auto"/>
        </w:rPr>
        <w:t>This Agreement, as amended and restated, constitutes the entire understanding among the Parties with respect to the subject matter hereof and supersedes and replaces the MTA and the Original Agreement and all prior and contemporaneous agreements, understandings, writings and discussions among the Parties with respect to issues addressed in this Agreement.</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16.8 Consents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 this Agreement contemplates that a Party may agree or consent to something (however it is described), the Party may:</w:t>
      </w:r>
    </w:p>
    <w:p>
      <w:pPr>
        <w:spacing w:after="0" w:line="102" w:lineRule="exact"/>
        <w:rPr>
          <w:sz w:val="20"/>
          <w:szCs w:val="20"/>
          <w:color w:val="auto"/>
        </w:rPr>
      </w:pPr>
    </w:p>
    <w:p>
      <w:pPr>
        <w:ind w:left="980" w:hanging="429"/>
        <w:spacing w:after="0"/>
        <w:tabs>
          <w:tab w:leader="none" w:pos="980"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or consent, or not agree or consent, [***]; and</w:t>
      </w:r>
    </w:p>
    <w:p>
      <w:pPr>
        <w:spacing w:after="0" w:line="101" w:lineRule="exact"/>
        <w:rPr>
          <w:rFonts w:ascii="Times New Roman" w:cs="Times New Roman" w:eastAsia="Times New Roman" w:hAnsi="Times New Roman"/>
          <w:sz w:val="14"/>
          <w:szCs w:val="14"/>
          <w:color w:val="auto"/>
        </w:rPr>
      </w:pPr>
    </w:p>
    <w:p>
      <w:pPr>
        <w:ind w:left="980" w:right="339" w:hanging="429"/>
        <w:spacing w:after="0" w:line="283" w:lineRule="auto"/>
        <w:tabs>
          <w:tab w:leader="none" w:pos="980"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or consent subject to conditions, unless this Agreement expressly contemplates otherwise, including by providing that such consent is not to be [***].</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16.9 Relationship</w:t>
      </w:r>
    </w:p>
    <w:p>
      <w:pPr>
        <w:spacing w:after="0" w:line="93" w:lineRule="exact"/>
        <w:rPr>
          <w:sz w:val="20"/>
          <w:szCs w:val="20"/>
          <w:color w:val="auto"/>
        </w:rPr>
      </w:pPr>
    </w:p>
    <w:p>
      <w:pPr>
        <w:ind w:left="560" w:right="839"/>
        <w:spacing w:after="0" w:line="323" w:lineRule="auto"/>
        <w:rPr>
          <w:sz w:val="20"/>
          <w:szCs w:val="20"/>
          <w:color w:val="auto"/>
        </w:rPr>
      </w:pPr>
      <w:r>
        <w:rPr>
          <w:rFonts w:ascii="Times New Roman" w:cs="Times New Roman" w:eastAsia="Times New Roman" w:hAnsi="Times New Roman"/>
          <w:sz w:val="13"/>
          <w:szCs w:val="13"/>
          <w:color w:val="auto"/>
        </w:rPr>
        <w:t>Nothing in this Agreement is to be treated as creating a partnership or joint venture between the Parties under the laws of any applicable jurisdiction and no party may act or has any authority to act as agent of or in any way bind or commit the other party to any obligation.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16.10 Counterparts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Agreement may be executed in counterparts which may be exchanged in facsimile or electronic form.</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16.11 Attorneys</w:t>
      </w:r>
    </w:p>
    <w:p>
      <w:pPr>
        <w:spacing w:after="0" w:line="93" w:lineRule="exact"/>
        <w:rPr>
          <w:sz w:val="20"/>
          <w:szCs w:val="20"/>
          <w:color w:val="auto"/>
        </w:rPr>
      </w:pPr>
    </w:p>
    <w:p>
      <w:pPr>
        <w:ind w:left="560" w:right="679"/>
        <w:spacing w:after="0" w:line="283" w:lineRule="auto"/>
        <w:rPr>
          <w:sz w:val="20"/>
          <w:szCs w:val="20"/>
          <w:color w:val="auto"/>
        </w:rPr>
      </w:pPr>
      <w:r>
        <w:rPr>
          <w:rFonts w:ascii="Times New Roman" w:cs="Times New Roman" w:eastAsia="Times New Roman" w:hAnsi="Times New Roman"/>
          <w:sz w:val="14"/>
          <w:szCs w:val="14"/>
          <w:color w:val="auto"/>
        </w:rPr>
        <w:t>Each person who executes this Agreement on behalf of a Party under a power of attorney declares that he or she is not aware of any fact or circumstance that might affect his or her authority to do so under that power of attorney.</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29</w:t>
      </w:r>
    </w:p>
    <w:p>
      <w:pPr>
        <w:sectPr>
          <w:pgSz w:w="11900" w:h="16838" w:orient="portrait"/>
          <w:cols w:equalWidth="0" w:num="1">
            <w:col w:w="9019"/>
          </w:cols>
          <w:pgMar w:left="1440" w:top="239" w:right="1440" w:bottom="1440" w:gutter="0" w:footer="0" w:header="0"/>
        </w:sectPr>
      </w:pPr>
    </w:p>
    <w:bookmarkStart w:id="567" w:name="page568"/>
    <w:bookmarkEnd w:id="567"/>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Schedule 1 - Project Details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30</w:t>
      </w:r>
    </w:p>
    <w:p>
      <w:pPr>
        <w:sectPr>
          <w:pgSz w:w="11900" w:h="16838" w:orient="portrait"/>
          <w:cols w:equalWidth="0" w:num="1">
            <w:col w:w="9019"/>
          </w:cols>
          <w:pgMar w:left="1440" w:top="239" w:right="1440" w:bottom="1440" w:gutter="0" w:footer="0" w:header="0"/>
        </w:sectPr>
      </w:pPr>
    </w:p>
    <w:bookmarkStart w:id="568" w:name="page569"/>
    <w:bookmarkEnd w:id="568"/>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Schedule 2 - Application of Definitions and Calculations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31</w:t>
      </w:r>
    </w:p>
    <w:p>
      <w:pPr>
        <w:sectPr>
          <w:pgSz w:w="11900" w:h="16838" w:orient="portrait"/>
          <w:cols w:equalWidth="0" w:num="1">
            <w:col w:w="9019"/>
          </w:cols>
          <w:pgMar w:left="1440" w:top="239" w:right="1440" w:bottom="1440" w:gutter="0" w:footer="0" w:header="0"/>
        </w:sectPr>
      </w:pPr>
    </w:p>
    <w:bookmarkStart w:id="569" w:name="page570"/>
    <w:bookmarkEnd w:id="569"/>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3 - Development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Schedule 4 - Patents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32</w:t>
      </w:r>
    </w:p>
    <w:p>
      <w:pPr>
        <w:sectPr>
          <w:pgSz w:w="11900" w:h="16838" w:orient="portrait"/>
          <w:cols w:equalWidth="0" w:num="1">
            <w:col w:w="9019"/>
          </w:cols>
          <w:pgMar w:left="1440" w:top="238" w:right="1440" w:bottom="1440" w:gutter="0" w:footer="0" w:header="0"/>
        </w:sectPr>
      </w:pPr>
    </w:p>
    <w:bookmarkStart w:id="570" w:name="page571"/>
    <w:bookmarkEnd w:id="570"/>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Execution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Executed as an agreement 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Executed by</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Monash University</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Professor Sharon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13970</wp:posOffset>
            </wp:positionV>
            <wp:extent cx="217614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Authorised Representative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Professor Sharon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13970</wp:posOffset>
            </wp:positionV>
            <wp:extent cx="217614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of Authorised Representative (please print)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04 March 2025</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Executed by</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Seaport Therapeutics, Inc.</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13970</wp:posOffset>
            </wp:positionV>
            <wp:extent cx="217614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Authorised Representative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13970</wp:posOffset>
            </wp:positionV>
            <wp:extent cx="217614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 of Authorised Representative (please print)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03 March 2025</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w:t>
      </w:r>
    </w:p>
    <w:p>
      <w:pPr>
        <w:spacing w:after="0" w:line="10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Page 33</w:t>
      </w:r>
    </w:p>
    <w:p>
      <w:pPr>
        <w:sectPr>
          <w:pgSz w:w="11900" w:h="16838" w:orient="portrait"/>
          <w:cols w:equalWidth="0" w:num="1">
            <w:col w:w="9019"/>
          </w:cols>
          <w:pgMar w:left="1440" w:top="238" w:right="1440" w:bottom="1440" w:gutter="0" w:footer="0" w:header="0"/>
        </w:sectPr>
      </w:pPr>
    </w:p>
    <w:bookmarkStart w:id="571" w:name="page572"/>
    <w:bookmarkEnd w:id="571"/>
    <w:p>
      <w:pPr>
        <w:ind w:left="806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3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4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List of Subsidiaries</w:t>
            </w:r>
          </w:p>
        </w:tc>
      </w:tr>
      <w:tr>
        <w:trPr>
          <w:trHeight w:val="315"/>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Jurisdiction of Incorporation</w:t>
            </w:r>
          </w:p>
        </w:tc>
      </w:tr>
      <w:tr>
        <w:trPr>
          <w:trHeight w:val="144"/>
        </w:trPr>
        <w:tc>
          <w:tcPr>
            <w:tcW w:w="20" w:type="dxa"/>
            <w:vAlign w:val="bottom"/>
          </w:tcPr>
          <w:p>
            <w:pPr>
              <w:spacing w:after="0"/>
              <w:rPr>
                <w:sz w:val="12"/>
                <w:szCs w:val="12"/>
                <w:color w:val="auto"/>
              </w:rPr>
            </w:pPr>
          </w:p>
        </w:tc>
        <w:tc>
          <w:tcPr>
            <w:tcW w:w="308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Seaport Therapeutics Securities Corporation</w:t>
            </w:r>
          </w:p>
        </w:tc>
        <w:tc>
          <w:tcPr>
            <w:tcW w:w="1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12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Massachusetts</w:t>
            </w:r>
          </w:p>
        </w:tc>
      </w:tr>
      <w:tr>
        <w:trPr>
          <w:trHeight w:val="168"/>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SPTX, Inc.</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Seaport Therapeutics Australia Pty Ltd</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Australia</w:t>
            </w:r>
          </w:p>
        </w:tc>
      </w:tr>
    </w:tbl>
    <w:p>
      <w:pPr>
        <w:sectPr>
          <w:pgSz w:w="11900" w:h="16838" w:orient="portrait"/>
          <w:cols w:equalWidth="0" w:num="1">
            <w:col w:w="9019"/>
          </w:cols>
          <w:pgMar w:left="1440" w:top="122" w:right="1440" w:bottom="1440" w:gutter="0" w:footer="0" w:header="0"/>
        </w:sectPr>
      </w:pPr>
    </w:p>
    <w:bookmarkStart w:id="572" w:name="page573"/>
    <w:bookmarkEnd w:id="572"/>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5" w:lineRule="exact"/>
        <w:rPr>
          <w:sz w:val="20"/>
          <w:szCs w:val="20"/>
          <w:color w:val="auto"/>
        </w:rPr>
      </w:pPr>
    </w:p>
    <w:p>
      <w:pPr>
        <w:ind w:left="220" w:right="319"/>
        <w:spacing w:after="0" w:line="267" w:lineRule="auto"/>
        <w:rPr>
          <w:sz w:val="20"/>
          <w:szCs w:val="20"/>
          <w:color w:val="auto"/>
        </w:rPr>
      </w:pPr>
      <w:r>
        <w:rPr>
          <w:rFonts w:ascii="Times New Roman" w:cs="Times New Roman" w:eastAsia="Times New Roman" w:hAnsi="Times New Roman"/>
          <w:sz w:val="14"/>
          <w:szCs w:val="14"/>
          <w:color w:val="auto"/>
        </w:rPr>
        <w:t>We hereby consent to the use in this Registration Statement on Form S-1 of Seaport Therapeutics, Inc. of our report dated February 27, 2026 relating to the financial statements of Seaport Therapeutics, Inc., which appears in this Registration Statement. We also consent to the reference to us under the heading “Experts” in such Registration Statement.</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April 10, 2026</w:t>
      </w:r>
    </w:p>
    <w:p>
      <w:pPr>
        <w:sectPr>
          <w:pgSz w:w="11900" w:h="16838" w:orient="portrait"/>
          <w:cols w:equalWidth="0" w:num="1">
            <w:col w:w="9019"/>
          </w:cols>
          <w:pgMar w:left="1440" w:top="123" w:right="1440" w:bottom="1440" w:gutter="0" w:footer="0" w:header="0"/>
        </w:sectPr>
      </w:pPr>
    </w:p>
    <w:bookmarkStart w:id="573" w:name="page574"/>
    <w:bookmarkEnd w:id="573"/>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Seaport Therapeutics,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4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ind w:left="140"/>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6"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68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68"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4"/>
                <w:szCs w:val="14"/>
                <w:color w:val="auto"/>
              </w:rPr>
            </w:pPr>
          </w:p>
        </w:tc>
        <w:tc>
          <w:tcPr>
            <w:tcW w:w="920" w:type="dxa"/>
            <w:vAlign w:val="bottom"/>
            <w:shd w:val="clear" w:color="auto" w:fill="E7E7E2"/>
          </w:tcPr>
          <w:p>
            <w:pPr>
              <w:jc w:val="center"/>
              <w:spacing w:after="0" w:line="168" w:lineRule="exact"/>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73" w:lineRule="exact"/>
        <w:rPr>
          <w:sz w:val="20"/>
          <w:szCs w:val="20"/>
          <w:color w:val="auto"/>
        </w:rPr>
      </w:pPr>
    </w:p>
    <w:p>
      <w:pPr>
        <w:ind w:left="220" w:hanging="184"/>
        <w:spacing w:after="0"/>
        <w:tabs>
          <w:tab w:leader="none" w:pos="220" w:val="left"/>
        </w:tabs>
        <w:numPr>
          <w:ilvl w:val="0"/>
          <w:numId w:val="482"/>
        </w:numPr>
        <w:rPr>
          <w:rFonts w:ascii="Arial" w:cs="Arial" w:eastAsia="Arial" w:hAnsi="Arial"/>
          <w:sz w:val="21"/>
          <w:szCs w:val="21"/>
          <w:color w:val="auto"/>
          <w:vertAlign w:val="superscript"/>
        </w:rPr>
      </w:pPr>
      <w:r>
        <w:rPr>
          <w:rFonts w:ascii="Arial" w:cs="Arial" w:eastAsia="Arial" w:hAnsi="Arial"/>
          <w:sz w:val="17"/>
          <w:szCs w:val="17"/>
          <w:color w:val="auto"/>
        </w:rPr>
        <w:t>(1) Estimated solely for the purpose of computing the registration fee in accordance with Rule 457(o) under the Securities Act of 1933, as amended.</w:t>
      </w:r>
    </w:p>
    <w:p>
      <w:pPr>
        <w:ind w:left="220"/>
        <w:spacing w:after="0"/>
        <w:rPr>
          <w:rFonts w:ascii="Arial" w:cs="Arial" w:eastAsia="Arial" w:hAnsi="Arial"/>
          <w:sz w:val="21"/>
          <w:szCs w:val="21"/>
          <w:color w:val="auto"/>
          <w:vertAlign w:val="superscript"/>
        </w:rPr>
      </w:pPr>
      <w:r>
        <w:rPr>
          <w:rFonts w:ascii="Arial" w:cs="Arial" w:eastAsia="Arial" w:hAnsi="Arial"/>
          <w:sz w:val="17"/>
          <w:szCs w:val="17"/>
          <w:color w:val="auto"/>
        </w:rPr>
        <w:t>(2) Includes the aggregate offering price of additional shares that the underwriters have the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6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40" w:type="dxa"/>
            <w:vAlign w:val="bottom"/>
            <w:shd w:val="clear" w:color="auto" w:fill="9ADAF6"/>
          </w:tcPr>
          <w:p>
            <w:pPr>
              <w:jc w:val="center"/>
              <w:ind w:right="216"/>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21"/>
                <w:szCs w:val="21"/>
                <w:color w:val="auto"/>
              </w:rPr>
            </w:pPr>
          </w:p>
        </w:tc>
        <w:tc>
          <w:tcPr>
            <w:tcW w:w="120" w:type="dxa"/>
            <w:vAlign w:val="bottom"/>
            <w:shd w:val="clear" w:color="auto" w:fill="9ADAF6"/>
          </w:tcPr>
          <w:p>
            <w:pPr>
              <w:spacing w:after="0"/>
              <w:rPr>
                <w:sz w:val="21"/>
                <w:szCs w:val="21"/>
                <w:color w:val="auto"/>
              </w:rPr>
            </w:pPr>
          </w:p>
        </w:tc>
        <w:tc>
          <w:tcPr>
            <w:tcW w:w="500" w:type="dxa"/>
            <w:vAlign w:val="bottom"/>
            <w:gridSpan w:val="2"/>
            <w:shd w:val="clear" w:color="auto" w:fill="9ADAF6"/>
          </w:tcPr>
          <w:p>
            <w:pPr>
              <w:jc w:val="center"/>
              <w:ind w:right="56"/>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8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9A377B6"/>
    <w:multiLevelType w:val="hybridMultilevel"/>
    <w:lvl w:ilvl="0">
      <w:lvlJc w:val="left"/>
      <w:lvlText w:val="1"/>
      <w:numFmt w:val="bullet"/>
      <w:start w:val="1"/>
    </w:lvl>
  </w:abstractNum>
  <w:abstractNum w:abstractNumId="1">
    <w:nsid w:val="48AEB063"/>
    <w:multiLevelType w:val="hybridMultilevel"/>
    <w:lvl w:ilvl="0">
      <w:lvlJc w:val="left"/>
      <w:lvlText w:val="•"/>
      <w:numFmt w:val="bullet"/>
      <w:start w:val="1"/>
    </w:lvl>
  </w:abstractNum>
  <w:abstractNum w:abstractNumId="2">
    <w:nsid w:val="24E135"/>
    <w:multiLevelType w:val="hybridMultilevel"/>
    <w:lvl w:ilvl="0">
      <w:lvlJc w:val="left"/>
      <w:lvlText w:val="•"/>
      <w:numFmt w:val="bullet"/>
      <w:start w:val="1"/>
    </w:lvl>
  </w:abstractNum>
  <w:abstractNum w:abstractNumId="3">
    <w:nsid w:val="BB13C1"/>
    <w:multiLevelType w:val="hybridMultilevel"/>
    <w:lvl w:ilvl="0">
      <w:lvlJc w:val="left"/>
      <w:lvlText w:val="•"/>
      <w:numFmt w:val="bullet"/>
      <w:start w:val="1"/>
    </w:lvl>
  </w:abstractNum>
  <w:abstractNum w:abstractNumId="4">
    <w:nsid w:val="271210C7"/>
    <w:multiLevelType w:val="hybridMultilevel"/>
    <w:lvl w:ilvl="0">
      <w:lvlJc w:val="left"/>
      <w:lvlText w:val="•"/>
      <w:numFmt w:val="bullet"/>
      <w:start w:val="1"/>
    </w:lvl>
  </w:abstractNum>
  <w:abstractNum w:abstractNumId="5">
    <w:nsid w:val="217B22E4"/>
    <w:multiLevelType w:val="hybridMultilevel"/>
    <w:lvl w:ilvl="0">
      <w:lvlJc w:val="left"/>
      <w:lvlText w:val="•"/>
      <w:numFmt w:val="bullet"/>
      <w:start w:val="1"/>
    </w:lvl>
  </w:abstractNum>
  <w:abstractNum w:abstractNumId="6">
    <w:nsid w:val="53E31A24"/>
    <w:multiLevelType w:val="hybridMultilevel"/>
    <w:lvl w:ilvl="0">
      <w:lvlJc w:val="left"/>
      <w:lvlText w:val="•"/>
      <w:numFmt w:val="bullet"/>
      <w:start w:val="1"/>
    </w:lvl>
  </w:abstractNum>
  <w:abstractNum w:abstractNumId="7">
    <w:nsid w:val="6DC45E83"/>
    <w:multiLevelType w:val="hybridMultilevel"/>
    <w:lvl w:ilvl="0">
      <w:lvlJc w:val="left"/>
      <w:lvlText w:val="•"/>
      <w:numFmt w:val="bullet"/>
      <w:start w:val="1"/>
    </w:lvl>
  </w:abstractNum>
  <w:abstractNum w:abstractNumId="8">
    <w:nsid w:val="17304A67"/>
    <w:multiLevelType w:val="hybridMultilevel"/>
    <w:lvl w:ilvl="0">
      <w:lvlJc w:val="left"/>
      <w:lvlText w:val="•"/>
      <w:numFmt w:val="bullet"/>
      <w:start w:val="1"/>
    </w:lvl>
  </w:abstractNum>
  <w:abstractNum w:abstractNumId="9">
    <w:nsid w:val="2BB180D8"/>
    <w:multiLevelType w:val="hybridMultilevel"/>
    <w:lvl w:ilvl="0">
      <w:lvlJc w:val="left"/>
      <w:lvlText w:val="•"/>
      <w:numFmt w:val="bullet"/>
      <w:start w:val="1"/>
    </w:lvl>
  </w:abstractNum>
  <w:abstractNum w:abstractNumId="10">
    <w:nsid w:val="556B69ED"/>
    <w:multiLevelType w:val="hybridMultilevel"/>
    <w:lvl w:ilvl="0">
      <w:lvlJc w:val="left"/>
      <w:lvlText w:val="•"/>
      <w:numFmt w:val="bullet"/>
      <w:start w:val="1"/>
    </w:lvl>
  </w:abstractNum>
  <w:abstractNum w:abstractNumId="11">
    <w:nsid w:val="70836196"/>
    <w:multiLevelType w:val="hybridMultilevel"/>
    <w:lvl w:ilvl="0">
      <w:lvlJc w:val="left"/>
      <w:lvlText w:val="(%1)"/>
      <w:numFmt w:val="decimal"/>
      <w:start w:val="1"/>
    </w:lvl>
  </w:abstractNum>
  <w:abstractNum w:abstractNumId="12">
    <w:nsid w:val="539F7F12"/>
    <w:multiLevelType w:val="hybridMultilevel"/>
    <w:lvl w:ilvl="0">
      <w:lvlJc w:val="left"/>
      <w:lvlText w:val="(%1)"/>
      <w:numFmt w:val="decimal"/>
      <w:start w:val="2"/>
    </w:lvl>
  </w:abstractNum>
  <w:abstractNum w:abstractNumId="13">
    <w:nsid w:val="2817E7EC"/>
    <w:multiLevelType w:val="hybridMultilevel"/>
    <w:lvl w:ilvl="0">
      <w:lvlJc w:val="left"/>
      <w:lvlText w:val="(%1)"/>
      <w:numFmt w:val="decimal"/>
      <w:start w:val="1"/>
    </w:lvl>
  </w:abstractNum>
  <w:abstractNum w:abstractNumId="14">
    <w:nsid w:val="71482545"/>
    <w:multiLevelType w:val="hybridMultilevel"/>
    <w:lvl w:ilvl="0">
      <w:lvlJc w:val="left"/>
      <w:lvlText w:val="(%1)"/>
      <w:numFmt w:val="decimal"/>
      <w:start w:val="3"/>
    </w:lvl>
  </w:abstractNum>
  <w:abstractNum w:abstractNumId="15">
    <w:nsid w:val="17D78639"/>
    <w:multiLevelType w:val="hybridMultilevel"/>
    <w:lvl w:ilvl="0">
      <w:lvlJc w:val="left"/>
      <w:lvlText w:val="•"/>
      <w:numFmt w:val="bullet"/>
      <w:start w:val="1"/>
    </w:lvl>
  </w:abstractNum>
  <w:abstractNum w:abstractNumId="16">
    <w:nsid w:val="141D2302"/>
    <w:multiLevelType w:val="hybridMultilevel"/>
    <w:lvl w:ilvl="0">
      <w:lvlJc w:val="left"/>
      <w:lvlText w:val="•"/>
      <w:numFmt w:val="bullet"/>
      <w:start w:val="1"/>
    </w:lvl>
  </w:abstractNum>
  <w:abstractNum w:abstractNumId="17">
    <w:nsid w:val="407168D8"/>
    <w:multiLevelType w:val="hybridMultilevel"/>
    <w:lvl w:ilvl="0">
      <w:lvlJc w:val="left"/>
      <w:lvlText w:val="•"/>
      <w:numFmt w:val="bullet"/>
      <w:start w:val="1"/>
    </w:lvl>
  </w:abstractNum>
  <w:abstractNum w:abstractNumId="18">
    <w:nsid w:val="6A1B45E5"/>
    <w:multiLevelType w:val="hybridMultilevel"/>
    <w:lvl w:ilvl="0">
      <w:lvlJc w:val="left"/>
      <w:lvlText w:val="•"/>
      <w:numFmt w:val="bullet"/>
      <w:start w:val="1"/>
    </w:lvl>
  </w:abstractNum>
  <w:abstractNum w:abstractNumId="19">
    <w:nsid w:val="567BD50A"/>
    <w:multiLevelType w:val="hybridMultilevel"/>
    <w:lvl w:ilvl="0">
      <w:lvlJc w:val="left"/>
      <w:lvlText w:val="•"/>
      <w:numFmt w:val="bullet"/>
      <w:start w:val="1"/>
    </w:lvl>
  </w:abstractNum>
  <w:abstractNum w:abstractNumId="20">
    <w:nsid w:val="73BBD7F8"/>
    <w:multiLevelType w:val="hybridMultilevel"/>
    <w:lvl w:ilvl="0">
      <w:lvlJc w:val="left"/>
      <w:lvlText w:val="•"/>
      <w:numFmt w:val="bullet"/>
      <w:start w:val="1"/>
    </w:lvl>
  </w:abstractNum>
  <w:abstractNum w:abstractNumId="21">
    <w:nsid w:val="1876589D"/>
    <w:multiLevelType w:val="hybridMultilevel"/>
    <w:lvl w:ilvl="0">
      <w:lvlJc w:val="left"/>
      <w:lvlText w:val="•"/>
      <w:numFmt w:val="bullet"/>
      <w:start w:val="1"/>
    </w:lvl>
  </w:abstractNum>
  <w:abstractNum w:abstractNumId="22">
    <w:nsid w:val="327FAC77"/>
    <w:multiLevelType w:val="hybridMultilevel"/>
    <w:lvl w:ilvl="0">
      <w:lvlJc w:val="left"/>
      <w:lvlText w:val="•"/>
      <w:numFmt w:val="bullet"/>
      <w:start w:val="1"/>
    </w:lvl>
  </w:abstractNum>
  <w:abstractNum w:abstractNumId="23">
    <w:nsid w:val="5A606509"/>
    <w:multiLevelType w:val="hybridMultilevel"/>
    <w:lvl w:ilvl="0">
      <w:lvlJc w:val="left"/>
      <w:lvlText w:val="•"/>
      <w:numFmt w:val="bullet"/>
      <w:start w:val="1"/>
    </w:lvl>
  </w:abstractNum>
  <w:abstractNum w:abstractNumId="24">
    <w:nsid w:val="6F38E6D1"/>
    <w:multiLevelType w:val="hybridMultilevel"/>
    <w:lvl w:ilvl="0">
      <w:lvlJc w:val="left"/>
      <w:lvlText w:val="•"/>
      <w:numFmt w:val="bullet"/>
      <w:start w:val="1"/>
    </w:lvl>
  </w:abstractNum>
  <w:abstractNum w:abstractNumId="25">
    <w:nsid w:val="46111BA5"/>
    <w:multiLevelType w:val="hybridMultilevel"/>
    <w:lvl w:ilvl="0">
      <w:lvlJc w:val="left"/>
      <w:lvlText w:val="•"/>
      <w:numFmt w:val="bullet"/>
      <w:start w:val="1"/>
    </w:lvl>
  </w:abstractNum>
  <w:abstractNum w:abstractNumId="26">
    <w:nsid w:val="5E963896"/>
    <w:multiLevelType w:val="hybridMultilevel"/>
    <w:lvl w:ilvl="0">
      <w:lvlJc w:val="left"/>
      <w:lvlText w:val="•"/>
      <w:numFmt w:val="bullet"/>
      <w:start w:val="1"/>
    </w:lvl>
  </w:abstractNum>
  <w:abstractNum w:abstractNumId="27">
    <w:nsid w:val="775BA7C1"/>
    <w:multiLevelType w:val="hybridMultilevel"/>
    <w:lvl w:ilvl="0">
      <w:lvlJc w:val="left"/>
      <w:lvlText w:val="•"/>
      <w:numFmt w:val="bullet"/>
      <w:start w:val="1"/>
    </w:lvl>
  </w:abstractNum>
  <w:abstractNum w:abstractNumId="28">
    <w:nsid w:val="1DD6D6F4"/>
    <w:multiLevelType w:val="hybridMultilevel"/>
    <w:lvl w:ilvl="0">
      <w:lvlJc w:val="left"/>
      <w:lvlText w:val="•"/>
      <w:numFmt w:val="bullet"/>
      <w:start w:val="1"/>
    </w:lvl>
  </w:abstractNum>
  <w:abstractNum w:abstractNumId="29">
    <w:nsid w:val="769A091F"/>
    <w:multiLevelType w:val="hybridMultilevel"/>
    <w:lvl w:ilvl="0">
      <w:lvlJc w:val="left"/>
      <w:lvlText w:val="•"/>
      <w:numFmt w:val="bullet"/>
      <w:start w:val="1"/>
    </w:lvl>
  </w:abstractNum>
  <w:abstractNum w:abstractNumId="30">
    <w:nsid w:val="4695AE95"/>
    <w:multiLevelType w:val="hybridMultilevel"/>
    <w:lvl w:ilvl="0">
      <w:lvlJc w:val="left"/>
      <w:lvlText w:val="•"/>
      <w:numFmt w:val="bullet"/>
      <w:start w:val="1"/>
    </w:lvl>
  </w:abstractNum>
  <w:abstractNum w:abstractNumId="31">
    <w:nsid w:val="777A4EAA"/>
    <w:multiLevelType w:val="hybridMultilevel"/>
    <w:lvl w:ilvl="0">
      <w:lvlJc w:val="left"/>
      <w:lvlText w:val="•"/>
      <w:numFmt w:val="bullet"/>
      <w:start w:val="1"/>
    </w:lvl>
  </w:abstractNum>
  <w:abstractNum w:abstractNumId="32">
    <w:nsid w:val="3F48B982"/>
    <w:multiLevelType w:val="hybridMultilevel"/>
    <w:lvl w:ilvl="0">
      <w:lvlJc w:val="left"/>
      <w:lvlText w:val="•"/>
      <w:numFmt w:val="bullet"/>
      <w:start w:val="1"/>
    </w:lvl>
  </w:abstractNum>
  <w:abstractNum w:abstractNumId="33">
    <w:nsid w:val="46BA8FCA"/>
    <w:multiLevelType w:val="hybridMultilevel"/>
    <w:lvl w:ilvl="0">
      <w:lvlJc w:val="left"/>
      <w:lvlText w:val="•"/>
      <w:numFmt w:val="bullet"/>
      <w:start w:val="1"/>
    </w:lvl>
  </w:abstractNum>
  <w:abstractNum w:abstractNumId="34">
    <w:nsid w:val="7835626C"/>
    <w:multiLevelType w:val="hybridMultilevel"/>
    <w:lvl w:ilvl="0">
      <w:lvlJc w:val="left"/>
      <w:lvlText w:val="•"/>
      <w:numFmt w:val="bullet"/>
      <w:start w:val="1"/>
    </w:lvl>
  </w:abstractNum>
  <w:abstractNum w:abstractNumId="35">
    <w:nsid w:val="665ACA49"/>
    <w:multiLevelType w:val="hybridMultilevel"/>
    <w:lvl w:ilvl="0">
      <w:lvlJc w:val="left"/>
      <w:lvlText w:val="•"/>
      <w:numFmt w:val="bullet"/>
      <w:start w:val="1"/>
    </w:lvl>
  </w:abstractNum>
  <w:abstractNum w:abstractNumId="36">
    <w:nsid w:val="6835B2AE"/>
    <w:multiLevelType w:val="hybridMultilevel"/>
    <w:lvl w:ilvl="0">
      <w:lvlJc w:val="left"/>
      <w:lvlText w:val="•"/>
      <w:numFmt w:val="bullet"/>
      <w:start w:val="1"/>
    </w:lvl>
  </w:abstractNum>
  <w:abstractNum w:abstractNumId="37">
    <w:nsid w:val="4C187C90"/>
    <w:multiLevelType w:val="hybridMultilevel"/>
    <w:lvl w:ilvl="0">
      <w:lvlJc w:val="left"/>
      <w:lvlText w:val="•"/>
      <w:numFmt w:val="bullet"/>
      <w:start w:val="1"/>
    </w:lvl>
  </w:abstractNum>
  <w:abstractNum w:abstractNumId="38">
    <w:nsid w:val="541F28CD"/>
    <w:multiLevelType w:val="hybridMultilevel"/>
    <w:lvl w:ilvl="0">
      <w:lvlJc w:val="left"/>
      <w:lvlText w:val="•"/>
      <w:numFmt w:val="bullet"/>
      <w:start w:val="1"/>
    </w:lvl>
  </w:abstractNum>
  <w:abstractNum w:abstractNumId="39">
    <w:nsid w:val="7F65FD16"/>
    <w:multiLevelType w:val="hybridMultilevel"/>
    <w:lvl w:ilvl="0">
      <w:lvlJc w:val="left"/>
      <w:lvlText w:val="•"/>
      <w:numFmt w:val="bullet"/>
      <w:start w:val="1"/>
    </w:lvl>
  </w:abstractNum>
  <w:abstractNum w:abstractNumId="40">
    <w:nsid w:val="77C9FD68"/>
    <w:multiLevelType w:val="hybridMultilevel"/>
    <w:lvl w:ilvl="0">
      <w:lvlJc w:val="left"/>
      <w:lvlText w:val="•"/>
      <w:numFmt w:val="bullet"/>
      <w:start w:val="1"/>
    </w:lvl>
  </w:abstractNum>
  <w:abstractNum w:abstractNumId="41">
    <w:nsid w:val="298A92BA"/>
    <w:multiLevelType w:val="hybridMultilevel"/>
    <w:lvl w:ilvl="0">
      <w:lvlJc w:val="left"/>
      <w:lvlText w:val="%1"/>
      <w:numFmt w:val="upperLetter"/>
      <w:start w:val="35"/>
    </w:lvl>
  </w:abstractNum>
  <w:abstractNum w:abstractNumId="42">
    <w:nsid w:val="6FE95EAC"/>
    <w:multiLevelType w:val="hybridMultilevel"/>
    <w:lvl w:ilvl="0">
      <w:lvlJc w:val="left"/>
      <w:lvlText w:val="•"/>
      <w:numFmt w:val="bullet"/>
      <w:start w:val="1"/>
    </w:lvl>
  </w:abstractNum>
  <w:abstractNum w:abstractNumId="43">
    <w:nsid w:val="4B697C7A"/>
    <w:multiLevelType w:val="hybridMultilevel"/>
    <w:lvl w:ilvl="0">
      <w:lvlJc w:val="left"/>
      <w:lvlText w:val="(%1)"/>
      <w:numFmt w:val="decimal"/>
      <w:start w:val="1"/>
    </w:lvl>
  </w:abstractNum>
  <w:abstractNum w:abstractNumId="44">
    <w:nsid w:val="51A27AA6"/>
    <w:multiLevelType w:val="hybridMultilevel"/>
    <w:lvl w:ilvl="0">
      <w:lvlJc w:val="left"/>
      <w:lvlText w:val="(%1)"/>
      <w:numFmt w:val="decimal"/>
      <w:start w:val="4"/>
    </w:lvl>
  </w:abstractNum>
  <w:abstractNum w:abstractNumId="45">
    <w:nsid w:val="613183F2"/>
    <w:multiLevelType w:val="hybridMultilevel"/>
    <w:lvl w:ilvl="0">
      <w:lvlJc w:val="left"/>
      <w:lvlText w:val="•"/>
      <w:numFmt w:val="bullet"/>
      <w:start w:val="1"/>
    </w:lvl>
  </w:abstractNum>
  <w:abstractNum w:abstractNumId="46">
    <w:nsid w:val="634102B4"/>
    <w:multiLevelType w:val="hybridMultilevel"/>
    <w:lvl w:ilvl="0">
      <w:lvlJc w:val="left"/>
      <w:lvlText w:val="•"/>
      <w:numFmt w:val="bullet"/>
      <w:start w:val="1"/>
    </w:lvl>
  </w:abstractNum>
  <w:abstractNum w:abstractNumId="47">
    <w:nsid w:val="65BF9DA8"/>
    <w:multiLevelType w:val="hybridMultilevel"/>
    <w:lvl w:ilvl="0">
      <w:lvlJc w:val="left"/>
      <w:lvlText w:val="•"/>
      <w:numFmt w:val="bullet"/>
      <w:start w:val="1"/>
    </w:lvl>
  </w:abstractNum>
  <w:abstractNum w:abstractNumId="48">
    <w:nsid w:val="21A2ECCA"/>
    <w:multiLevelType w:val="hybridMultilevel"/>
    <w:lvl w:ilvl="0">
      <w:lvlJc w:val="left"/>
      <w:lvlText w:val="•"/>
      <w:numFmt w:val="bullet"/>
      <w:start w:val="1"/>
    </w:lvl>
  </w:abstractNum>
  <w:abstractNum w:abstractNumId="49">
    <w:nsid w:val="4D5C4899"/>
    <w:multiLevelType w:val="hybridMultilevel"/>
    <w:lvl w:ilvl="0">
      <w:lvlJc w:val="left"/>
      <w:lvlText w:val="•"/>
      <w:numFmt w:val="bullet"/>
      <w:start w:val="1"/>
    </w:lvl>
  </w:abstractNum>
  <w:abstractNum w:abstractNumId="50">
    <w:nsid w:val="3C3B72B2"/>
    <w:multiLevelType w:val="hybridMultilevel"/>
    <w:lvl w:ilvl="0">
      <w:lvlJc w:val="left"/>
      <w:lvlText w:val="•"/>
      <w:numFmt w:val="bullet"/>
      <w:start w:val="1"/>
    </w:lvl>
  </w:abstractNum>
  <w:abstractNum w:abstractNumId="51">
    <w:nsid w:val="155EC4C2"/>
    <w:multiLevelType w:val="hybridMultilevel"/>
    <w:lvl w:ilvl="0">
      <w:lvlJc w:val="left"/>
      <w:lvlText w:val="•"/>
      <w:numFmt w:val="bullet"/>
      <w:start w:val="1"/>
    </w:lvl>
  </w:abstractNum>
  <w:abstractNum w:abstractNumId="52">
    <w:nsid w:val="65D2A137"/>
    <w:multiLevelType w:val="hybridMultilevel"/>
    <w:lvl w:ilvl="0">
      <w:lvlJc w:val="left"/>
      <w:lvlText w:val="•"/>
      <w:numFmt w:val="bullet"/>
      <w:start w:val="1"/>
    </w:lvl>
  </w:abstractNum>
  <w:abstractNum w:abstractNumId="53">
    <w:nsid w:val="6EBB1F2A"/>
    <w:multiLevelType w:val="hybridMultilevel"/>
    <w:lvl w:ilvl="0">
      <w:lvlJc w:val="left"/>
      <w:lvlText w:val="•"/>
      <w:numFmt w:val="bullet"/>
      <w:start w:val="1"/>
    </w:lvl>
  </w:abstractNum>
  <w:abstractNum w:abstractNumId="54">
    <w:nsid w:val="6FBF29CB"/>
    <w:multiLevelType w:val="hybridMultilevel"/>
    <w:lvl w:ilvl="0">
      <w:lvlJc w:val="left"/>
      <w:lvlText w:val="•"/>
      <w:numFmt w:val="bullet"/>
      <w:start w:val="1"/>
    </w:lvl>
  </w:abstractNum>
  <w:abstractNum w:abstractNumId="55">
    <w:nsid w:val="550B8808"/>
    <w:multiLevelType w:val="hybridMultilevel"/>
    <w:lvl w:ilvl="0">
      <w:lvlJc w:val="left"/>
      <w:lvlText w:val=" "/>
      <w:numFmt w:val="bullet"/>
      <w:start w:val="1"/>
    </w:lvl>
  </w:abstractNum>
  <w:abstractNum w:abstractNumId="56">
    <w:nsid w:val="34CC3ACF"/>
    <w:multiLevelType w:val="hybridMultilevel"/>
    <w:lvl w:ilvl="0">
      <w:lvlJc w:val="left"/>
      <w:lvlText w:val="•"/>
      <w:numFmt w:val="bullet"/>
      <w:start w:val="1"/>
    </w:lvl>
  </w:abstractNum>
  <w:abstractNum w:abstractNumId="57">
    <w:nsid w:val="4E556261"/>
    <w:multiLevelType w:val="hybridMultilevel"/>
    <w:lvl w:ilvl="0">
      <w:lvlJc w:val="left"/>
      <w:lvlText w:val="•"/>
      <w:numFmt w:val="bullet"/>
      <w:start w:val="1"/>
    </w:lvl>
  </w:abstractNum>
  <w:abstractNum w:abstractNumId="58">
    <w:nsid w:val="4C672FC9"/>
    <w:multiLevelType w:val="hybridMultilevel"/>
    <w:lvl w:ilvl="0">
      <w:lvlJc w:val="left"/>
      <w:lvlText w:val="•"/>
      <w:numFmt w:val="bullet"/>
      <w:start w:val="1"/>
    </w:lvl>
  </w:abstractNum>
  <w:abstractNum w:abstractNumId="59">
    <w:nsid w:val="52A311C3"/>
    <w:multiLevelType w:val="hybridMultilevel"/>
    <w:lvl w:ilvl="0">
      <w:lvlJc w:val="left"/>
      <w:lvlText w:val="•"/>
      <w:numFmt w:val="bullet"/>
      <w:start w:val="1"/>
    </w:lvl>
  </w:abstractNum>
  <w:abstractNum w:abstractNumId="60">
    <w:nsid w:val="44EF6B80"/>
    <w:multiLevelType w:val="hybridMultilevel"/>
    <w:lvl w:ilvl="0">
      <w:lvlJc w:val="left"/>
      <w:lvlText w:val="•"/>
      <w:numFmt w:val="bullet"/>
      <w:start w:val="1"/>
    </w:lvl>
  </w:abstractNum>
  <w:abstractNum w:abstractNumId="61">
    <w:nsid w:val="12FCDE5E"/>
    <w:multiLevelType w:val="hybridMultilevel"/>
    <w:lvl w:ilvl="0">
      <w:lvlJc w:val="left"/>
      <w:lvlText w:val="•"/>
      <w:numFmt w:val="bullet"/>
      <w:start w:val="1"/>
    </w:lvl>
  </w:abstractNum>
  <w:abstractNum w:abstractNumId="62">
    <w:nsid w:val="4A1D606E"/>
    <w:multiLevelType w:val="hybridMultilevel"/>
    <w:lvl w:ilvl="0">
      <w:lvlJc w:val="left"/>
      <w:lvlText w:val="•"/>
      <w:numFmt w:val="bullet"/>
      <w:start w:val="1"/>
    </w:lvl>
  </w:abstractNum>
  <w:abstractNum w:abstractNumId="63">
    <w:nsid w:val="4382503"/>
    <w:multiLevelType w:val="hybridMultilevel"/>
    <w:lvl w:ilvl="0">
      <w:lvlJc w:val="left"/>
      <w:lvlText w:val="•"/>
      <w:numFmt w:val="bullet"/>
      <w:start w:val="1"/>
    </w:lvl>
  </w:abstractNum>
  <w:abstractNum w:abstractNumId="64">
    <w:nsid w:val="59B76E28"/>
    <w:multiLevelType w:val="hybridMultilevel"/>
    <w:lvl w:ilvl="0">
      <w:lvlJc w:val="left"/>
      <w:lvlText w:val="•"/>
      <w:numFmt w:val="bullet"/>
      <w:start w:val="1"/>
    </w:lvl>
  </w:abstractNum>
  <w:abstractNum w:abstractNumId="65">
    <w:nsid w:val="4252C2DA"/>
    <w:multiLevelType w:val="hybridMultilevel"/>
    <w:lvl w:ilvl="0">
      <w:lvlJc w:val="left"/>
      <w:lvlText w:val="•"/>
      <w:numFmt w:val="bullet"/>
      <w:start w:val="1"/>
    </w:lvl>
  </w:abstractNum>
  <w:abstractNum w:abstractNumId="66">
    <w:nsid w:val="6A92EF4C"/>
    <w:multiLevelType w:val="hybridMultilevel"/>
    <w:lvl w:ilvl="0">
      <w:lvlJc w:val="left"/>
      <w:lvlText w:val="•"/>
      <w:numFmt w:val="bullet"/>
      <w:start w:val="1"/>
    </w:lvl>
  </w:abstractNum>
  <w:abstractNum w:abstractNumId="67">
    <w:nsid w:val="41ED20D7"/>
    <w:multiLevelType w:val="hybridMultilevel"/>
    <w:lvl w:ilvl="0">
      <w:lvlJc w:val="left"/>
      <w:lvlText w:val="•"/>
      <w:numFmt w:val="bullet"/>
      <w:start w:val="1"/>
    </w:lvl>
  </w:abstractNum>
  <w:abstractNum w:abstractNumId="68">
    <w:nsid w:val="E6B3F6A"/>
    <w:multiLevelType w:val="hybridMultilevel"/>
    <w:lvl w:ilvl="0">
      <w:lvlJc w:val="left"/>
      <w:lvlText w:val="•"/>
      <w:numFmt w:val="bullet"/>
      <w:start w:val="1"/>
    </w:lvl>
  </w:abstractNum>
  <w:abstractNum w:abstractNumId="69">
    <w:nsid w:val="3EB21819"/>
    <w:multiLevelType w:val="hybridMultilevel"/>
    <w:lvl w:ilvl="0">
      <w:lvlJc w:val="left"/>
      <w:lvlText w:val="•"/>
      <w:numFmt w:val="bullet"/>
      <w:start w:val="1"/>
    </w:lvl>
  </w:abstractNum>
  <w:abstractNum w:abstractNumId="70">
    <w:nsid w:val="41531DED"/>
    <w:multiLevelType w:val="hybridMultilevel"/>
    <w:lvl w:ilvl="0">
      <w:lvlJc w:val="left"/>
      <w:lvlText w:val="•"/>
      <w:numFmt w:val="bullet"/>
      <w:start w:val="1"/>
    </w:lvl>
  </w:abstractNum>
  <w:abstractNum w:abstractNumId="71">
    <w:nsid w:val="6353CD2"/>
    <w:multiLevelType w:val="hybridMultilevel"/>
    <w:lvl w:ilvl="0">
      <w:lvlJc w:val="left"/>
      <w:lvlText w:val="•"/>
      <w:numFmt w:val="bullet"/>
      <w:start w:val="1"/>
    </w:lvl>
  </w:abstractNum>
  <w:abstractNum w:abstractNumId="72">
    <w:nsid w:val="683CAAD3"/>
    <w:multiLevelType w:val="hybridMultilevel"/>
    <w:lvl w:ilvl="0">
      <w:lvlJc w:val="left"/>
      <w:lvlText w:val="•"/>
      <w:numFmt w:val="bullet"/>
      <w:start w:val="1"/>
    </w:lvl>
  </w:abstractNum>
  <w:abstractNum w:abstractNumId="73">
    <w:nsid w:val="313C7C99"/>
    <w:multiLevelType w:val="hybridMultilevel"/>
    <w:lvl w:ilvl="0">
      <w:lvlJc w:val="left"/>
      <w:lvlText w:val="•"/>
      <w:numFmt w:val="bullet"/>
      <w:start w:val="1"/>
    </w:lvl>
  </w:abstractNum>
  <w:abstractNum w:abstractNumId="74">
    <w:nsid w:val="519EB94C"/>
    <w:multiLevelType w:val="hybridMultilevel"/>
    <w:lvl w:ilvl="0">
      <w:lvlJc w:val="left"/>
      <w:lvlText w:val="•"/>
      <w:numFmt w:val="bullet"/>
      <w:start w:val="1"/>
    </w:lvl>
  </w:abstractNum>
  <w:abstractNum w:abstractNumId="75">
    <w:nsid w:val="39DF2579"/>
    <w:multiLevelType w:val="hybridMultilevel"/>
    <w:lvl w:ilvl="0">
      <w:lvlJc w:val="left"/>
      <w:lvlText w:val="•"/>
      <w:numFmt w:val="bullet"/>
      <w:start w:val="1"/>
    </w:lvl>
  </w:abstractNum>
  <w:abstractNum w:abstractNumId="76">
    <w:nsid w:val="126E008B"/>
    <w:multiLevelType w:val="hybridMultilevel"/>
    <w:lvl w:ilvl="0">
      <w:lvlJc w:val="left"/>
      <w:lvlText w:val="(%1)"/>
      <w:numFmt w:val="decimal"/>
      <w:start w:val="1"/>
    </w:lvl>
  </w:abstractNum>
  <w:abstractNum w:abstractNumId="77">
    <w:nsid w:val="34DFBC00"/>
    <w:multiLevelType w:val="hybridMultilevel"/>
    <w:lvl w:ilvl="0">
      <w:lvlJc w:val="left"/>
      <w:lvlText w:val="•"/>
      <w:numFmt w:val="bullet"/>
      <w:start w:val="1"/>
    </w:lvl>
  </w:abstractNum>
  <w:abstractNum w:abstractNumId="78">
    <w:nsid w:val="1F9EC322"/>
    <w:multiLevelType w:val="hybridMultilevel"/>
    <w:lvl w:ilvl="0">
      <w:lvlJc w:val="left"/>
      <w:lvlText w:val="•"/>
      <w:numFmt w:val="bullet"/>
      <w:start w:val="1"/>
    </w:lvl>
  </w:abstractNum>
  <w:abstractNum w:abstractNumId="79">
    <w:nsid w:val="3410ED56"/>
    <w:multiLevelType w:val="hybridMultilevel"/>
    <w:lvl w:ilvl="0">
      <w:lvlJc w:val="left"/>
      <w:lvlText w:val="(%1)"/>
      <w:numFmt w:val="lowerRoman"/>
      <w:start w:val="2"/>
    </w:lvl>
  </w:abstractNum>
  <w:abstractNum w:abstractNumId="80">
    <w:nsid w:val="23C049A"/>
    <w:multiLevelType w:val="hybridMultilevel"/>
    <w:lvl w:ilvl="0">
      <w:lvlJc w:val="left"/>
      <w:lvlText w:val="•"/>
      <w:numFmt w:val="bullet"/>
      <w:start w:val="1"/>
    </w:lvl>
  </w:abstractNum>
  <w:abstractNum w:abstractNumId="81">
    <w:nsid w:val="5BDA35D4"/>
    <w:multiLevelType w:val="hybridMultilevel"/>
    <w:lvl w:ilvl="0">
      <w:lvlJc w:val="left"/>
      <w:lvlText w:val="•"/>
      <w:numFmt w:val="bullet"/>
      <w:start w:val="1"/>
    </w:lvl>
  </w:abstractNum>
  <w:abstractNum w:abstractNumId="82">
    <w:nsid w:val="496FB218"/>
    <w:multiLevelType w:val="hybridMultilevel"/>
    <w:lvl w:ilvl="0">
      <w:lvlJc w:val="left"/>
      <w:lvlText w:val="•"/>
      <w:numFmt w:val="bullet"/>
      <w:start w:val="1"/>
    </w:lvl>
  </w:abstractNum>
  <w:abstractNum w:abstractNumId="83">
    <w:nsid w:val="680EA5D1"/>
    <w:multiLevelType w:val="hybridMultilevel"/>
    <w:lvl w:ilvl="0">
      <w:lvlJc w:val="left"/>
      <w:lvlText w:val="(%1)"/>
      <w:numFmt w:val="decimal"/>
      <w:start w:val="1"/>
    </w:lvl>
  </w:abstractNum>
  <w:abstractNum w:abstractNumId="84">
    <w:nsid w:val="4A9554FE"/>
    <w:multiLevelType w:val="hybridMultilevel"/>
    <w:lvl w:ilvl="0">
      <w:lvlJc w:val="left"/>
      <w:lvlText w:val="•"/>
      <w:numFmt w:val="bullet"/>
      <w:start w:val="1"/>
    </w:lvl>
  </w:abstractNum>
  <w:abstractNum w:abstractNumId="85">
    <w:nsid w:val="392EDBE4"/>
    <w:multiLevelType w:val="hybridMultilevel"/>
    <w:lvl w:ilvl="0">
      <w:lvlJc w:val="left"/>
      <w:lvlText w:val="•"/>
      <w:numFmt w:val="bullet"/>
      <w:start w:val="1"/>
    </w:lvl>
  </w:abstractNum>
  <w:abstractNum w:abstractNumId="86">
    <w:nsid w:val="3D1A2DD9"/>
    <w:multiLevelType w:val="hybridMultilevel"/>
    <w:lvl w:ilvl="0">
      <w:lvlJc w:val="left"/>
      <w:lvlText w:val="•"/>
      <w:numFmt w:val="bullet"/>
      <w:start w:val="1"/>
    </w:lvl>
  </w:abstractNum>
  <w:abstractNum w:abstractNumId="87">
    <w:nsid w:val="7F618FCD"/>
    <w:multiLevelType w:val="hybridMultilevel"/>
    <w:lvl w:ilvl="0">
      <w:lvlJc w:val="left"/>
      <w:lvlText w:val="•"/>
      <w:numFmt w:val="bullet"/>
      <w:start w:val="1"/>
    </w:lvl>
  </w:abstractNum>
  <w:abstractNum w:abstractNumId="88">
    <w:nsid w:val="7843E45"/>
    <w:multiLevelType w:val="hybridMultilevel"/>
    <w:lvl w:ilvl="0">
      <w:lvlJc w:val="left"/>
      <w:lvlText w:val="(%1)"/>
      <w:numFmt w:val="lowerRoman"/>
      <w:start w:val="2"/>
    </w:lvl>
  </w:abstractNum>
  <w:abstractNum w:abstractNumId="89">
    <w:nsid w:val="9815DA3"/>
    <w:multiLevelType w:val="hybridMultilevel"/>
    <w:lvl w:ilvl="0">
      <w:lvlJc w:val="left"/>
      <w:lvlText w:val="•"/>
      <w:numFmt w:val="bullet"/>
      <w:start w:val="1"/>
    </w:lvl>
  </w:abstractNum>
  <w:abstractNum w:abstractNumId="90">
    <w:nsid w:val="5204A191"/>
    <w:multiLevelType w:val="hybridMultilevel"/>
    <w:lvl w:ilvl="0">
      <w:lvlJc w:val="left"/>
      <w:lvlText w:val="•"/>
      <w:numFmt w:val="bullet"/>
      <w:start w:val="1"/>
    </w:lvl>
  </w:abstractNum>
  <w:abstractNum w:abstractNumId="91">
    <w:nsid w:val="4C73A9C6"/>
    <w:multiLevelType w:val="hybridMultilevel"/>
    <w:lvl w:ilvl="0">
      <w:lvlJc w:val="left"/>
      <w:lvlText w:val="•"/>
      <w:numFmt w:val="bullet"/>
      <w:start w:val="1"/>
    </w:lvl>
  </w:abstractNum>
  <w:abstractNum w:abstractNumId="92">
    <w:nsid w:val="1C7E3C01"/>
    <w:multiLevelType w:val="hybridMultilevel"/>
    <w:lvl w:ilvl="0">
      <w:lvlJc w:val="left"/>
      <w:lvlText w:val="•"/>
      <w:numFmt w:val="bullet"/>
      <w:start w:val="1"/>
    </w:lvl>
  </w:abstractNum>
  <w:abstractNum w:abstractNumId="93">
    <w:nsid w:val="1C2201FF"/>
    <w:multiLevelType w:val="hybridMultilevel"/>
    <w:lvl w:ilvl="0">
      <w:lvlJc w:val="left"/>
      <w:lvlText w:val="•"/>
      <w:numFmt w:val="bullet"/>
      <w:start w:val="1"/>
    </w:lvl>
  </w:abstractNum>
  <w:abstractNum w:abstractNumId="94">
    <w:nsid w:val="50ABCEC9"/>
    <w:multiLevelType w:val="hybridMultilevel"/>
    <w:lvl w:ilvl="0">
      <w:lvlJc w:val="left"/>
      <w:lvlText w:val="•"/>
      <w:numFmt w:val="bullet"/>
      <w:start w:val="1"/>
    </w:lvl>
  </w:abstractNum>
  <w:abstractNum w:abstractNumId="95">
    <w:nsid w:val="7635AA2A"/>
    <w:multiLevelType w:val="hybridMultilevel"/>
    <w:lvl w:ilvl="0">
      <w:lvlJc w:val="left"/>
      <w:lvlText w:val="•"/>
      <w:numFmt w:val="bullet"/>
      <w:start w:val="1"/>
    </w:lvl>
  </w:abstractNum>
  <w:abstractNum w:abstractNumId="96">
    <w:nsid w:val="5E74C4D9"/>
    <w:multiLevelType w:val="hybridMultilevel"/>
    <w:lvl w:ilvl="0">
      <w:lvlJc w:val="left"/>
      <w:lvlText w:val="•"/>
      <w:numFmt w:val="bullet"/>
      <w:start w:val="1"/>
    </w:lvl>
  </w:abstractNum>
  <w:abstractNum w:abstractNumId="97">
    <w:nsid w:val="3B3EBE15"/>
    <w:multiLevelType w:val="hybridMultilevel"/>
    <w:lvl w:ilvl="0">
      <w:lvlJc w:val="left"/>
      <w:lvlText w:val="•"/>
      <w:numFmt w:val="bullet"/>
      <w:start w:val="1"/>
    </w:lvl>
  </w:abstractNum>
  <w:abstractNum w:abstractNumId="98">
    <w:nsid w:val="3822CB01"/>
    <w:multiLevelType w:val="hybridMultilevel"/>
    <w:lvl w:ilvl="0">
      <w:lvlJc w:val="left"/>
      <w:lvlText w:val="(%1)"/>
      <w:numFmt w:val="decimal"/>
      <w:start w:val="1"/>
    </w:lvl>
  </w:abstractNum>
  <w:abstractNum w:abstractNumId="99">
    <w:nsid w:val="6CE00443"/>
    <w:multiLevelType w:val="hybridMultilevel"/>
    <w:lvl w:ilvl="0">
      <w:lvlJc w:val="left"/>
      <w:lvlText w:val="•"/>
      <w:numFmt w:val="bullet"/>
      <w:start w:val="1"/>
    </w:lvl>
  </w:abstractNum>
  <w:abstractNum w:abstractNumId="100">
    <w:nsid w:val="79F0D62F"/>
    <w:multiLevelType w:val="hybridMultilevel"/>
    <w:lvl w:ilvl="0">
      <w:lvlJc w:val="left"/>
      <w:lvlText w:val="•"/>
      <w:numFmt w:val="bullet"/>
      <w:start w:val="1"/>
    </w:lvl>
  </w:abstractNum>
  <w:abstractNum w:abstractNumId="101">
    <w:nsid w:val="7975E8EE"/>
    <w:multiLevelType w:val="hybridMultilevel"/>
    <w:lvl w:ilvl="0">
      <w:lvlJc w:val="left"/>
      <w:lvlText w:val="•"/>
      <w:numFmt w:val="bullet"/>
      <w:start w:val="1"/>
    </w:lvl>
  </w:abstractNum>
  <w:abstractNum w:abstractNumId="102">
    <w:nsid w:val="73154115"/>
    <w:multiLevelType w:val="hybridMultilevel"/>
    <w:lvl w:ilvl="0">
      <w:lvlJc w:val="left"/>
      <w:lvlText w:val="•"/>
      <w:numFmt w:val="bullet"/>
      <w:start w:val="1"/>
    </w:lvl>
  </w:abstractNum>
  <w:abstractNum w:abstractNumId="103">
    <w:nsid w:val="622D8102"/>
    <w:multiLevelType w:val="hybridMultilevel"/>
    <w:lvl w:ilvl="0">
      <w:lvlJc w:val="left"/>
      <w:lvlText w:val="•"/>
      <w:numFmt w:val="bullet"/>
      <w:start w:val="1"/>
    </w:lvl>
  </w:abstractNum>
  <w:abstractNum w:abstractNumId="104">
    <w:nsid w:val="2AB26587"/>
    <w:multiLevelType w:val="hybridMultilevel"/>
    <w:lvl w:ilvl="0">
      <w:lvlJc w:val="left"/>
      <w:lvlText w:val="•"/>
      <w:numFmt w:val="bullet"/>
      <w:start w:val="1"/>
    </w:lvl>
  </w:abstractNum>
  <w:abstractNum w:abstractNumId="105">
    <w:nsid w:val="44B3FA61"/>
    <w:multiLevelType w:val="hybridMultilevel"/>
    <w:lvl w:ilvl="0">
      <w:lvlJc w:val="left"/>
      <w:lvlText w:val="•"/>
      <w:numFmt w:val="bullet"/>
      <w:start w:val="1"/>
    </w:lvl>
  </w:abstractNum>
  <w:abstractNum w:abstractNumId="106">
    <w:nsid w:val="1C0CA67C"/>
    <w:multiLevelType w:val="hybridMultilevel"/>
    <w:lvl w:ilvl="0">
      <w:lvlJc w:val="left"/>
      <w:lvlText w:val="•"/>
      <w:numFmt w:val="bullet"/>
      <w:start w:val="1"/>
    </w:lvl>
  </w:abstractNum>
  <w:abstractNum w:abstractNumId="107">
    <w:nsid w:val="3D206613"/>
    <w:multiLevelType w:val="hybridMultilevel"/>
    <w:lvl w:ilvl="0">
      <w:lvlJc w:val="left"/>
      <w:lvlText w:val="(%1)"/>
      <w:numFmt w:val="decimal"/>
      <w:start w:val="1"/>
    </w:lvl>
  </w:abstractNum>
  <w:abstractNum w:abstractNumId="108">
    <w:nsid w:val="7993B662"/>
    <w:multiLevelType w:val="hybridMultilevel"/>
    <w:lvl w:ilvl="0">
      <w:lvlJc w:val="left"/>
      <w:lvlText w:val="(%1)"/>
      <w:numFmt w:val="decimal"/>
      <w:start w:val="1"/>
    </w:lvl>
  </w:abstractNum>
  <w:abstractNum w:abstractNumId="109">
    <w:nsid w:val="3BAB699E"/>
    <w:multiLevelType w:val="hybridMultilevel"/>
    <w:lvl w:ilvl="0">
      <w:lvlJc w:val="left"/>
      <w:lvlText w:val="(%1)"/>
      <w:numFmt w:val="decimal"/>
      <w:start w:val="5"/>
    </w:lvl>
  </w:abstractNum>
  <w:abstractNum w:abstractNumId="110">
    <w:nsid w:val="71315369"/>
    <w:multiLevelType w:val="hybridMultilevel"/>
    <w:lvl w:ilvl="0">
      <w:lvlJc w:val="left"/>
      <w:lvlText w:val="(%1)"/>
      <w:numFmt w:val="decimal"/>
      <w:start w:val="1"/>
    </w:lvl>
  </w:abstractNum>
  <w:abstractNum w:abstractNumId="111">
    <w:nsid w:val="7BCFBAFC"/>
    <w:multiLevelType w:val="hybridMultilevel"/>
    <w:lvl w:ilvl="0">
      <w:lvlJc w:val="left"/>
      <w:lvlText w:val="(%1)"/>
      <w:numFmt w:val="decimal"/>
      <w:start w:val="5"/>
    </w:lvl>
  </w:abstractNum>
  <w:abstractNum w:abstractNumId="112">
    <w:nsid w:val="17859F72"/>
    <w:multiLevelType w:val="hybridMultilevel"/>
    <w:lvl w:ilvl="0">
      <w:lvlJc w:val="left"/>
      <w:lvlText w:val="•"/>
      <w:numFmt w:val="bullet"/>
      <w:start w:val="1"/>
    </w:lvl>
  </w:abstractNum>
  <w:abstractNum w:abstractNumId="113">
    <w:nsid w:val="3AA10581"/>
    <w:multiLevelType w:val="hybridMultilevel"/>
    <w:lvl w:ilvl="0">
      <w:lvlJc w:val="left"/>
      <w:lvlText w:val="(%1)"/>
      <w:numFmt w:val="decimal"/>
      <w:start w:val="1"/>
    </w:lvl>
  </w:abstractNum>
  <w:abstractNum w:abstractNumId="114">
    <w:nsid w:val="63DE60CD"/>
    <w:multiLevelType w:val="hybridMultilevel"/>
    <w:lvl w:ilvl="0">
      <w:lvlJc w:val="left"/>
      <w:lvlText w:val="(%1)"/>
      <w:numFmt w:val="decimal"/>
      <w:start w:val="1"/>
    </w:lvl>
  </w:abstractNum>
  <w:abstractNum w:abstractNumId="115">
    <w:nsid w:val="621AF471"/>
    <w:multiLevelType w:val="hybridMultilevel"/>
    <w:lvl w:ilvl="0">
      <w:lvlJc w:val="left"/>
      <w:lvlText w:val="•"/>
      <w:numFmt w:val="bullet"/>
      <w:start w:val="1"/>
    </w:lvl>
  </w:abstractNum>
  <w:abstractNum w:abstractNumId="116">
    <w:nsid w:val="73CFE165"/>
    <w:multiLevelType w:val="hybridMultilevel"/>
    <w:lvl w:ilvl="0">
      <w:lvlJc w:val="left"/>
      <w:lvlText w:val="*"/>
      <w:numFmt w:val="bullet"/>
      <w:start w:val="1"/>
    </w:lvl>
  </w:abstractNum>
  <w:abstractNum w:abstractNumId="117">
    <w:nsid w:val="20F88EA6"/>
    <w:multiLevelType w:val="hybridMultilevel"/>
    <w:lvl w:ilvl="0">
      <w:lvlJc w:val="left"/>
      <w:lvlText w:val="(%1)"/>
      <w:numFmt w:val="decimal"/>
      <w:start w:val="1"/>
    </w:lvl>
  </w:abstractNum>
  <w:abstractNum w:abstractNumId="118">
    <w:nsid w:val="617C843E"/>
    <w:multiLevelType w:val="hybridMultilevel"/>
    <w:lvl w:ilvl="0">
      <w:lvlJc w:val="left"/>
      <w:lvlText w:val="(%1)"/>
      <w:numFmt w:val="decimal"/>
      <w:start w:val="4"/>
    </w:lvl>
  </w:abstractNum>
  <w:abstractNum w:abstractNumId="119">
    <w:nsid w:val="7B541FAB"/>
    <w:multiLevelType w:val="hybridMultilevel"/>
    <w:lvl w:ilvl="0">
      <w:lvlJc w:val="left"/>
      <w:lvlText w:val="(%1)"/>
      <w:numFmt w:val="decimal"/>
      <w:start w:val="14"/>
    </w:lvl>
  </w:abstractNum>
  <w:abstractNum w:abstractNumId="120">
    <w:nsid w:val="2A79EC49"/>
    <w:multiLevelType w:val="hybridMultilevel"/>
    <w:lvl w:ilvl="0">
      <w:lvlJc w:val="left"/>
      <w:lvlText w:val="(%1)"/>
      <w:numFmt w:val="lowerRoman"/>
      <w:start w:val="1"/>
    </w:lvl>
  </w:abstractNum>
  <w:abstractNum w:abstractNumId="121">
    <w:nsid w:val="338125CF"/>
    <w:multiLevelType w:val="hybridMultilevel"/>
    <w:lvl w:ilvl="0">
      <w:lvlJc w:val="left"/>
      <w:lvlText w:val="•"/>
      <w:numFmt w:val="bullet"/>
      <w:start w:val="1"/>
    </w:lvl>
  </w:abstractNum>
  <w:abstractNum w:abstractNumId="122">
    <w:nsid w:val="47C7C971"/>
    <w:multiLevelType w:val="hybridMultilevel"/>
    <w:lvl w:ilvl="0">
      <w:lvlJc w:val="left"/>
      <w:lvlText w:val="•"/>
      <w:numFmt w:val="bullet"/>
      <w:start w:val="1"/>
    </w:lvl>
  </w:abstractNum>
  <w:abstractNum w:abstractNumId="123">
    <w:nsid w:val="46F8284B"/>
    <w:multiLevelType w:val="hybridMultilevel"/>
    <w:lvl w:ilvl="0">
      <w:lvlJc w:val="left"/>
      <w:lvlText w:val="•"/>
      <w:numFmt w:val="bullet"/>
      <w:start w:val="1"/>
    </w:lvl>
  </w:abstractNum>
  <w:abstractNum w:abstractNumId="124">
    <w:nsid w:val="4FA327CE"/>
    <w:multiLevelType w:val="hybridMultilevel"/>
    <w:lvl w:ilvl="0">
      <w:lvlJc w:val="left"/>
      <w:lvlText w:val="•"/>
      <w:numFmt w:val="bullet"/>
      <w:start w:val="1"/>
    </w:lvl>
  </w:abstractNum>
  <w:abstractNum w:abstractNumId="125">
    <w:nsid w:val="1873983A"/>
    <w:multiLevelType w:val="hybridMultilevel"/>
    <w:lvl w:ilvl="0">
      <w:lvlJc w:val="left"/>
      <w:lvlText w:val="%1."/>
      <w:numFmt w:val="decimal"/>
      <w:start w:val="144"/>
    </w:lvl>
  </w:abstractNum>
  <w:abstractNum w:abstractNumId="126">
    <w:nsid w:val="3D2DD275"/>
    <w:multiLevelType w:val="hybridMultilevel"/>
    <w:lvl w:ilvl="0">
      <w:lvlJc w:val="left"/>
      <w:lvlText w:val="•"/>
      <w:numFmt w:val="bullet"/>
      <w:start w:val="1"/>
    </w:lvl>
  </w:abstractNum>
  <w:abstractNum w:abstractNumId="127">
    <w:nsid w:val="2E17ECA7"/>
    <w:multiLevelType w:val="hybridMultilevel"/>
    <w:lvl w:ilvl="0">
      <w:lvlJc w:val="left"/>
      <w:lvlText w:val="•"/>
      <w:numFmt w:val="bullet"/>
      <w:start w:val="1"/>
    </w:lvl>
  </w:abstractNum>
  <w:abstractNum w:abstractNumId="128">
    <w:nsid w:val="53B2564F"/>
    <w:multiLevelType w:val="hybridMultilevel"/>
    <w:lvl w:ilvl="0">
      <w:lvlJc w:val="left"/>
      <w:lvlText w:val="•"/>
      <w:numFmt w:val="bullet"/>
      <w:start w:val="1"/>
    </w:lvl>
  </w:abstractNum>
  <w:abstractNum w:abstractNumId="129">
    <w:nsid w:val="75509D76"/>
    <w:multiLevelType w:val="hybridMultilevel"/>
    <w:lvl w:ilvl="0">
      <w:lvlJc w:val="left"/>
      <w:lvlText w:val="%1)"/>
      <w:numFmt w:val="lowerLetter"/>
      <w:start w:val="1"/>
    </w:lvl>
  </w:abstractNum>
  <w:abstractNum w:abstractNumId="130">
    <w:nsid w:val="1AF7F0EA"/>
    <w:multiLevelType w:val="hybridMultilevel"/>
    <w:lvl w:ilvl="0">
      <w:lvlJc w:val="left"/>
      <w:lvlText w:val="%1)"/>
      <w:numFmt w:val="lowerLetter"/>
      <w:start w:val="1"/>
    </w:lvl>
  </w:abstractNum>
  <w:abstractNum w:abstractNumId="131">
    <w:nsid w:val="4DA32C7E"/>
    <w:multiLevelType w:val="hybridMultilevel"/>
    <w:lvl w:ilvl="0">
      <w:lvlJc w:val="left"/>
      <w:lvlText w:val="(%1)"/>
      <w:numFmt w:val="lowerRoman"/>
      <w:start w:val="1"/>
    </w:lvl>
  </w:abstractNum>
  <w:abstractNum w:abstractNumId="132">
    <w:nsid w:val="6EC68664"/>
    <w:multiLevelType w:val="hybridMultilevel"/>
    <w:lvl w:ilvl="0">
      <w:lvlJc w:val="left"/>
      <w:lvlText w:val="(%1)"/>
      <w:numFmt w:val="decimal"/>
      <w:start w:val="3"/>
    </w:lvl>
  </w:abstractNum>
  <w:abstractNum w:abstractNumId="133">
    <w:nsid w:val="E0D31FF"/>
    <w:multiLevelType w:val="hybridMultilevel"/>
    <w:lvl w:ilvl="0">
      <w:lvlJc w:val="left"/>
      <w:lvlText w:val="(%1)"/>
      <w:numFmt w:val="decimal"/>
      <w:start w:val="1"/>
    </w:lvl>
  </w:abstractNum>
  <w:abstractNum w:abstractNumId="134">
    <w:nsid w:val="2FD0AD81"/>
    <w:multiLevelType w:val="hybridMultilevel"/>
    <w:lvl w:ilvl="0">
      <w:lvlJc w:val="left"/>
      <w:lvlText w:val="(%1)"/>
      <w:numFmt w:val="decimal"/>
      <w:start w:val="1"/>
    </w:lvl>
  </w:abstractNum>
  <w:abstractNum w:abstractNumId="135">
    <w:nsid w:val="1978EBEB"/>
    <w:multiLevelType w:val="hybridMultilevel"/>
    <w:lvl w:ilvl="0">
      <w:lvlJc w:val="left"/>
      <w:lvlText w:val="%1."/>
      <w:numFmt w:val="decimal"/>
      <w:start w:val="1"/>
    </w:lvl>
  </w:abstractNum>
  <w:abstractNum w:abstractNumId="136">
    <w:nsid w:val="52C12C61"/>
    <w:multiLevelType w:val="hybridMultilevel"/>
    <w:lvl w:ilvl="0">
      <w:lvlJc w:val="left"/>
      <w:lvlText w:val="%1."/>
      <w:numFmt w:val="decimal"/>
      <w:start w:val="2"/>
    </w:lvl>
  </w:abstractNum>
  <w:abstractNum w:abstractNumId="137">
    <w:nsid w:val="4BDD53FD"/>
    <w:multiLevelType w:val="hybridMultilevel"/>
    <w:lvl w:ilvl="0">
      <w:lvlJc w:val="left"/>
      <w:lvlText w:val="•"/>
      <w:numFmt w:val="bullet"/>
      <w:start w:val="1"/>
    </w:lvl>
  </w:abstractNum>
  <w:abstractNum w:abstractNumId="138">
    <w:nsid w:val="569951FE"/>
    <w:multiLevelType w:val="hybridMultilevel"/>
    <w:lvl w:ilvl="0">
      <w:lvlJc w:val="left"/>
      <w:lvlText w:val="%1."/>
      <w:numFmt w:val="decimal"/>
      <w:start w:val="11"/>
    </w:lvl>
  </w:abstractNum>
  <w:abstractNum w:abstractNumId="139">
    <w:nsid w:val="4C54E2C3"/>
    <w:multiLevelType w:val="hybridMultilevel"/>
    <w:lvl w:ilvl="0">
      <w:lvlJc w:val="left"/>
      <w:lvlText w:val="(%1)"/>
      <w:numFmt w:val="decimal"/>
      <w:start w:val="1"/>
    </w:lvl>
  </w:abstractNum>
  <w:abstractNum w:abstractNumId="140">
    <w:nsid w:val="788BD9B"/>
    <w:multiLevelType w:val="hybridMultilevel"/>
    <w:lvl w:ilvl="0">
      <w:lvlJc w:val="left"/>
      <w:lvlText w:val="%1."/>
      <w:numFmt w:val="decimal"/>
      <w:start w:val="14"/>
    </w:lvl>
  </w:abstractNum>
  <w:abstractNum w:abstractNumId="141">
    <w:nsid w:val="47CAA567"/>
    <w:multiLevelType w:val="hybridMultilevel"/>
    <w:lvl w:ilvl="0">
      <w:lvlJc w:val="left"/>
      <w:lvlText w:val="(%1)"/>
      <w:numFmt w:val="decimal"/>
      <w:start w:val="1"/>
    </w:lvl>
  </w:abstractNum>
  <w:abstractNum w:abstractNumId="142">
    <w:nsid w:val="48249DBF"/>
    <w:multiLevelType w:val="hybridMultilevel"/>
    <w:lvl w:ilvl="0">
      <w:lvlJc w:val="left"/>
      <w:lvlText w:val="(%1)"/>
      <w:numFmt w:val="decimal"/>
      <w:start w:val="1"/>
    </w:lvl>
  </w:abstractNum>
  <w:abstractNum w:abstractNumId="143">
    <w:nsid w:val="1F0E5D0D"/>
    <w:multiLevelType w:val="hybridMultilevel"/>
    <w:lvl w:ilvl="0">
      <w:lvlJc w:val="left"/>
      <w:lvlText w:val="*"/>
      <w:numFmt w:val="bullet"/>
      <w:start w:val="1"/>
    </w:lvl>
  </w:abstractNum>
  <w:abstractNum w:abstractNumId="144">
    <w:nsid w:val="26BAAE9"/>
    <w:multiLevelType w:val="hybridMultilevel"/>
    <w:lvl w:ilvl="0">
      <w:lvlJc w:val="left"/>
      <w:lvlText w:val="$"/>
      <w:numFmt w:val="bullet"/>
      <w:start w:val="1"/>
    </w:lvl>
  </w:abstractNum>
  <w:abstractNum w:abstractNumId="145">
    <w:nsid w:val="2C02FE8C"/>
    <w:multiLevelType w:val="hybridMultilevel"/>
    <w:lvl w:ilvl="0">
      <w:lvlJc w:val="left"/>
      <w:lvlText w:val="$"/>
      <w:numFmt w:val="bullet"/>
      <w:start w:val="1"/>
    </w:lvl>
  </w:abstractNum>
  <w:abstractNum w:abstractNumId="146">
    <w:nsid w:val="129517E"/>
    <w:multiLevelType w:val="hybridMultilevel"/>
    <w:lvl w:ilvl="0">
      <w:lvlJc w:val="left"/>
      <w:lvlText w:val="•"/>
      <w:numFmt w:val="bullet"/>
      <w:start w:val="1"/>
    </w:lvl>
  </w:abstractNum>
  <w:abstractNum w:abstractNumId="147">
    <w:nsid w:val="763B8C4E"/>
    <w:multiLevelType w:val="hybridMultilevel"/>
    <w:lvl w:ilvl="0">
      <w:lvlJc w:val="left"/>
      <w:lvlText w:val="•"/>
      <w:numFmt w:val="bullet"/>
      <w:start w:val="1"/>
    </w:lvl>
  </w:abstractNum>
  <w:abstractNum w:abstractNumId="148">
    <w:nsid w:val="4CFB8D32"/>
    <w:multiLevelType w:val="hybridMultilevel"/>
    <w:lvl w:ilvl="0">
      <w:lvlJc w:val="left"/>
      <w:lvlText w:val="•"/>
      <w:numFmt w:val="bullet"/>
      <w:start w:val="1"/>
    </w:lvl>
  </w:abstractNum>
  <w:abstractNum w:abstractNumId="149">
    <w:nsid w:val="62A5D5BD"/>
    <w:multiLevelType w:val="hybridMultilevel"/>
    <w:lvl w:ilvl="0">
      <w:lvlJc w:val="left"/>
      <w:lvlText w:val="%1"/>
      <w:numFmt w:val="decimal"/>
      <w:start w:val="107"/>
    </w:lvl>
  </w:abstractNum>
  <w:abstractNum w:abstractNumId="150">
    <w:nsid w:val="718FABF9"/>
    <w:multiLevelType w:val="hybridMultilevel"/>
    <w:lvl w:ilvl="0">
      <w:lvlJc w:val="left"/>
      <w:lvlText w:val="*"/>
      <w:numFmt w:val="bullet"/>
      <w:start w:val="1"/>
    </w:lvl>
  </w:abstractNum>
  <w:abstractNum w:abstractNumId="151">
    <w:nsid w:val="7775797C"/>
    <w:multiLevelType w:val="hybridMultilevel"/>
    <w:lvl w:ilvl="0">
      <w:lvlJc w:val="left"/>
      <w:lvlText w:val="#"/>
      <w:numFmt w:val="bullet"/>
      <w:start w:val="1"/>
    </w:lvl>
  </w:abstractNum>
  <w:abstractNum w:abstractNumId="152">
    <w:nsid w:val="1626FB8C"/>
    <w:multiLevelType w:val="hybridMultilevel"/>
    <w:lvl w:ilvl="0">
      <w:lvlJc w:val="left"/>
      <w:lvlText w:val="†"/>
      <w:numFmt w:val="bullet"/>
      <w:start w:val="1"/>
    </w:lvl>
  </w:abstractNum>
  <w:abstractNum w:abstractNumId="153">
    <w:nsid w:val="3957756A"/>
    <w:multiLevelType w:val="hybridMultilevel"/>
    <w:lvl w:ilvl="0">
      <w:lvlJc w:val="left"/>
      <w:lvlText w:val="(%1)"/>
      <w:numFmt w:val="lowerLetter"/>
      <w:start w:val="1"/>
    </w:lvl>
  </w:abstractNum>
  <w:abstractNum w:abstractNumId="154">
    <w:nsid w:val="3E6DA1C7"/>
    <w:multiLevelType w:val="hybridMultilevel"/>
    <w:lvl w:ilvl="0">
      <w:lvlJc w:val="left"/>
      <w:lvlText w:val="%1."/>
      <w:numFmt w:val="decimal"/>
      <w:start w:val="1"/>
    </w:lvl>
  </w:abstractNum>
  <w:abstractNum w:abstractNumId="155">
    <w:nsid w:val="65CA235B"/>
    <w:multiLevelType w:val="hybridMultilevel"/>
    <w:lvl w:ilvl="0">
      <w:lvlJc w:val="left"/>
      <w:lvlText w:val="%1"/>
      <w:numFmt w:val="upperLetter"/>
      <w:start w:val="1"/>
    </w:lvl>
    <w:lvl w:ilvl="1">
      <w:lvlJc w:val="left"/>
      <w:lvlText w:val="%2."/>
      <w:numFmt w:val="decimal"/>
      <w:start w:val="1"/>
    </w:lvl>
  </w:abstractNum>
  <w:abstractNum w:abstractNumId="156">
    <w:nsid w:val="51CB0DA4"/>
    <w:multiLevelType w:val="hybridMultilevel"/>
    <w:lvl w:ilvl="0">
      <w:lvlJc w:val="left"/>
      <w:lvlText w:val="%1."/>
      <w:numFmt w:val="upperLetter"/>
      <w:start w:val="2"/>
    </w:lvl>
    <w:lvl w:ilvl="1">
      <w:lvlJc w:val="left"/>
      <w:lvlText w:val="%2"/>
      <w:numFmt w:val="decimal"/>
      <w:start w:val="1"/>
    </w:lvl>
  </w:abstractNum>
  <w:abstractNum w:abstractNumId="157">
    <w:nsid w:val="7B9B743C"/>
    <w:multiLevelType w:val="hybridMultilevel"/>
    <w:lvl w:ilvl="0">
      <w:lvlJc w:val="left"/>
      <w:lvlText w:val="%1."/>
      <w:numFmt w:val="decimal"/>
      <w:start w:val="1"/>
    </w:lvl>
  </w:abstractNum>
  <w:abstractNum w:abstractNumId="158">
    <w:nsid w:val="13E21002"/>
    <w:multiLevelType w:val="hybridMultilevel"/>
    <w:lvl w:ilvl="0">
      <w:lvlJc w:val="left"/>
      <w:lvlText w:val="%1."/>
      <w:numFmt w:val="decimal"/>
      <w:start w:val="2"/>
    </w:lvl>
  </w:abstractNum>
  <w:abstractNum w:abstractNumId="159">
    <w:nsid w:val="257D63F4"/>
    <w:multiLevelType w:val="hybridMultilevel"/>
    <w:lvl w:ilvl="0">
      <w:lvlJc w:val="left"/>
      <w:lvlText w:val="(%1)"/>
      <w:numFmt w:val="lowerLetter"/>
      <w:start w:val="1"/>
    </w:lvl>
    <w:lvl w:ilvl="1">
      <w:lvlJc w:val="left"/>
      <w:lvlText w:val="(%2)"/>
      <w:numFmt w:val="lowerRoman"/>
      <w:start w:val="1"/>
    </w:lvl>
  </w:abstractNum>
  <w:abstractNum w:abstractNumId="160">
    <w:nsid w:val="70EC11B2"/>
    <w:multiLevelType w:val="hybridMultilevel"/>
    <w:lvl w:ilvl="0">
      <w:lvlJc w:val="left"/>
      <w:lvlText w:val="(%1)"/>
      <w:numFmt w:val="lowerLetter"/>
      <w:start w:val="2"/>
    </w:lvl>
  </w:abstractNum>
  <w:abstractNum w:abstractNumId="161">
    <w:nsid w:val="2EDA00ED"/>
    <w:multiLevelType w:val="hybridMultilevel"/>
    <w:lvl w:ilvl="0">
      <w:lvlJc w:val="left"/>
      <w:lvlText w:val="(%1)"/>
      <w:numFmt w:val="lowerLetter"/>
      <w:start w:val="1"/>
    </w:lvl>
  </w:abstractNum>
  <w:abstractNum w:abstractNumId="162">
    <w:nsid w:val="73209072"/>
    <w:multiLevelType w:val="hybridMultilevel"/>
    <w:lvl w:ilvl="0">
      <w:lvlJc w:val="left"/>
      <w:lvlText w:val="(%1)"/>
      <w:numFmt w:val="lowerRoman"/>
      <w:start w:val="1"/>
    </w:lvl>
  </w:abstractNum>
  <w:abstractNum w:abstractNumId="163">
    <w:nsid w:val="5FB29816"/>
    <w:multiLevelType w:val="hybridMultilevel"/>
    <w:lvl w:ilvl="0">
      <w:lvlJc w:val="left"/>
      <w:lvlText w:val="%1."/>
      <w:numFmt w:val="decimal"/>
      <w:start w:val="3"/>
    </w:lvl>
  </w:abstractNum>
  <w:abstractNum w:abstractNumId="164">
    <w:nsid w:val="3CE732EC"/>
    <w:multiLevelType w:val="hybridMultilevel"/>
    <w:lvl w:ilvl="0">
      <w:lvlJc w:val="left"/>
      <w:lvlText w:val="(%1)"/>
      <w:numFmt w:val="lowerRoman"/>
      <w:start w:val="1"/>
    </w:lvl>
  </w:abstractNum>
  <w:abstractNum w:abstractNumId="165">
    <w:nsid w:val="22F13DF3"/>
    <w:multiLevelType w:val="hybridMultilevel"/>
    <w:lvl w:ilvl="0">
      <w:lvlJc w:val="left"/>
      <w:lvlText w:val="%1."/>
      <w:numFmt w:val="decimal"/>
      <w:start w:val="4"/>
    </w:lvl>
  </w:abstractNum>
  <w:abstractNum w:abstractNumId="166">
    <w:nsid w:val="792B8401"/>
    <w:multiLevelType w:val="hybridMultilevel"/>
    <w:lvl w:ilvl="0">
      <w:lvlJc w:val="left"/>
      <w:lvlText w:val="(%1)"/>
      <w:numFmt w:val="lowerLetter"/>
      <w:start w:val="1"/>
    </w:lvl>
    <w:lvl w:ilvl="1">
      <w:lvlJc w:val="left"/>
      <w:lvlText w:val="(%2)"/>
      <w:numFmt w:val="lowerRoman"/>
      <w:start w:val="1"/>
    </w:lvl>
  </w:abstractNum>
  <w:abstractNum w:abstractNumId="167">
    <w:nsid w:val="FA85F4D"/>
    <w:multiLevelType w:val="hybridMultilevel"/>
    <w:lvl w:ilvl="0">
      <w:lvlJc w:val="left"/>
      <w:lvlText w:val="%1"/>
      <w:numFmt w:val="lowerLetter"/>
      <w:start w:val="1"/>
    </w:lvl>
    <w:lvl w:ilvl="1">
      <w:lvlJc w:val="left"/>
      <w:lvlText w:val="(%2)"/>
      <w:numFmt w:val="lowerRoman"/>
      <w:start w:val="6"/>
    </w:lvl>
  </w:abstractNum>
  <w:abstractNum w:abstractNumId="168">
    <w:nsid w:val="6ECE91F0"/>
    <w:multiLevelType w:val="hybridMultilevel"/>
    <w:lvl w:ilvl="0">
      <w:lvlJc w:val="left"/>
      <w:lvlText w:val="(%1)"/>
      <w:numFmt w:val="lowerLetter"/>
      <w:start w:val="2"/>
    </w:lvl>
    <w:lvl w:ilvl="1">
      <w:lvlJc w:val="left"/>
      <w:lvlText w:val="%2"/>
      <w:numFmt w:val="lowerRoman"/>
      <w:start w:val="1"/>
    </w:lvl>
  </w:abstractNum>
  <w:abstractNum w:abstractNumId="169">
    <w:nsid w:val="4FC4D600"/>
    <w:multiLevelType w:val="hybridMultilevel"/>
    <w:lvl w:ilvl="0">
      <w:lvlJc w:val="left"/>
      <w:lvlText w:val="(%1)"/>
      <w:numFmt w:val="lowerLetter"/>
      <w:start w:val="1"/>
    </w:lvl>
  </w:abstractNum>
  <w:abstractNum w:abstractNumId="170">
    <w:nsid w:val="5BFD4210"/>
    <w:multiLevelType w:val="hybridMultilevel"/>
    <w:lvl w:ilvl="0">
      <w:lvlJc w:val="left"/>
      <w:lvlText w:val="(%1)"/>
      <w:numFmt w:val="lowerLetter"/>
      <w:start w:val="4"/>
    </w:lvl>
  </w:abstractNum>
  <w:abstractNum w:abstractNumId="171">
    <w:nsid w:val="76574F8B"/>
    <w:multiLevelType w:val="hybridMultilevel"/>
    <w:lvl w:ilvl="0">
      <w:lvlJc w:val="left"/>
      <w:lvlText w:val="(%1)"/>
      <w:numFmt w:val="lowerLetter"/>
      <w:start w:val="1"/>
    </w:lvl>
  </w:abstractNum>
  <w:abstractNum w:abstractNumId="172">
    <w:nsid w:val="178F7B67"/>
    <w:multiLevelType w:val="hybridMultilevel"/>
    <w:lvl w:ilvl="0">
      <w:lvlJc w:val="left"/>
      <w:lvlText w:val="(%1)"/>
      <w:numFmt w:val="lowerLetter"/>
      <w:start w:val="1"/>
    </w:lvl>
    <w:lvl w:ilvl="1">
      <w:lvlJc w:val="left"/>
      <w:lvlText w:val="(%2)"/>
      <w:numFmt w:val="lowerRoman"/>
      <w:start w:val="1"/>
    </w:lvl>
  </w:abstractNum>
  <w:abstractNum w:abstractNumId="173">
    <w:nsid w:val="2421DFCF"/>
    <w:multiLevelType w:val="hybridMultilevel"/>
    <w:lvl w:ilvl="0">
      <w:lvlJc w:val="left"/>
      <w:lvlText w:val="%1"/>
      <w:numFmt w:val="lowerLetter"/>
      <w:start w:val="1"/>
    </w:lvl>
    <w:lvl w:ilvl="1">
      <w:lvlJc w:val="left"/>
      <w:lvlText w:val="(%2)"/>
      <w:numFmt w:val="lowerLetter"/>
      <w:start w:val="61"/>
    </w:lvl>
  </w:abstractNum>
  <w:abstractNum w:abstractNumId="174">
    <w:nsid w:val="1565AC99"/>
    <w:multiLevelType w:val="hybridMultilevel"/>
    <w:lvl w:ilvl="0">
      <w:lvlJc w:val="left"/>
      <w:lvlText w:val="(%1)"/>
      <w:numFmt w:val="lowerLetter"/>
      <w:start w:val="2"/>
    </w:lvl>
    <w:lvl w:ilvl="1">
      <w:lvlJc w:val="left"/>
      <w:lvlText w:val="(%2)"/>
      <w:numFmt w:val="lowerLetter"/>
      <w:start w:val="9"/>
    </w:lvl>
  </w:abstractNum>
  <w:abstractNum w:abstractNumId="175">
    <w:nsid w:val="19FB2650"/>
    <w:multiLevelType w:val="hybridMultilevel"/>
    <w:lvl w:ilvl="0">
      <w:lvlJc w:val="left"/>
      <w:lvlText w:val="(%1)"/>
      <w:numFmt w:val="lowerRoman"/>
      <w:start w:val="2"/>
    </w:lvl>
  </w:abstractNum>
  <w:abstractNum w:abstractNumId="176">
    <w:nsid w:val="5024DE5B"/>
    <w:multiLevelType w:val="hybridMultilevel"/>
    <w:lvl w:ilvl="0">
      <w:lvlJc w:val="left"/>
      <w:lvlText w:val="(%1)"/>
      <w:numFmt w:val="decimal"/>
      <w:start w:val="1"/>
    </w:lvl>
  </w:abstractNum>
  <w:abstractNum w:abstractNumId="177">
    <w:nsid w:val="168EFE17"/>
    <w:multiLevelType w:val="hybridMultilevel"/>
    <w:lvl w:ilvl="0">
      <w:lvlJc w:val="left"/>
      <w:lvlText w:val="(%1)"/>
      <w:numFmt w:val="lowerLetter"/>
      <w:start w:val="1"/>
    </w:lvl>
  </w:abstractNum>
  <w:abstractNum w:abstractNumId="178">
    <w:nsid w:val="1036B29F"/>
    <w:multiLevelType w:val="hybridMultilevel"/>
    <w:lvl w:ilvl="0">
      <w:lvlJc w:val="left"/>
      <w:lvlText w:val="(%1)"/>
      <w:numFmt w:val="lowerRoman"/>
      <w:start w:val="1"/>
    </w:lvl>
    <w:lvl w:ilvl="1">
      <w:lvlJc w:val="left"/>
      <w:lvlText w:val="%2."/>
      <w:numFmt w:val="decimal"/>
      <w:start w:val="5"/>
    </w:lvl>
  </w:abstractNum>
  <w:abstractNum w:abstractNumId="179">
    <w:nsid w:val="1D206B8E"/>
    <w:multiLevelType w:val="hybridMultilevel"/>
    <w:lvl w:ilvl="0">
      <w:lvlJc w:val="left"/>
      <w:lvlText w:val="(%1)"/>
      <w:numFmt w:val="lowerLetter"/>
      <w:start w:val="1"/>
    </w:lvl>
  </w:abstractNum>
  <w:abstractNum w:abstractNumId="180">
    <w:nsid w:val="7934D3D4"/>
    <w:multiLevelType w:val="hybridMultilevel"/>
    <w:lvl w:ilvl="0">
      <w:lvlJc w:val="left"/>
      <w:lvlText w:val="%1."/>
      <w:numFmt w:val="decimal"/>
      <w:start w:val="6"/>
    </w:lvl>
  </w:abstractNum>
  <w:abstractNum w:abstractNumId="181">
    <w:nsid w:val="1C65E98"/>
    <w:multiLevelType w:val="hybridMultilevel"/>
    <w:lvl w:ilvl="0">
      <w:lvlJc w:val="left"/>
      <w:lvlText w:val="%1."/>
      <w:numFmt w:val="decimal"/>
      <w:start w:val="9"/>
    </w:lvl>
  </w:abstractNum>
  <w:abstractNum w:abstractNumId="182">
    <w:nsid w:val="1495E50A"/>
    <w:multiLevelType w:val="hybridMultilevel"/>
    <w:lvl w:ilvl="0">
      <w:lvlJc w:val="left"/>
      <w:lvlText w:val="%1."/>
      <w:numFmt w:val="decimal"/>
      <w:start w:val="3"/>
    </w:lvl>
  </w:abstractNum>
  <w:abstractNum w:abstractNumId="183">
    <w:nsid w:val="F5BCF61"/>
    <w:multiLevelType w:val="hybridMultilevel"/>
    <w:lvl w:ilvl="0">
      <w:lvlJc w:val="left"/>
      <w:lvlText w:val="(%1)"/>
      <w:numFmt w:val="lowerLetter"/>
      <w:start w:val="1"/>
    </w:lvl>
  </w:abstractNum>
  <w:abstractNum w:abstractNumId="184">
    <w:nsid w:val="3B1DD403"/>
    <w:multiLevelType w:val="hybridMultilevel"/>
    <w:lvl w:ilvl="0">
      <w:lvlJc w:val="left"/>
      <w:lvlText w:val="%1"/>
      <w:numFmt w:val="lowerRoman"/>
      <w:start w:val="1"/>
    </w:lvl>
    <w:lvl w:ilvl="1">
      <w:lvlJc w:val="left"/>
      <w:lvlText w:val="(%2)"/>
      <w:numFmt w:val="lowerLetter"/>
      <w:start w:val="1"/>
    </w:lvl>
  </w:abstractNum>
  <w:abstractNum w:abstractNumId="185">
    <w:nsid w:val="530386D1"/>
    <w:multiLevelType w:val="hybridMultilevel"/>
    <w:lvl w:ilvl="0">
      <w:lvlJc w:val="left"/>
      <w:lvlText w:val="(%1)"/>
      <w:numFmt w:val="lowerRoman"/>
      <w:start w:val="4"/>
    </w:lvl>
    <w:lvl w:ilvl="1">
      <w:lvlJc w:val="left"/>
      <w:lvlText w:val="%2"/>
      <w:numFmt w:val="lowerLetter"/>
      <w:start w:val="1"/>
    </w:lvl>
  </w:abstractNum>
  <w:abstractNum w:abstractNumId="186">
    <w:nsid w:val="7525F2BC"/>
    <w:multiLevelType w:val="hybridMultilevel"/>
    <w:lvl w:ilvl="0">
      <w:lvlJc w:val="left"/>
      <w:lvlText w:val="(%1)"/>
      <w:numFmt w:val="lowerLetter"/>
      <w:start w:val="1"/>
    </w:lvl>
  </w:abstractNum>
  <w:abstractNum w:abstractNumId="187">
    <w:nsid w:val="CE8E1A7"/>
    <w:multiLevelType w:val="hybridMultilevel"/>
    <w:lvl w:ilvl="0">
      <w:lvlJc w:val="left"/>
      <w:lvlText w:val="%1"/>
      <w:numFmt w:val="lowerLetter"/>
      <w:start w:val="1"/>
    </w:lvl>
    <w:lvl w:ilvl="1">
      <w:lvlJc w:val="left"/>
      <w:lvlText w:val="(%2)"/>
      <w:numFmt w:val="lowerLetter"/>
      <w:start w:val="3"/>
    </w:lvl>
  </w:abstractNum>
  <w:abstractNum w:abstractNumId="188">
    <w:nsid w:val="4E9EFB0D"/>
    <w:multiLevelType w:val="hybridMultilevel"/>
    <w:lvl w:ilvl="0">
      <w:lvlJc w:val="left"/>
      <w:lvlText w:val="(%1)"/>
      <w:numFmt w:val="lowerLetter"/>
      <w:start w:val="35"/>
    </w:lvl>
    <w:lvl w:ilvl="1">
      <w:lvlJc w:val="left"/>
      <w:lvlText w:val="%2"/>
      <w:numFmt w:val="lowerLetter"/>
      <w:start w:val="1"/>
    </w:lvl>
  </w:abstractNum>
  <w:abstractNum w:abstractNumId="189">
    <w:nsid w:val="90802BE"/>
    <w:multiLevelType w:val="hybridMultilevel"/>
    <w:lvl w:ilvl="0">
      <w:lvlJc w:val="left"/>
      <w:lvlText w:val="(%1)"/>
      <w:numFmt w:val="lowerLetter"/>
      <w:start w:val="1"/>
    </w:lvl>
  </w:abstractNum>
  <w:abstractNum w:abstractNumId="190">
    <w:nsid w:val="3266459B"/>
    <w:multiLevelType w:val="hybridMultilevel"/>
    <w:lvl w:ilvl="0">
      <w:lvlJc w:val="left"/>
      <w:lvlText w:val="(%1)"/>
      <w:numFmt w:val="lowerLetter"/>
      <w:start w:val="2"/>
    </w:lvl>
  </w:abstractNum>
  <w:abstractNum w:abstractNumId="191">
    <w:nsid w:val="3F8B0CBF"/>
    <w:multiLevelType w:val="hybridMultilevel"/>
    <w:lvl w:ilvl="0">
      <w:lvlJc w:val="left"/>
      <w:lvlText w:val="(%1)"/>
      <w:numFmt w:val="lowerLetter"/>
      <w:start w:val="1"/>
    </w:lvl>
  </w:abstractNum>
  <w:abstractNum w:abstractNumId="192">
    <w:nsid w:val="37E203AB"/>
    <w:multiLevelType w:val="hybridMultilevel"/>
    <w:lvl w:ilvl="0">
      <w:lvlJc w:val="left"/>
      <w:lvlText w:val="(%1)"/>
      <w:numFmt w:val="lowerLetter"/>
      <w:start w:val="5"/>
    </w:lvl>
  </w:abstractNum>
  <w:abstractNum w:abstractNumId="193">
    <w:nsid w:val="2586D60E"/>
    <w:multiLevelType w:val="hybridMultilevel"/>
    <w:lvl w:ilvl="0">
      <w:lvlJc w:val="left"/>
      <w:lvlText w:val="(%1)"/>
      <w:numFmt w:val="lowerLetter"/>
      <w:start w:val="1"/>
    </w:lvl>
    <w:lvl w:ilvl="1">
      <w:lvlJc w:val="left"/>
      <w:lvlText w:val="(%2)"/>
      <w:numFmt w:val="upperLetter"/>
      <w:start w:val="1"/>
    </w:lvl>
  </w:abstractNum>
  <w:abstractNum w:abstractNumId="194">
    <w:nsid w:val="1F3DA4D5"/>
    <w:multiLevelType w:val="hybridMultilevel"/>
    <w:lvl w:ilvl="0">
      <w:lvlJc w:val="left"/>
      <w:lvlText w:val="%1"/>
      <w:numFmt w:val="lowerLetter"/>
      <w:start w:val="1"/>
    </w:lvl>
    <w:lvl w:ilvl="1">
      <w:lvlJc w:val="left"/>
      <w:lvlText w:val="(%2)"/>
      <w:numFmt w:val="upperLetter"/>
      <w:start w:val="3"/>
    </w:lvl>
  </w:abstractNum>
  <w:abstractNum w:abstractNumId="195">
    <w:nsid w:val="74C93698"/>
    <w:multiLevelType w:val="hybridMultilevel"/>
    <w:lvl w:ilvl="0">
      <w:lvlJc w:val="left"/>
      <w:lvlText w:val="(%1)"/>
      <w:numFmt w:val="lowerLetter"/>
      <w:start w:val="4"/>
    </w:lvl>
    <w:lvl w:ilvl="1">
      <w:lvlJc w:val="left"/>
      <w:lvlText w:val="%2"/>
      <w:numFmt w:val="upperLetter"/>
      <w:start w:val="1"/>
    </w:lvl>
  </w:abstractNum>
  <w:abstractNum w:abstractNumId="196">
    <w:nsid w:val="48781401"/>
    <w:multiLevelType w:val="hybridMultilevel"/>
    <w:lvl w:ilvl="0">
      <w:lvlJc w:val="left"/>
      <w:lvlText w:val="%1"/>
      <w:numFmt w:val="upperLetter"/>
      <w:start w:val="1"/>
    </w:lvl>
    <w:lvl w:ilvl="1">
      <w:lvlJc w:val="left"/>
      <w:lvlText w:val="(%2)"/>
      <w:numFmt w:val="lowerLetter"/>
      <w:start w:val="1"/>
    </w:lvl>
  </w:abstractNum>
  <w:abstractNum w:abstractNumId="197">
    <w:nsid w:val="186928D6"/>
    <w:multiLevelType w:val="hybridMultilevel"/>
    <w:lvl w:ilvl="0">
      <w:lvlJc w:val="left"/>
      <w:lvlText w:val="(%1)"/>
      <w:numFmt w:val="upperLetter"/>
      <w:start w:val="1"/>
    </w:lvl>
    <w:lvl w:ilvl="1">
      <w:lvlJc w:val="left"/>
      <w:lvlText w:val="(%2)"/>
      <w:numFmt w:val="lowerLetter"/>
      <w:start w:val="3"/>
    </w:lvl>
  </w:abstractNum>
  <w:abstractNum w:abstractNumId="198">
    <w:nsid w:val="47195E5"/>
    <w:multiLevelType w:val="hybridMultilevel"/>
    <w:lvl w:ilvl="0">
      <w:lvlJc w:val="left"/>
      <w:lvlText w:val="[***]"/>
      <w:numFmt w:val="bullet"/>
      <w:start w:val="1"/>
    </w:lvl>
  </w:abstractNum>
  <w:abstractNum w:abstractNumId="199">
    <w:nsid w:val="3746A5F2"/>
    <w:multiLevelType w:val="hybridMultilevel"/>
    <w:lvl w:ilvl="0">
      <w:lvlJc w:val="left"/>
      <w:lvlText w:val="%1."/>
      <w:numFmt w:val="decimal"/>
      <w:start w:val="2"/>
    </w:lvl>
    <w:lvl w:ilvl="1">
      <w:lvlJc w:val="left"/>
      <w:lvlText w:val="(%2)"/>
      <w:numFmt w:val="lowerLetter"/>
      <w:start w:val="1"/>
    </w:lvl>
  </w:abstractNum>
  <w:abstractNum w:abstractNumId="200">
    <w:nsid w:val="682DFED6"/>
    <w:multiLevelType w:val="hybridMultilevel"/>
    <w:lvl w:ilvl="0">
      <w:lvlJc w:val="left"/>
      <w:lvlText w:val="2.%1."/>
      <w:numFmt w:val="decimal"/>
      <w:start w:val="3"/>
    </w:lvl>
    <w:lvl w:ilvl="1">
      <w:lvlJc w:val="left"/>
      <w:lvlText w:val="(%2)"/>
      <w:numFmt w:val="lowerLetter"/>
      <w:start w:val="3"/>
    </w:lvl>
  </w:abstractNum>
  <w:abstractNum w:abstractNumId="201">
    <w:nsid w:val="606ED7F6"/>
    <w:multiLevelType w:val="hybridMultilevel"/>
    <w:lvl w:ilvl="0">
      <w:lvlJc w:val="left"/>
      <w:lvlText w:val="(%1)"/>
      <w:numFmt w:val="lowerLetter"/>
      <w:start w:val="4"/>
    </w:lvl>
  </w:abstractNum>
  <w:abstractNum w:abstractNumId="202">
    <w:nsid w:val="2D9DF57D"/>
    <w:multiLevelType w:val="hybridMultilevel"/>
    <w:lvl w:ilvl="0">
      <w:lvlJc w:val="left"/>
      <w:lvlText w:val="(%1)"/>
      <w:numFmt w:val="lowerLetter"/>
      <w:start w:val="1"/>
    </w:lvl>
  </w:abstractNum>
  <w:abstractNum w:abstractNumId="203">
    <w:nsid w:val="7FBD7A3E"/>
    <w:multiLevelType w:val="hybridMultilevel"/>
    <w:lvl w:ilvl="0">
      <w:lvlJc w:val="left"/>
      <w:lvlText w:val="(%1)"/>
      <w:numFmt w:val="lowerLetter"/>
      <w:start w:val="2"/>
    </w:lvl>
  </w:abstractNum>
  <w:abstractNum w:abstractNumId="204">
    <w:nsid w:val="490B7C5"/>
    <w:multiLevelType w:val="hybridMultilevel"/>
    <w:lvl w:ilvl="0">
      <w:lvlJc w:val="left"/>
      <w:lvlText w:val="(%1)"/>
      <w:numFmt w:val="lowerLetter"/>
      <w:start w:val="1"/>
    </w:lvl>
  </w:abstractNum>
  <w:abstractNum w:abstractNumId="205">
    <w:nsid w:val="4303A216"/>
    <w:multiLevelType w:val="hybridMultilevel"/>
    <w:lvl w:ilvl="0">
      <w:lvlJc w:val="left"/>
      <w:lvlText w:val="(%1)"/>
      <w:numFmt w:val="lowerLetter"/>
      <w:start w:val="9"/>
    </w:lvl>
  </w:abstractNum>
  <w:abstractNum w:abstractNumId="206">
    <w:nsid w:val="19B8A08E"/>
    <w:multiLevelType w:val="hybridMultilevel"/>
    <w:lvl w:ilvl="0">
      <w:lvlJc w:val="left"/>
      <w:lvlText w:val="(%1)"/>
      <w:numFmt w:val="lowerLetter"/>
      <w:start w:val="1"/>
    </w:lvl>
  </w:abstractNum>
  <w:abstractNum w:abstractNumId="207">
    <w:nsid w:val="54B59621"/>
    <w:multiLevelType w:val="hybridMultilevel"/>
    <w:lvl w:ilvl="0">
      <w:lvlJc w:val="left"/>
      <w:lvlText w:val="%1"/>
      <w:numFmt w:val="lowerLetter"/>
      <w:start w:val="1"/>
    </w:lvl>
    <w:lvl w:ilvl="1">
      <w:lvlJc w:val="left"/>
      <w:lvlText w:val="(%2)"/>
      <w:numFmt w:val="lowerLetter"/>
      <w:start w:val="4"/>
    </w:lvl>
  </w:abstractNum>
  <w:abstractNum w:abstractNumId="208">
    <w:nsid w:val="5992A02E"/>
    <w:multiLevelType w:val="hybridMultilevel"/>
    <w:lvl w:ilvl="0">
      <w:lvlJc w:val="left"/>
      <w:lvlText w:val="(%1)"/>
      <w:numFmt w:val="lowerLetter"/>
      <w:start w:val="35"/>
    </w:lvl>
    <w:lvl w:ilvl="1">
      <w:lvlJc w:val="left"/>
      <w:lvlText w:val="(%2)"/>
      <w:numFmt w:val="lowerLetter"/>
      <w:start w:val="5"/>
    </w:lvl>
  </w:abstractNum>
  <w:abstractNum w:abstractNumId="209">
    <w:nsid w:val="29EF532D"/>
    <w:multiLevelType w:val="hybridMultilevel"/>
    <w:lvl w:ilvl="0">
      <w:lvlJc w:val="left"/>
      <w:lvlText w:val="(%1)"/>
      <w:numFmt w:val="lowerLetter"/>
      <w:start w:val="1"/>
    </w:lvl>
  </w:abstractNum>
  <w:abstractNum w:abstractNumId="210">
    <w:nsid w:val="71D601AF"/>
    <w:multiLevelType w:val="hybridMultilevel"/>
    <w:lvl w:ilvl="0">
      <w:lvlJc w:val="left"/>
      <w:lvlText w:val="(%1)"/>
      <w:numFmt w:val="lowerLetter"/>
      <w:start w:val="3"/>
    </w:lvl>
  </w:abstractNum>
  <w:abstractNum w:abstractNumId="211">
    <w:nsid w:val="52C77402"/>
    <w:multiLevelType w:val="hybridMultilevel"/>
    <w:lvl w:ilvl="0">
      <w:lvlJc w:val="left"/>
      <w:lvlText w:val="(%1)"/>
      <w:numFmt w:val="lowerLetter"/>
      <w:start w:val="1"/>
    </w:lvl>
  </w:abstractNum>
  <w:abstractNum w:abstractNumId="212">
    <w:nsid w:val="2BB5B1C6"/>
    <w:multiLevelType w:val="hybridMultilevel"/>
    <w:lvl w:ilvl="0">
      <w:lvlJc w:val="left"/>
      <w:lvlText w:val="(%1)"/>
      <w:numFmt w:val="lowerLetter"/>
      <w:start w:val="3"/>
    </w:lvl>
  </w:abstractNum>
  <w:abstractNum w:abstractNumId="213">
    <w:nsid w:val="66BE6B9"/>
    <w:multiLevelType w:val="hybridMultilevel"/>
    <w:lvl w:ilvl="0">
      <w:lvlJc w:val="left"/>
      <w:lvlText w:val="%1"/>
      <w:numFmt w:val="decimal"/>
      <w:start w:val="1"/>
    </w:lvl>
    <w:lvl w:ilvl="1">
      <w:lvlJc w:val="left"/>
      <w:lvlText w:val="(%2)"/>
      <w:numFmt w:val="lowerLetter"/>
      <w:start w:val="1"/>
    </w:lvl>
  </w:abstractNum>
  <w:abstractNum w:abstractNumId="214">
    <w:nsid w:val="62234363"/>
    <w:multiLevelType w:val="hybridMultilevel"/>
    <w:lvl w:ilvl="0">
      <w:lvlJc w:val="left"/>
      <w:lvlText w:val="%1."/>
      <w:numFmt w:val="decimal"/>
      <w:start w:val="3"/>
    </w:lvl>
    <w:lvl w:ilvl="1">
      <w:lvlJc w:val="left"/>
      <w:lvlText w:val="%2"/>
      <w:numFmt w:val="lowerLetter"/>
      <w:start w:val="1"/>
    </w:lvl>
  </w:abstractNum>
  <w:abstractNum w:abstractNumId="215">
    <w:nsid w:val="66D385C9"/>
    <w:multiLevelType w:val="hybridMultilevel"/>
    <w:lvl w:ilvl="0">
      <w:lvlJc w:val="left"/>
      <w:lvlText w:val="(%1)"/>
      <w:numFmt w:val="lowerLetter"/>
      <w:start w:val="1"/>
    </w:lvl>
  </w:abstractNum>
  <w:abstractNum w:abstractNumId="216">
    <w:nsid w:val="596F6D8A"/>
    <w:multiLevelType w:val="hybridMultilevel"/>
    <w:lvl w:ilvl="0">
      <w:lvlJc w:val="left"/>
      <w:lvlText w:val="%1"/>
      <w:numFmt w:val="lowerLetter"/>
      <w:start w:val="1"/>
    </w:lvl>
    <w:lvl w:ilvl="1">
      <w:lvlJc w:val="left"/>
      <w:lvlText w:val="(%2)"/>
      <w:numFmt w:val="lowerLetter"/>
      <w:start w:val="2"/>
    </w:lvl>
  </w:abstractNum>
  <w:abstractNum w:abstractNumId="217">
    <w:nsid w:val="5749361F"/>
    <w:multiLevelType w:val="hybridMultilevel"/>
    <w:lvl w:ilvl="0">
      <w:lvlJc w:val="left"/>
      <w:lvlText w:val="(%1)"/>
      <w:numFmt w:val="lowerLetter"/>
      <w:start w:val="9"/>
    </w:lvl>
    <w:lvl w:ilvl="1">
      <w:lvlJc w:val="left"/>
      <w:lvlText w:val="(%2)"/>
      <w:numFmt w:val="lowerLetter"/>
      <w:start w:val="3"/>
    </w:lvl>
  </w:abstractNum>
  <w:abstractNum w:abstractNumId="218">
    <w:nsid w:val="73BC6770"/>
    <w:multiLevelType w:val="hybridMultilevel"/>
    <w:lvl w:ilvl="0">
      <w:lvlJc w:val="left"/>
      <w:lvlText w:val="(%1)"/>
      <w:numFmt w:val="lowerRoman"/>
      <w:start w:val="1"/>
    </w:lvl>
  </w:abstractNum>
  <w:abstractNum w:abstractNumId="219">
    <w:nsid w:val="280E6897"/>
    <w:multiLevelType w:val="hybridMultilevel"/>
    <w:lvl w:ilvl="0">
      <w:lvlJc w:val="left"/>
      <w:lvlText w:val="%1"/>
      <w:numFmt w:val="decimal"/>
      <w:start w:val="1"/>
    </w:lvl>
    <w:lvl w:ilvl="1">
      <w:lvlJc w:val="left"/>
      <w:lvlText w:val="(%2)"/>
      <w:numFmt w:val="lowerLetter"/>
      <w:start w:val="1"/>
    </w:lvl>
  </w:abstractNum>
  <w:abstractNum w:abstractNumId="220">
    <w:nsid w:val="605138DE"/>
    <w:multiLevelType w:val="hybridMultilevel"/>
    <w:lvl w:ilvl="0">
      <w:lvlJc w:val="left"/>
      <w:lvlText w:val="%1."/>
      <w:numFmt w:val="decimal"/>
      <w:start w:val="4"/>
    </w:lvl>
    <w:lvl w:ilvl="1">
      <w:lvlJc w:val="left"/>
      <w:lvlText w:val="%2"/>
      <w:numFmt w:val="lowerLetter"/>
      <w:start w:val="1"/>
    </w:lvl>
  </w:abstractNum>
  <w:abstractNum w:abstractNumId="221">
    <w:nsid w:val="2622AD0C"/>
    <w:multiLevelType w:val="hybridMultilevel"/>
    <w:lvl w:ilvl="0">
      <w:lvlJc w:val="left"/>
      <w:lvlText w:val="(%1)"/>
      <w:numFmt w:val="lowerRoman"/>
      <w:start w:val="10"/>
    </w:lvl>
  </w:abstractNum>
  <w:abstractNum w:abstractNumId="222">
    <w:nsid w:val="67997556"/>
    <w:multiLevelType w:val="hybridMultilevel"/>
    <w:lvl w:ilvl="0">
      <w:lvlJc w:val="left"/>
      <w:lvlText w:val="(%1)"/>
      <w:numFmt w:val="lowerLetter"/>
      <w:start w:val="1"/>
    </w:lvl>
  </w:abstractNum>
  <w:abstractNum w:abstractNumId="223">
    <w:nsid w:val="18333C89"/>
    <w:multiLevelType w:val="hybridMultilevel"/>
    <w:lvl w:ilvl="0">
      <w:lvlJc w:val="left"/>
      <w:lvlText w:val="%1."/>
      <w:numFmt w:val="decimal"/>
      <w:start w:val="5"/>
    </w:lvl>
  </w:abstractNum>
  <w:abstractNum w:abstractNumId="224">
    <w:nsid w:val="4BA9831A"/>
    <w:multiLevelType w:val="hybridMultilevel"/>
    <w:lvl w:ilvl="0">
      <w:lvlJc w:val="left"/>
      <w:lvlText w:val="(%1)"/>
      <w:numFmt w:val="decimal"/>
      <w:start w:val="12"/>
    </w:lvl>
  </w:abstractNum>
  <w:abstractNum w:abstractNumId="225">
    <w:nsid w:val="6D71A2B"/>
    <w:multiLevelType w:val="hybridMultilevel"/>
    <w:lvl w:ilvl="0">
      <w:lvlJc w:val="left"/>
      <w:lvlText w:val="%1."/>
      <w:numFmt w:val="decimal"/>
      <w:start w:val="6"/>
    </w:lvl>
  </w:abstractNum>
  <w:abstractNum w:abstractNumId="226">
    <w:nsid w:val="CFC7321"/>
    <w:multiLevelType w:val="hybridMultilevel"/>
    <w:lvl w:ilvl="0">
      <w:lvlJc w:val="left"/>
      <w:lvlText w:val="(%1)"/>
      <w:numFmt w:val="lowerLetter"/>
      <w:start w:val="1"/>
    </w:lvl>
  </w:abstractNum>
  <w:abstractNum w:abstractNumId="227">
    <w:nsid w:val="1421971B"/>
    <w:multiLevelType w:val="hybridMultilevel"/>
    <w:lvl w:ilvl="0">
      <w:lvlJc w:val="left"/>
      <w:lvlText w:val="%1."/>
      <w:numFmt w:val="decimal"/>
      <w:start w:val="1"/>
    </w:lvl>
  </w:abstractNum>
  <w:abstractNum w:abstractNumId="228">
    <w:nsid w:val="1F404301"/>
    <w:multiLevelType w:val="hybridMultilevel"/>
    <w:lvl w:ilvl="0">
      <w:lvlJc w:val="left"/>
      <w:lvlText w:val="%1."/>
      <w:numFmt w:val="decimal"/>
      <w:start w:val="1"/>
    </w:lvl>
  </w:abstractNum>
  <w:abstractNum w:abstractNumId="229">
    <w:nsid w:val="116E0907"/>
    <w:multiLevelType w:val="hybridMultilevel"/>
    <w:lvl w:ilvl="0">
      <w:lvlJc w:val="left"/>
      <w:lvlText w:val="%1."/>
      <w:numFmt w:val="decimal"/>
      <w:start w:val="2"/>
    </w:lvl>
  </w:abstractNum>
  <w:abstractNum w:abstractNumId="230">
    <w:nsid w:val="4B683D0D"/>
    <w:multiLevelType w:val="hybridMultilevel"/>
    <w:lvl w:ilvl="0">
      <w:lvlJc w:val="left"/>
      <w:lvlText w:val="%1."/>
      <w:numFmt w:val="decimal"/>
      <w:start w:val="3"/>
    </w:lvl>
  </w:abstractNum>
  <w:abstractNum w:abstractNumId="231">
    <w:nsid w:val="76E41D8"/>
    <w:multiLevelType w:val="hybridMultilevel"/>
    <w:lvl w:ilvl="0">
      <w:lvlJc w:val="left"/>
      <w:lvlText w:val="%1."/>
      <w:numFmt w:val="decimal"/>
      <w:start w:val="4"/>
    </w:lvl>
  </w:abstractNum>
  <w:abstractNum w:abstractNumId="232">
    <w:nsid w:val="71DCE0FD"/>
    <w:multiLevelType w:val="hybridMultilevel"/>
    <w:lvl w:ilvl="0">
      <w:lvlJc w:val="left"/>
      <w:lvlText w:val="%1."/>
      <w:numFmt w:val="decimal"/>
      <w:start w:val="5"/>
    </w:lvl>
  </w:abstractNum>
  <w:abstractNum w:abstractNumId="233">
    <w:nsid w:val="7906328B"/>
    <w:multiLevelType w:val="hybridMultilevel"/>
    <w:lvl w:ilvl="0">
      <w:lvlJc w:val="left"/>
      <w:lvlText w:val="(%1)"/>
      <w:numFmt w:val="lowerLetter"/>
      <w:start w:val="1"/>
    </w:lvl>
  </w:abstractNum>
  <w:abstractNum w:abstractNumId="234">
    <w:nsid w:val="72BBC16"/>
    <w:multiLevelType w:val="hybridMultilevel"/>
    <w:lvl w:ilvl="0">
      <w:lvlJc w:val="left"/>
      <w:lvlText w:val="(%1)"/>
      <w:numFmt w:val="lowerLetter"/>
      <w:start w:val="4"/>
    </w:lvl>
  </w:abstractNum>
  <w:abstractNum w:abstractNumId="235">
    <w:nsid w:val="766D98C2"/>
    <w:multiLevelType w:val="hybridMultilevel"/>
    <w:lvl w:ilvl="0">
      <w:lvlJc w:val="left"/>
      <w:lvlText w:val="%1."/>
      <w:numFmt w:val="decimal"/>
      <w:start w:val="6"/>
    </w:lvl>
  </w:abstractNum>
  <w:abstractNum w:abstractNumId="236">
    <w:nsid w:val="3C09D4A1"/>
    <w:multiLevelType w:val="hybridMultilevel"/>
    <w:lvl w:ilvl="0">
      <w:lvlJc w:val="left"/>
      <w:lvlText w:val="(%1)"/>
      <w:numFmt w:val="lowerLetter"/>
      <w:start w:val="1"/>
    </w:lvl>
  </w:abstractNum>
  <w:abstractNum w:abstractNumId="237">
    <w:nsid w:val="20E45CA4"/>
    <w:multiLevelType w:val="hybridMultilevel"/>
    <w:lvl w:ilvl="0">
      <w:lvlJc w:val="left"/>
      <w:lvlText w:val="(%1)"/>
      <w:numFmt w:val="lowerLetter"/>
      <w:start w:val="2"/>
    </w:lvl>
  </w:abstractNum>
  <w:abstractNum w:abstractNumId="238">
    <w:nsid w:val="4B232EE3"/>
    <w:multiLevelType w:val="hybridMultilevel"/>
    <w:lvl w:ilvl="0">
      <w:lvlJc w:val="left"/>
      <w:lvlText w:val="%1"/>
      <w:numFmt w:val="decimal"/>
      <w:start w:val="1"/>
    </w:lvl>
    <w:lvl w:ilvl="1">
      <w:lvlJc w:val="left"/>
      <w:lvlText w:val="(%2)"/>
      <w:numFmt w:val="lowerLetter"/>
      <w:start w:val="1"/>
    </w:lvl>
  </w:abstractNum>
  <w:abstractNum w:abstractNumId="239">
    <w:nsid w:val="159C74CF"/>
    <w:multiLevelType w:val="hybridMultilevel"/>
    <w:lvl w:ilvl="0">
      <w:lvlJc w:val="left"/>
      <w:lvlText w:val="%1."/>
      <w:numFmt w:val="decimal"/>
      <w:start w:val="7"/>
    </w:lvl>
    <w:lvl w:ilvl="1">
      <w:lvlJc w:val="left"/>
      <w:lvlText w:val="%2"/>
      <w:numFmt w:val="lowerLetter"/>
      <w:start w:val="1"/>
    </w:lvl>
  </w:abstractNum>
  <w:abstractNum w:abstractNumId="240">
    <w:nsid w:val="4AD3AFD2"/>
    <w:multiLevelType w:val="hybridMultilevel"/>
    <w:lvl w:ilvl="0">
      <w:lvlJc w:val="left"/>
      <w:lvlText w:val="%1."/>
      <w:numFmt w:val="decimal"/>
      <w:start w:val="8"/>
    </w:lvl>
  </w:abstractNum>
  <w:abstractNum w:abstractNumId="241">
    <w:nsid w:val="3CF93092"/>
    <w:multiLevelType w:val="hybridMultilevel"/>
    <w:lvl w:ilvl="0">
      <w:lvlJc w:val="left"/>
      <w:lvlText w:val="(%1)"/>
      <w:numFmt w:val="lowerLetter"/>
      <w:start w:val="1"/>
    </w:lvl>
  </w:abstractNum>
  <w:abstractNum w:abstractNumId="242">
    <w:nsid w:val="6863E8D2"/>
    <w:multiLevelType w:val="hybridMultilevel"/>
    <w:lvl w:ilvl="0">
      <w:lvlJc w:val="left"/>
      <w:lvlText w:val="(%1)"/>
      <w:numFmt w:val="lowerLetter"/>
      <w:start w:val="1"/>
    </w:lvl>
  </w:abstractNum>
  <w:abstractNum w:abstractNumId="243">
    <w:nsid w:val="76896198"/>
    <w:multiLevelType w:val="hybridMultilevel"/>
    <w:lvl w:ilvl="0">
      <w:lvlJc w:val="left"/>
      <w:lvlText w:val="(%1)"/>
      <w:numFmt w:val="lowerLetter"/>
      <w:start w:val="2"/>
    </w:lvl>
  </w:abstractNum>
  <w:abstractNum w:abstractNumId="244">
    <w:nsid w:val="4365174B"/>
    <w:multiLevelType w:val="hybridMultilevel"/>
    <w:lvl w:ilvl="0">
      <w:lvlJc w:val="left"/>
      <w:lvlText w:val="(%1)"/>
      <w:numFmt w:val="lowerRoman"/>
      <w:start w:val="1"/>
    </w:lvl>
    <w:lvl w:ilvl="1">
      <w:lvlJc w:val="left"/>
      <w:lvlText w:val="%2."/>
      <w:numFmt w:val="decimal"/>
      <w:start w:val="9"/>
    </w:lvl>
  </w:abstractNum>
  <w:abstractNum w:abstractNumId="245">
    <w:nsid w:val="4A872C35"/>
    <w:multiLevelType w:val="hybridMultilevel"/>
    <w:lvl w:ilvl="0">
      <w:lvlJc w:val="left"/>
      <w:lvlText w:val="%1."/>
      <w:numFmt w:val="decimal"/>
      <w:start w:val="10"/>
    </w:lvl>
  </w:abstractNum>
  <w:abstractNum w:abstractNumId="246">
    <w:nsid w:val="5D5CE761"/>
    <w:multiLevelType w:val="hybridMultilevel"/>
    <w:lvl w:ilvl="0">
      <w:lvlJc w:val="left"/>
      <w:lvlText w:val="(%1)"/>
      <w:numFmt w:val="lowerLetter"/>
      <w:start w:val="1"/>
    </w:lvl>
  </w:abstractNum>
  <w:abstractNum w:abstractNumId="247">
    <w:nsid w:val="1CD484D5"/>
    <w:multiLevelType w:val="hybridMultilevel"/>
    <w:lvl w:ilvl="0">
      <w:lvlJc w:val="left"/>
      <w:lvlText w:val="(%1)"/>
      <w:numFmt w:val="lowerLetter"/>
      <w:start w:val="3"/>
    </w:lvl>
  </w:abstractNum>
  <w:abstractNum w:abstractNumId="248">
    <w:nsid w:val="21D06255"/>
    <w:multiLevelType w:val="hybridMultilevel"/>
    <w:lvl w:ilvl="0">
      <w:lvlJc w:val="left"/>
      <w:lvlText w:val="(%1)"/>
      <w:numFmt w:val="lowerRoman"/>
      <w:start w:val="2"/>
    </w:lvl>
  </w:abstractNum>
  <w:abstractNum w:abstractNumId="249">
    <w:nsid w:val="51194ED1"/>
    <w:multiLevelType w:val="hybridMultilevel"/>
    <w:lvl w:ilvl="0">
      <w:lvlJc w:val="left"/>
      <w:lvlText w:val="%1."/>
      <w:numFmt w:val="decimal"/>
      <w:start w:val="1"/>
    </w:lvl>
    <w:lvl w:ilvl="1">
      <w:lvlJc w:val="left"/>
      <w:lvlText w:val="*"/>
      <w:numFmt w:val="bullet"/>
      <w:start w:val="1"/>
    </w:lvl>
  </w:abstractNum>
  <w:abstractNum w:abstractNumId="250">
    <w:nsid w:val="44E2ED6C"/>
    <w:multiLevelType w:val="hybridMultilevel"/>
    <w:lvl w:ilvl="0">
      <w:lvlJc w:val="left"/>
      <w:lvlText w:val="(%1)"/>
      <w:numFmt w:val="lowerLetter"/>
      <w:start w:val="1"/>
    </w:lvl>
  </w:abstractNum>
  <w:abstractNum w:abstractNumId="251">
    <w:nsid w:val="2219B33"/>
    <w:multiLevelType w:val="hybridMultilevel"/>
    <w:lvl w:ilvl="0">
      <w:lvlJc w:val="left"/>
      <w:lvlText w:val="(%1)"/>
      <w:numFmt w:val="lowerRoman"/>
      <w:start w:val="1"/>
    </w:lvl>
  </w:abstractNum>
  <w:abstractNum w:abstractNumId="252">
    <w:nsid w:val="773BFBDD"/>
    <w:multiLevelType w:val="hybridMultilevel"/>
    <w:lvl w:ilvl="0">
      <w:lvlJc w:val="left"/>
      <w:lvlText w:val="(%1)"/>
      <w:numFmt w:val="lowerRoman"/>
      <w:start w:val="4"/>
    </w:lvl>
  </w:abstractNum>
  <w:abstractNum w:abstractNumId="253">
    <w:nsid w:val="2C7C62C2"/>
    <w:multiLevelType w:val="hybridMultilevel"/>
    <w:lvl w:ilvl="0">
      <w:lvlJc w:val="left"/>
      <w:lvlText w:val="(%1)"/>
      <w:numFmt w:val="lowerRoman"/>
      <w:start w:val="1"/>
    </w:lvl>
  </w:abstractNum>
  <w:abstractNum w:abstractNumId="254">
    <w:nsid w:val="1A54D7BC"/>
    <w:multiLevelType w:val="hybridMultilevel"/>
    <w:lvl w:ilvl="0">
      <w:lvlJc w:val="left"/>
      <w:lvlText w:val="(%1)"/>
      <w:numFmt w:val="lowerRoman"/>
      <w:start w:val="4"/>
    </w:lvl>
  </w:abstractNum>
  <w:abstractNum w:abstractNumId="255">
    <w:nsid w:val="42E57EF7"/>
    <w:multiLevelType w:val="hybridMultilevel"/>
    <w:lvl w:ilvl="0">
      <w:lvlJc w:val="left"/>
      <w:lvlText w:val="(%1)"/>
      <w:numFmt w:val="lowerLetter"/>
      <w:start w:val="4"/>
    </w:lvl>
  </w:abstractNum>
  <w:abstractNum w:abstractNumId="256">
    <w:nsid w:val="33537CED"/>
    <w:multiLevelType w:val="hybridMultilevel"/>
    <w:lvl w:ilvl="0">
      <w:lvlJc w:val="left"/>
      <w:lvlText w:val="(%1)"/>
      <w:numFmt w:val="lowerLetter"/>
      <w:start w:val="9"/>
    </w:lvl>
  </w:abstractNum>
  <w:abstractNum w:abstractNumId="257">
    <w:nsid w:val="27514ADE"/>
    <w:multiLevelType w:val="hybridMultilevel"/>
    <w:lvl w:ilvl="0">
      <w:lvlJc w:val="left"/>
      <w:lvlText w:val="(%1)"/>
      <w:numFmt w:val="lowerLetter"/>
      <w:start w:val="1"/>
    </w:lvl>
  </w:abstractNum>
  <w:abstractNum w:abstractNumId="258">
    <w:nsid w:val="57071613"/>
    <w:multiLevelType w:val="hybridMultilevel"/>
    <w:lvl w:ilvl="0">
      <w:lvlJc w:val="left"/>
      <w:lvlText w:val="%1"/>
      <w:numFmt w:val="lowerLetter"/>
      <w:start w:val="1"/>
    </w:lvl>
    <w:lvl w:ilvl="1">
      <w:lvlJc w:val="left"/>
      <w:lvlText w:val="(%2)"/>
      <w:numFmt w:val="lowerLetter"/>
      <w:start w:val="3"/>
    </w:lvl>
  </w:abstractNum>
  <w:abstractNum w:abstractNumId="259">
    <w:nsid w:val="5293BFEF"/>
    <w:multiLevelType w:val="hybridMultilevel"/>
    <w:lvl w:ilvl="0">
      <w:lvlJc w:val="left"/>
      <w:lvlText w:val="(%1)"/>
      <w:numFmt w:val="lowerLetter"/>
      <w:start w:val="35"/>
    </w:lvl>
    <w:lvl w:ilvl="1">
      <w:lvlJc w:val="left"/>
      <w:lvlText w:val="(%2)"/>
      <w:numFmt w:val="lowerLetter"/>
      <w:start w:val="5"/>
    </w:lvl>
  </w:abstractNum>
  <w:abstractNum w:abstractNumId="260">
    <w:nsid w:val="38BF53E5"/>
    <w:multiLevelType w:val="hybridMultilevel"/>
    <w:lvl w:ilvl="0">
      <w:lvlJc w:val="left"/>
      <w:lvlText w:val="(%1)"/>
      <w:numFmt w:val="lowerLetter"/>
      <w:start w:val="1"/>
    </w:lvl>
  </w:abstractNum>
  <w:abstractNum w:abstractNumId="261">
    <w:nsid w:val="226F5320"/>
    <w:multiLevelType w:val="hybridMultilevel"/>
    <w:lvl w:ilvl="0">
      <w:lvlJc w:val="left"/>
      <w:lvlText w:val="%1"/>
      <w:numFmt w:val="upperLetter"/>
      <w:start w:val="1"/>
    </w:lvl>
    <w:lvl w:ilvl="1">
      <w:lvlJc w:val="left"/>
      <w:lvlText w:val="(%2)"/>
      <w:numFmt w:val="lowerLetter"/>
      <w:start w:val="2"/>
    </w:lvl>
  </w:abstractNum>
  <w:abstractNum w:abstractNumId="262">
    <w:nsid w:val="5A0201C7"/>
    <w:multiLevelType w:val="hybridMultilevel"/>
    <w:lvl w:ilvl="0">
      <w:lvlJc w:val="left"/>
      <w:lvlText w:val="(%1)"/>
      <w:numFmt w:val="upperLetter"/>
      <w:start w:val="2"/>
    </w:lvl>
    <w:lvl w:ilvl="1">
      <w:lvlJc w:val="left"/>
      <w:lvlText w:val="(%2)"/>
      <w:numFmt w:val="lowerLetter"/>
      <w:start w:val="3"/>
    </w:lvl>
  </w:abstractNum>
  <w:abstractNum w:abstractNumId="263">
    <w:nsid w:val="2A9C34E2"/>
    <w:multiLevelType w:val="hybridMultilevel"/>
    <w:lvl w:ilvl="0">
      <w:lvlJc w:val="left"/>
      <w:lvlText w:val="(%1)"/>
      <w:numFmt w:val="lowerLetter"/>
      <w:start w:val="1"/>
    </w:lvl>
  </w:abstractNum>
  <w:abstractNum w:abstractNumId="264">
    <w:nsid w:val="1B7585AB"/>
    <w:multiLevelType w:val="hybridMultilevel"/>
    <w:lvl w:ilvl="0">
      <w:lvlJc w:val="left"/>
      <w:lvlText w:val="(%1)"/>
      <w:numFmt w:val="decimal"/>
      <w:start w:val="30"/>
    </w:lvl>
    <w:lvl w:ilvl="1">
      <w:lvlJc w:val="left"/>
      <w:lvlText w:val="(%2)"/>
      <w:numFmt w:val="lowerLetter"/>
      <w:start w:val="2"/>
    </w:lvl>
  </w:abstractNum>
  <w:abstractNum w:abstractNumId="265">
    <w:nsid w:val="612DBDDD"/>
    <w:multiLevelType w:val="hybridMultilevel"/>
    <w:lvl w:ilvl="0">
      <w:lvlJc w:val="left"/>
      <w:lvlText w:val="(%1)"/>
      <w:numFmt w:val="lowerLetter"/>
      <w:start w:val="3"/>
    </w:lvl>
  </w:abstractNum>
  <w:abstractNum w:abstractNumId="266">
    <w:nsid w:val="2109CDA4"/>
    <w:multiLevelType w:val="hybridMultilevel"/>
    <w:lvl w:ilvl="0">
      <w:lvlJc w:val="left"/>
      <w:lvlText w:val="(%1)"/>
      <w:numFmt w:val="lowerLetter"/>
      <w:start w:val="1"/>
    </w:lvl>
  </w:abstractNum>
  <w:abstractNum w:abstractNumId="267">
    <w:nsid w:val="577F5A4D"/>
    <w:multiLevelType w:val="hybridMultilevel"/>
    <w:lvl w:ilvl="0">
      <w:lvlJc w:val="left"/>
      <w:lvlText w:val="(%1)"/>
      <w:numFmt w:val="lowerLetter"/>
      <w:start w:val="1"/>
    </w:lvl>
  </w:abstractNum>
  <w:abstractNum w:abstractNumId="268">
    <w:nsid w:val="2121A81"/>
    <w:multiLevelType w:val="hybridMultilevel"/>
    <w:lvl w:ilvl="0">
      <w:lvlJc w:val="left"/>
      <w:lvlText w:val="(%1)"/>
      <w:numFmt w:val="lowerLetter"/>
      <w:start w:val="5"/>
    </w:lvl>
  </w:abstractNum>
  <w:abstractNum w:abstractNumId="269">
    <w:nsid w:val="6C2CFC88"/>
    <w:multiLevelType w:val="hybridMultilevel"/>
    <w:lvl w:ilvl="0">
      <w:lvlJc w:val="left"/>
      <w:lvlText w:val="(%1)"/>
      <w:numFmt w:val="lowerLetter"/>
      <w:start w:val="1"/>
    </w:lvl>
  </w:abstractNum>
  <w:abstractNum w:abstractNumId="270">
    <w:nsid w:val="6D1BCF1C"/>
    <w:multiLevelType w:val="hybridMultilevel"/>
    <w:lvl w:ilvl="0">
      <w:lvlJc w:val="left"/>
      <w:lvlText w:val="(%1)"/>
      <w:numFmt w:val="lowerLetter"/>
      <w:start w:val="3"/>
    </w:lvl>
  </w:abstractNum>
  <w:abstractNum w:abstractNumId="271">
    <w:nsid w:val="4CE5CA53"/>
    <w:multiLevelType w:val="hybridMultilevel"/>
    <w:lvl w:ilvl="0">
      <w:lvlJc w:val="left"/>
      <w:lvlText w:val="(%1)"/>
      <w:numFmt w:val="lowerLetter"/>
      <w:start w:val="3"/>
    </w:lvl>
  </w:abstractNum>
  <w:abstractNum w:abstractNumId="272">
    <w:nsid w:val="29262D1A"/>
    <w:multiLevelType w:val="hybridMultilevel"/>
    <w:lvl w:ilvl="0">
      <w:lvlJc w:val="left"/>
      <w:lvlText w:val="(%1)"/>
      <w:numFmt w:val="lowerLetter"/>
      <w:start w:val="1"/>
    </w:lvl>
  </w:abstractNum>
  <w:abstractNum w:abstractNumId="273">
    <w:nsid w:val="557FB7EE"/>
    <w:multiLevelType w:val="hybridMultilevel"/>
    <w:lvl w:ilvl="0">
      <w:lvlJc w:val="left"/>
      <w:lvlText w:val="(%1)"/>
      <w:numFmt w:val="lowerLetter"/>
      <w:start w:val="35"/>
    </w:lvl>
    <w:lvl w:ilvl="1">
      <w:lvlJc w:val="left"/>
      <w:lvlText w:val="(%2)"/>
      <w:numFmt w:val="lowerLetter"/>
      <w:start w:val="1"/>
    </w:lvl>
  </w:abstractNum>
  <w:abstractNum w:abstractNumId="274">
    <w:nsid w:val="436F2BEB"/>
    <w:multiLevelType w:val="hybridMultilevel"/>
    <w:lvl w:ilvl="0">
      <w:lvlJc w:val="left"/>
      <w:lvlText w:val="(%1)"/>
      <w:numFmt w:val="lowerLetter"/>
      <w:start w:val="1"/>
    </w:lvl>
  </w:abstractNum>
  <w:abstractNum w:abstractNumId="275">
    <w:nsid w:val="6C8B4466"/>
    <w:multiLevelType w:val="hybridMultilevel"/>
    <w:lvl w:ilvl="0">
      <w:lvlJc w:val="left"/>
      <w:lvlText w:val="(%1)"/>
      <w:numFmt w:val="lowerRoman"/>
      <w:start w:val="1"/>
    </w:lvl>
  </w:abstractNum>
  <w:abstractNum w:abstractNumId="276">
    <w:nsid w:val="2006E424"/>
    <w:multiLevelType w:val="hybridMultilevel"/>
    <w:lvl w:ilvl="0">
      <w:lvlJc w:val="left"/>
      <w:lvlText w:val="(%1)"/>
      <w:numFmt w:val="lowerRoman"/>
      <w:start w:val="4"/>
    </w:lvl>
  </w:abstractNum>
  <w:abstractNum w:abstractNumId="277">
    <w:nsid w:val="20CC134C"/>
    <w:multiLevelType w:val="hybridMultilevel"/>
    <w:lvl w:ilvl="0">
      <w:lvlJc w:val="left"/>
      <w:lvlText w:val="(%1)"/>
      <w:numFmt w:val="lowerRoman"/>
      <w:start w:val="1"/>
    </w:lvl>
  </w:abstractNum>
  <w:abstractNum w:abstractNumId="278">
    <w:nsid w:val="95FC93B"/>
    <w:multiLevelType w:val="hybridMultilevel"/>
    <w:lvl w:ilvl="0">
      <w:lvlJc w:val="left"/>
      <w:lvlText w:val="(%1)"/>
      <w:numFmt w:val="lowerRoman"/>
      <w:start w:val="4"/>
    </w:lvl>
  </w:abstractNum>
  <w:abstractNum w:abstractNumId="279">
    <w:nsid w:val="41D74679"/>
    <w:multiLevelType w:val="hybridMultilevel"/>
    <w:lvl w:ilvl="0">
      <w:lvlJc w:val="left"/>
      <w:lvlText w:val="(%1)"/>
      <w:numFmt w:val="lowerLetter"/>
      <w:start w:val="4"/>
    </w:lvl>
  </w:abstractNum>
  <w:abstractNum w:abstractNumId="280">
    <w:nsid w:val="71E5621E"/>
    <w:multiLevelType w:val="hybridMultilevel"/>
    <w:lvl w:ilvl="0">
      <w:lvlJc w:val="left"/>
      <w:lvlText w:val="(%1)"/>
      <w:numFmt w:val="lowerLetter"/>
      <w:start w:val="9"/>
    </w:lvl>
  </w:abstractNum>
  <w:abstractNum w:abstractNumId="281">
    <w:nsid w:val="4E42B6A8"/>
    <w:multiLevelType w:val="hybridMultilevel"/>
    <w:lvl w:ilvl="0">
      <w:lvlJc w:val="left"/>
      <w:lvlText w:val="(%1)"/>
      <w:numFmt w:val="lowerLetter"/>
      <w:start w:val="1"/>
    </w:lvl>
  </w:abstractNum>
  <w:abstractNum w:abstractNumId="282">
    <w:nsid w:val="43F8E1AC"/>
    <w:multiLevelType w:val="hybridMultilevel"/>
    <w:lvl w:ilvl="0">
      <w:lvlJc w:val="left"/>
      <w:lvlText w:val="%1"/>
      <w:numFmt w:val="lowerLetter"/>
      <w:start w:val="1"/>
    </w:lvl>
    <w:lvl w:ilvl="1">
      <w:lvlJc w:val="left"/>
      <w:lvlText w:val="(%2)"/>
      <w:numFmt w:val="lowerLetter"/>
      <w:start w:val="3"/>
    </w:lvl>
  </w:abstractNum>
  <w:abstractNum w:abstractNumId="283">
    <w:nsid w:val="69215DFB"/>
    <w:multiLevelType w:val="hybridMultilevel"/>
    <w:lvl w:ilvl="0">
      <w:lvlJc w:val="left"/>
      <w:lvlText w:val="(%1)"/>
      <w:numFmt w:val="lowerLetter"/>
      <w:start w:val="35"/>
    </w:lvl>
    <w:lvl w:ilvl="1">
      <w:lvlJc w:val="left"/>
      <w:lvlText w:val="(%2)"/>
      <w:numFmt w:val="lowerLetter"/>
      <w:start w:val="4"/>
    </w:lvl>
  </w:abstractNum>
  <w:abstractNum w:abstractNumId="284">
    <w:nsid w:val="7ABF196A"/>
    <w:multiLevelType w:val="hybridMultilevel"/>
    <w:lvl w:ilvl="0">
      <w:lvlJc w:val="left"/>
      <w:lvlText w:val="(%1)"/>
      <w:numFmt w:val="lowerLetter"/>
      <w:start w:val="1"/>
    </w:lvl>
  </w:abstractNum>
  <w:abstractNum w:abstractNumId="285">
    <w:nsid w:val="5E4DB968"/>
    <w:multiLevelType w:val="hybridMultilevel"/>
    <w:lvl w:ilvl="0">
      <w:lvlJc w:val="left"/>
      <w:lvlText w:val="%1"/>
      <w:numFmt w:val="upperLetter"/>
      <w:start w:val="1"/>
    </w:lvl>
    <w:lvl w:ilvl="1">
      <w:lvlJc w:val="left"/>
      <w:lvlText w:val="(%2)"/>
      <w:numFmt w:val="lowerLetter"/>
      <w:start w:val="2"/>
    </w:lvl>
  </w:abstractNum>
  <w:abstractNum w:abstractNumId="286">
    <w:nsid w:val="2C06DCF3"/>
    <w:multiLevelType w:val="hybridMultilevel"/>
    <w:lvl w:ilvl="0">
      <w:lvlJc w:val="left"/>
      <w:lvlText w:val="(%1)"/>
      <w:numFmt w:val="upperLetter"/>
      <w:start w:val="2"/>
    </w:lvl>
    <w:lvl w:ilvl="1">
      <w:lvlJc w:val="left"/>
      <w:lvlText w:val="(%2)"/>
      <w:numFmt w:val="lowerLetter"/>
      <w:start w:val="3"/>
    </w:lvl>
  </w:abstractNum>
  <w:abstractNum w:abstractNumId="287">
    <w:nsid w:val="2E129658"/>
    <w:multiLevelType w:val="hybridMultilevel"/>
    <w:lvl w:ilvl="0">
      <w:lvlJc w:val="left"/>
      <w:lvlText w:val="(%1)"/>
      <w:numFmt w:val="lowerLetter"/>
      <w:start w:val="1"/>
    </w:lvl>
  </w:abstractNum>
  <w:abstractNum w:abstractNumId="288">
    <w:nsid w:val="59F0446"/>
    <w:multiLevelType w:val="hybridMultilevel"/>
    <w:lvl w:ilvl="0">
      <w:lvlJc w:val="left"/>
      <w:lvlText w:val="%1"/>
      <w:numFmt w:val="lowerLetter"/>
      <w:start w:val="1"/>
    </w:lvl>
    <w:lvl w:ilvl="1">
      <w:lvlJc w:val="left"/>
      <w:lvlText w:val="(%2)"/>
      <w:numFmt w:val="lowerLetter"/>
      <w:start w:val="2"/>
    </w:lvl>
  </w:abstractNum>
  <w:abstractNum w:abstractNumId="289">
    <w:nsid w:val="30DF306"/>
    <w:multiLevelType w:val="hybridMultilevel"/>
    <w:lvl w:ilvl="0">
      <w:lvlJc w:val="left"/>
      <w:lvlText w:val="(%1)"/>
      <w:numFmt w:val="lowerLetter"/>
      <w:start w:val="9"/>
    </w:lvl>
    <w:lvl w:ilvl="1">
      <w:lvlJc w:val="left"/>
      <w:lvlText w:val="(%2)"/>
      <w:numFmt w:val="lowerLetter"/>
      <w:start w:val="3"/>
    </w:lvl>
  </w:abstractNum>
  <w:abstractNum w:abstractNumId="290">
    <w:nsid w:val="A65647"/>
    <w:multiLevelType w:val="hybridMultilevel"/>
    <w:lvl w:ilvl="0">
      <w:lvlJc w:val="left"/>
      <w:lvlText w:val="(%1)"/>
      <w:numFmt w:val="lowerLetter"/>
      <w:start w:val="1"/>
    </w:lvl>
  </w:abstractNum>
  <w:abstractNum w:abstractNumId="291">
    <w:nsid w:val="3E5E582B"/>
    <w:multiLevelType w:val="hybridMultilevel"/>
    <w:lvl w:ilvl="0">
      <w:lvlJc w:val="left"/>
      <w:lvlText w:val="(%1)"/>
      <w:numFmt w:val="lowerLetter"/>
      <w:start w:val="1"/>
    </w:lvl>
  </w:abstractNum>
  <w:abstractNum w:abstractNumId="292">
    <w:nsid w:val="257D4626"/>
    <w:multiLevelType w:val="hybridMultilevel"/>
    <w:lvl w:ilvl="0">
      <w:lvlJc w:val="left"/>
      <w:lvlText w:val="(%1)"/>
      <w:numFmt w:val="lowerLetter"/>
      <w:start w:val="6"/>
    </w:lvl>
  </w:abstractNum>
  <w:abstractNum w:abstractNumId="293">
    <w:nsid w:val="5AA8580E"/>
    <w:multiLevelType w:val="hybridMultilevel"/>
    <w:lvl w:ilvl="0">
      <w:lvlJc w:val="left"/>
      <w:lvlText w:val="(%1)"/>
      <w:numFmt w:val="lowerLetter"/>
      <w:start w:val="1"/>
    </w:lvl>
  </w:abstractNum>
  <w:abstractNum w:abstractNumId="294">
    <w:nsid w:val="68FA8D0D"/>
    <w:multiLevelType w:val="hybridMultilevel"/>
    <w:lvl w:ilvl="0">
      <w:lvlJc w:val="left"/>
      <w:lvlText w:val="(%1)"/>
      <w:numFmt w:val="lowerLetter"/>
      <w:start w:val="3"/>
    </w:lvl>
  </w:abstractNum>
  <w:abstractNum w:abstractNumId="295">
    <w:nsid w:val="40F2CBD2"/>
    <w:multiLevelType w:val="hybridMultilevel"/>
    <w:lvl w:ilvl="0">
      <w:lvlJc w:val="left"/>
      <w:lvlText w:val="(%1)"/>
      <w:numFmt w:val="lowerLetter"/>
      <w:start w:val="3"/>
    </w:lvl>
  </w:abstractNum>
  <w:abstractNum w:abstractNumId="296">
    <w:nsid w:val="3BD615EB"/>
    <w:multiLevelType w:val="hybridMultilevel"/>
    <w:lvl w:ilvl="0">
      <w:lvlJc w:val="left"/>
      <w:lvlText w:val="(%1)"/>
      <w:numFmt w:val="lowerLetter"/>
      <w:start w:val="1"/>
    </w:lvl>
  </w:abstractNum>
  <w:abstractNum w:abstractNumId="297">
    <w:nsid w:val="A045AB2"/>
    <w:multiLevelType w:val="hybridMultilevel"/>
    <w:lvl w:ilvl="0">
      <w:lvlJc w:val="left"/>
      <w:lvlText w:val="(%1)"/>
      <w:numFmt w:val="lowerLetter"/>
      <w:start w:val="35"/>
    </w:lvl>
    <w:lvl w:ilvl="1">
      <w:lvlJc w:val="left"/>
      <w:lvlText w:val="(%2)"/>
      <w:numFmt w:val="lowerLetter"/>
      <w:start w:val="1"/>
    </w:lvl>
  </w:abstractNum>
  <w:abstractNum w:abstractNumId="298">
    <w:nsid w:val="1872261F"/>
    <w:multiLevelType w:val="hybridMultilevel"/>
    <w:lvl w:ilvl="0">
      <w:lvlJc w:val="left"/>
      <w:lvlText w:val="%1."/>
      <w:numFmt w:val="decimal"/>
      <w:start w:val="1"/>
    </w:lvl>
  </w:abstractNum>
  <w:abstractNum w:abstractNumId="299">
    <w:nsid w:val="3DE8306C"/>
    <w:multiLevelType w:val="hybridMultilevel"/>
    <w:lvl w:ilvl="0">
      <w:lvlJc w:val="left"/>
      <w:lvlText w:val="%1."/>
      <w:numFmt w:val="decimal"/>
      <w:start w:val="2"/>
    </w:lvl>
  </w:abstractNum>
  <w:abstractNum w:abstractNumId="300">
    <w:nsid w:val="7631573A"/>
    <w:multiLevelType w:val="hybridMultilevel"/>
    <w:lvl w:ilvl="0">
      <w:lvlJc w:val="left"/>
      <w:lvlText w:val="%1."/>
      <w:numFmt w:val="decimal"/>
      <w:start w:val="3"/>
    </w:lvl>
  </w:abstractNum>
  <w:abstractNum w:abstractNumId="301">
    <w:nsid w:val="58DF53B"/>
    <w:multiLevelType w:val="hybridMultilevel"/>
    <w:lvl w:ilvl="0">
      <w:lvlJc w:val="left"/>
      <w:lvlText w:val="%1."/>
      <w:numFmt w:val="decimal"/>
      <w:start w:val="4"/>
    </w:lvl>
    <w:lvl w:ilvl="1">
      <w:lvlJc w:val="left"/>
      <w:lvlText w:val="(%2)"/>
      <w:numFmt w:val="lowerLetter"/>
      <w:start w:val="1"/>
    </w:lvl>
  </w:abstractNum>
  <w:abstractNum w:abstractNumId="302">
    <w:nsid w:val="ACDFAC0"/>
    <w:multiLevelType w:val="hybridMultilevel"/>
    <w:lvl w:ilvl="0">
      <w:lvlJc w:val="left"/>
      <w:lvlText w:val="(%1)"/>
      <w:numFmt w:val="lowerLetter"/>
      <w:start w:val="2"/>
    </w:lvl>
  </w:abstractNum>
  <w:abstractNum w:abstractNumId="303">
    <w:nsid w:val="1F578454"/>
    <w:multiLevelType w:val="hybridMultilevel"/>
    <w:lvl w:ilvl="0">
      <w:lvlJc w:val="left"/>
      <w:lvlText w:val="%1."/>
      <w:numFmt w:val="decimal"/>
      <w:start w:val="5"/>
    </w:lvl>
    <w:lvl w:ilvl="1">
      <w:lvlJc w:val="left"/>
      <w:lvlText w:val="(%2)"/>
      <w:numFmt w:val="lowerLetter"/>
      <w:start w:val="1"/>
    </w:lvl>
  </w:abstractNum>
  <w:abstractNum w:abstractNumId="304">
    <w:nsid w:val="5B0DAD2A"/>
    <w:multiLevelType w:val="hybridMultilevel"/>
    <w:lvl w:ilvl="0">
      <w:lvlJc w:val="left"/>
      <w:lvlText w:val="%1."/>
      <w:numFmt w:val="decimal"/>
      <w:start w:val="7"/>
    </w:lvl>
  </w:abstractNum>
  <w:abstractNum w:abstractNumId="305">
    <w:nsid w:val="4E3D26A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06">
    <w:nsid w:val="BE2C8BA"/>
    <w:multiLevelType w:val="hybridMultilevel"/>
    <w:lvl w:ilvl="0">
      <w:lvlJc w:val="left"/>
      <w:lvlText w:val="(%1)"/>
      <w:numFmt w:val="lowerLetter"/>
      <w:start w:val="9"/>
    </w:lvl>
    <w:lvl w:ilvl="1">
      <w:lvlJc w:val="left"/>
      <w:lvlText w:val="(%2)"/>
      <w:numFmt w:val="lowerLetter"/>
      <w:start w:val="8"/>
    </w:lvl>
    <w:lvl w:ilvl="2">
      <w:lvlJc w:val="left"/>
      <w:lvlText w:val="-"/>
      <w:numFmt w:val="bullet"/>
      <w:start w:val="1"/>
    </w:lvl>
  </w:abstractNum>
  <w:abstractNum w:abstractNumId="307">
    <w:nsid w:val="7B14914E"/>
    <w:multiLevelType w:val="hybridMultilevel"/>
    <w:lvl w:ilvl="0">
      <w:lvlJc w:val="left"/>
      <w:lvlText w:val="%1"/>
      <w:numFmt w:val="decimal"/>
      <w:start w:val="1"/>
    </w:lvl>
    <w:lvl w:ilvl="1">
      <w:lvlJc w:val="left"/>
      <w:lvlText w:val="(%2)"/>
      <w:numFmt w:val="lowerLetter"/>
      <w:start w:val="11"/>
    </w:lvl>
    <w:lvl w:ilvl="2">
      <w:lvlJc w:val="left"/>
      <w:lvlText w:val="-"/>
      <w:numFmt w:val="bullet"/>
      <w:start w:val="1"/>
    </w:lvl>
  </w:abstractNum>
  <w:abstractNum w:abstractNumId="308">
    <w:nsid w:val="6F0939F8"/>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309">
    <w:nsid w:val="154291F6"/>
    <w:multiLevelType w:val="hybridMultilevel"/>
    <w:lvl w:ilvl="0">
      <w:lvlJc w:val="left"/>
      <w:lvlText w:val="(%1)"/>
      <w:numFmt w:val="decimal"/>
      <w:start w:val="60"/>
    </w:lvl>
    <w:lvl w:ilvl="1">
      <w:lvlJc w:val="left"/>
      <w:lvlText w:val="%2"/>
      <w:numFmt w:val="lowerLetter"/>
      <w:start w:val="1"/>
    </w:lvl>
    <w:lvl w:ilvl="2">
      <w:lvlJc w:val="left"/>
      <w:lvlText w:val="-"/>
      <w:numFmt w:val="bullet"/>
      <w:start w:val="1"/>
    </w:lvl>
  </w:abstractNum>
  <w:abstractNum w:abstractNumId="310">
    <w:nsid w:val="3CEBD7C7"/>
    <w:multiLevelType w:val="hybridMultilevel"/>
    <w:lvl w:ilvl="0">
      <w:lvlJc w:val="left"/>
      <w:lvlText w:val="(%1)"/>
      <w:numFmt w:val="lowerLetter"/>
      <w:start w:val="17"/>
    </w:lvl>
  </w:abstractNum>
  <w:abstractNum w:abstractNumId="311">
    <w:nsid w:val="60EE9C16"/>
    <w:multiLevelType w:val="hybridMultilevel"/>
    <w:lvl w:ilvl="0">
      <w:lvlJc w:val="left"/>
      <w:lvlText w:val="(%1)"/>
      <w:numFmt w:val="lowerLetter"/>
      <w:start w:val="27"/>
    </w:lvl>
    <w:lvl w:ilvl="1">
      <w:lvlJc w:val="left"/>
      <w:lvlText w:val="-"/>
      <w:numFmt w:val="bullet"/>
      <w:start w:val="1"/>
    </w:lvl>
  </w:abstractNum>
  <w:abstractNum w:abstractNumId="312">
    <w:nsid w:val="6385489E"/>
    <w:multiLevelType w:val="hybridMultilevel"/>
    <w:lvl w:ilvl="0">
      <w:lvlJc w:val="left"/>
      <w:lvlText w:val="(%1)"/>
      <w:numFmt w:val="lowerLetter"/>
      <w:start w:val="1"/>
    </w:lvl>
  </w:abstractNum>
  <w:abstractNum w:abstractNumId="313">
    <w:nsid w:val="E4B973"/>
    <w:multiLevelType w:val="hybridMultilevel"/>
    <w:lvl w:ilvl="0">
      <w:lvlJc w:val="left"/>
      <w:lvlText w:val="%1."/>
      <w:numFmt w:val="decimal"/>
      <w:start w:val="7"/>
    </w:lvl>
  </w:abstractNum>
  <w:abstractNum w:abstractNumId="314">
    <w:nsid w:val="4A0FFA11"/>
    <w:multiLevelType w:val="hybridMultilevel"/>
    <w:lvl w:ilvl="0">
      <w:lvlJc w:val="left"/>
      <w:lvlText w:val="(%1)"/>
      <w:numFmt w:val="lowerLetter"/>
      <w:start w:val="1"/>
    </w:lvl>
    <w:lvl w:ilvl="1">
      <w:lvlJc w:val="left"/>
      <w:lvlText w:val="-"/>
      <w:numFmt w:val="bullet"/>
      <w:start w:val="1"/>
    </w:lvl>
  </w:abstractNum>
  <w:abstractNum w:abstractNumId="315">
    <w:nsid w:val="5E446208"/>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16">
    <w:nsid w:val="5F3272DB"/>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17">
    <w:nsid w:val="7616D704"/>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18">
    <w:nsid w:val="C56F860"/>
    <w:multiLevelType w:val="hybridMultilevel"/>
    <w:lvl w:ilvl="0">
      <w:lvlJc w:val="left"/>
      <w:lvlText w:val="%1"/>
      <w:numFmt w:val="decimal"/>
      <w:start w:val="1"/>
    </w:lvl>
    <w:lvl w:ilvl="1">
      <w:lvlJc w:val="left"/>
      <w:lvlText w:val="(%2)"/>
      <w:numFmt w:val="lowerLetter"/>
      <w:start w:val="3"/>
    </w:lvl>
  </w:abstractNum>
  <w:abstractNum w:abstractNumId="319">
    <w:nsid w:val="64D17722"/>
    <w:multiLevelType w:val="hybridMultilevel"/>
    <w:lvl w:ilvl="0">
      <w:lvlJc w:val="left"/>
      <w:lvlText w:val="%1."/>
      <w:numFmt w:val="decimal"/>
      <w:start w:val="10"/>
    </w:lvl>
    <w:lvl w:ilvl="1">
      <w:lvlJc w:val="left"/>
      <w:lvlText w:val="%2"/>
      <w:numFmt w:val="lowerLetter"/>
      <w:start w:val="1"/>
    </w:lvl>
  </w:abstractNum>
  <w:abstractNum w:abstractNumId="320">
    <w:nsid w:val="7924CA0A"/>
    <w:multiLevelType w:val="hybridMultilevel"/>
    <w:lvl w:ilvl="0">
      <w:lvlJc w:val="left"/>
      <w:lvlText w:val="%1."/>
      <w:numFmt w:val="decimal"/>
      <w:start w:val="12"/>
    </w:lvl>
    <w:lvl w:ilvl="1">
      <w:lvlJc w:val="left"/>
      <w:lvlText w:val="(%2)"/>
      <w:numFmt w:val="lowerLetter"/>
      <w:start w:val="1"/>
    </w:lvl>
  </w:abstractNum>
  <w:abstractNum w:abstractNumId="321">
    <w:nsid w:val="CFD4EA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322">
    <w:nsid w:val="232FCF4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323">
    <w:nsid w:val="1EA2103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24">
    <w:nsid w:val="67A5A6B5"/>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325">
    <w:nsid w:val="C2A5C5B"/>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326">
    <w:nsid w:val="5F94DC03"/>
    <w:multiLevelType w:val="hybridMultilevel"/>
    <w:lvl w:ilvl="0">
      <w:lvlJc w:val="left"/>
      <w:lvlText w:val="%1."/>
      <w:numFmt w:val="decimal"/>
      <w:start w:val="14"/>
    </w:lvl>
    <w:lvl w:ilvl="1">
      <w:lvlJc w:val="left"/>
      <w:lvlText w:val="%2"/>
      <w:numFmt w:val="lowerLetter"/>
      <w:start w:val="1"/>
    </w:lvl>
    <w:lvl w:ilvl="2">
      <w:lvlJc w:val="left"/>
      <w:lvlText w:val="%3"/>
      <w:numFmt w:val="upperLetter"/>
      <w:start w:val="1"/>
    </w:lvl>
  </w:abstractNum>
  <w:abstractNum w:abstractNumId="327">
    <w:nsid w:val="237BBCA0"/>
    <w:multiLevelType w:val="hybridMultilevel"/>
    <w:lvl w:ilvl="0">
      <w:lvlJc w:val="left"/>
      <w:lvlText w:val="•"/>
      <w:numFmt w:val="bullet"/>
      <w:start w:val="1"/>
    </w:lvl>
  </w:abstractNum>
  <w:abstractNum w:abstractNumId="328">
    <w:nsid w:val="162EB70D"/>
    <w:multiLevelType w:val="hybridMultilevel"/>
    <w:lvl w:ilvl="0">
      <w:lvlJc w:val="left"/>
      <w:lvlText w:val="%1."/>
      <w:numFmt w:val="decimal"/>
      <w:start w:val="1"/>
    </w:lvl>
  </w:abstractNum>
  <w:abstractNum w:abstractNumId="329">
    <w:nsid w:val="78070222"/>
    <w:multiLevelType w:val="hybridMultilevel"/>
    <w:lvl w:ilvl="0">
      <w:lvlJc w:val="left"/>
      <w:lvlText w:val="%1."/>
      <w:numFmt w:val="decimal"/>
      <w:start w:val="2"/>
    </w:lvl>
  </w:abstractNum>
  <w:abstractNum w:abstractNumId="330">
    <w:nsid w:val="6163ED0D"/>
    <w:multiLevelType w:val="hybridMultilevel"/>
    <w:lvl w:ilvl="0">
      <w:lvlJc w:val="left"/>
      <w:lvlText w:val="%1."/>
      <w:numFmt w:val="decimal"/>
      <w:start w:val="3"/>
    </w:lvl>
    <w:lvl w:ilvl="1">
      <w:lvlJc w:val="left"/>
      <w:lvlText w:val="%2."/>
      <w:numFmt w:val="lowerLetter"/>
      <w:start w:val="1"/>
    </w:lvl>
  </w:abstractNum>
  <w:abstractNum w:abstractNumId="331">
    <w:nsid w:val="C600E47"/>
    <w:multiLevelType w:val="hybridMultilevel"/>
    <w:lvl w:ilvl="0">
      <w:lvlJc w:val="left"/>
      <w:lvlText w:val="%1."/>
      <w:numFmt w:val="lowerLetter"/>
      <w:start w:val="5"/>
    </w:lvl>
  </w:abstractNum>
  <w:abstractNum w:abstractNumId="332">
    <w:nsid w:val="7D94F75D"/>
    <w:multiLevelType w:val="hybridMultilevel"/>
    <w:lvl w:ilvl="0">
      <w:lvlJc w:val="left"/>
      <w:lvlText w:val="%1."/>
      <w:numFmt w:val="lowerLetter"/>
      <w:start w:val="10"/>
    </w:lvl>
  </w:abstractNum>
  <w:abstractNum w:abstractNumId="333">
    <w:nsid w:val="6C31E7CD"/>
    <w:multiLevelType w:val="hybridMultilevel"/>
    <w:lvl w:ilvl="0">
      <w:lvlJc w:val="left"/>
      <w:lvlText w:val="%1."/>
      <w:numFmt w:val="decimal"/>
      <w:start w:val="4"/>
    </w:lvl>
  </w:abstractNum>
  <w:abstractNum w:abstractNumId="334">
    <w:nsid w:val="2BB7929B"/>
    <w:multiLevelType w:val="hybridMultilevel"/>
    <w:lvl w:ilvl="0">
      <w:lvlJc w:val="left"/>
      <w:lvlText w:val="%1."/>
      <w:numFmt w:val="decimal"/>
      <w:start w:val="5"/>
    </w:lvl>
  </w:abstractNum>
  <w:abstractNum w:abstractNumId="335">
    <w:nsid w:val="58A2A487"/>
    <w:multiLevelType w:val="hybridMultilevel"/>
    <w:lvl w:ilvl="0">
      <w:lvlJc w:val="left"/>
      <w:lvlText w:val="%1."/>
      <w:numFmt w:val="decimal"/>
      <w:start w:val="6"/>
    </w:lvl>
  </w:abstractNum>
  <w:abstractNum w:abstractNumId="336">
    <w:nsid w:val="3A6F0E78"/>
    <w:multiLevelType w:val="hybridMultilevel"/>
    <w:lvl w:ilvl="0">
      <w:lvlJc w:val="left"/>
      <w:lvlText w:val="%1."/>
      <w:numFmt w:val="lowerLetter"/>
      <w:start w:val="1"/>
    </w:lvl>
  </w:abstractNum>
  <w:abstractNum w:abstractNumId="337">
    <w:nsid w:val="379A5B56"/>
    <w:multiLevelType w:val="hybridMultilevel"/>
    <w:lvl w:ilvl="0">
      <w:lvlJc w:val="left"/>
      <w:lvlText w:val="%1."/>
      <w:numFmt w:val="decimal"/>
      <w:start w:val="7"/>
    </w:lvl>
  </w:abstractNum>
  <w:abstractNum w:abstractNumId="338">
    <w:nsid w:val="53B735D5"/>
    <w:multiLevelType w:val="hybridMultilevel"/>
    <w:lvl w:ilvl="0">
      <w:lvlJc w:val="left"/>
      <w:lvlText w:val="%1."/>
      <w:numFmt w:val="decimal"/>
      <w:start w:val="8"/>
    </w:lvl>
  </w:abstractNum>
  <w:abstractNum w:abstractNumId="339">
    <w:nsid w:val="29784870"/>
    <w:multiLevelType w:val="hybridMultilevel"/>
    <w:lvl w:ilvl="0">
      <w:lvlJc w:val="left"/>
      <w:lvlText w:val="%1."/>
      <w:numFmt w:val="decimal"/>
      <w:start w:val="9"/>
    </w:lvl>
  </w:abstractNum>
  <w:abstractNum w:abstractNumId="340">
    <w:nsid w:val="4CDCED4C"/>
    <w:multiLevelType w:val="hybridMultilevel"/>
    <w:lvl w:ilvl="0">
      <w:lvlJc w:val="left"/>
      <w:lvlText w:val="%1."/>
      <w:numFmt w:val="decimal"/>
      <w:start w:val="11"/>
    </w:lvl>
  </w:abstractNum>
  <w:abstractNum w:abstractNumId="341">
    <w:nsid w:val="10A30D9C"/>
    <w:multiLevelType w:val="hybridMultilevel"/>
    <w:lvl w:ilvl="0">
      <w:lvlJc w:val="left"/>
      <w:lvlText w:val="%1."/>
      <w:numFmt w:val="decimal"/>
      <w:start w:val="12"/>
    </w:lvl>
  </w:abstractNum>
  <w:abstractNum w:abstractNumId="342">
    <w:nsid w:val="A66E486"/>
    <w:multiLevelType w:val="hybridMultilevel"/>
    <w:lvl w:ilvl="0">
      <w:lvlJc w:val="left"/>
      <w:lvlText w:val="%1."/>
      <w:numFmt w:val="decimal"/>
      <w:start w:val="13"/>
    </w:lvl>
  </w:abstractNum>
  <w:abstractNum w:abstractNumId="343">
    <w:nsid w:val="306235EA"/>
    <w:multiLevelType w:val="hybridMultilevel"/>
    <w:lvl w:ilvl="0">
      <w:lvlJc w:val="left"/>
      <w:lvlText w:val="%1."/>
      <w:numFmt w:val="decimal"/>
      <w:start w:val="14"/>
    </w:lvl>
  </w:abstractNum>
  <w:abstractNum w:abstractNumId="344">
    <w:nsid w:val="1187C70F"/>
    <w:multiLevelType w:val="hybridMultilevel"/>
    <w:lvl w:ilvl="0">
      <w:lvlJc w:val="left"/>
      <w:lvlText w:val="%1"/>
      <w:numFmt w:val="lowerRoman"/>
      <w:start w:val="1"/>
    </w:lvl>
    <w:lvl w:ilvl="1">
      <w:lvlJc w:val="left"/>
      <w:lvlText w:val="%2."/>
      <w:numFmt w:val="decimal"/>
      <w:start w:val="1"/>
    </w:lvl>
  </w:abstractNum>
  <w:abstractNum w:abstractNumId="345">
    <w:nsid w:val="5476DE98"/>
    <w:multiLevelType w:val="hybridMultilevel"/>
    <w:lvl w:ilvl="0">
      <w:lvlJc w:val="left"/>
      <w:lvlText w:val="(%1)"/>
      <w:numFmt w:val="lowerRoman"/>
      <w:start w:val="2"/>
    </w:lvl>
    <w:lvl w:ilvl="1">
      <w:lvlJc w:val="left"/>
      <w:lvlText w:val="%2"/>
      <w:numFmt w:val="decimal"/>
      <w:start w:val="1"/>
    </w:lvl>
  </w:abstractNum>
  <w:abstractNum w:abstractNumId="346">
    <w:nsid w:val="EA697F2"/>
    <w:multiLevelType w:val="hybridMultilevel"/>
    <w:lvl w:ilvl="0">
      <w:lvlJc w:val="left"/>
      <w:lvlText w:val="%1."/>
      <w:numFmt w:val="decimal"/>
      <w:start w:val="2"/>
    </w:lvl>
    <w:lvl w:ilvl="1">
      <w:lvlJc w:val="left"/>
      <w:lvlText w:val="%2."/>
      <w:numFmt w:val="upperLetter"/>
      <w:start w:val="1"/>
    </w:lvl>
  </w:abstractNum>
  <w:abstractNum w:abstractNumId="347">
    <w:nsid w:val="70BA39EB"/>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348">
    <w:nsid w:val="4A8DB59C"/>
    <w:multiLevelType w:val="hybridMultilevel"/>
    <w:lvl w:ilvl="0">
      <w:lvlJc w:val="left"/>
      <w:lvlText w:val="%1)"/>
      <w:numFmt w:val="lowerRoman"/>
      <w:start w:val="2"/>
    </w:lvl>
  </w:abstractNum>
  <w:abstractNum w:abstractNumId="349">
    <w:nsid w:val="1AFD9053"/>
    <w:multiLevelType w:val="hybridMultilevel"/>
    <w:lvl w:ilvl="0">
      <w:lvlJc w:val="left"/>
      <w:lvlText w:val="(%1)"/>
      <w:numFmt w:val="lowerRoman"/>
      <w:start w:val="1"/>
    </w:lvl>
    <w:lvl w:ilvl="1">
      <w:lvlJc w:val="left"/>
      <w:lvlText w:val="-"/>
      <w:numFmt w:val="bullet"/>
      <w:start w:val="1"/>
    </w:lvl>
  </w:abstractNum>
  <w:abstractNum w:abstractNumId="350">
    <w:nsid w:val="558BB10D"/>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
      <w:numFmt w:val="bullet"/>
      <w:start w:val="1"/>
    </w:lvl>
  </w:abstractNum>
  <w:abstractNum w:abstractNumId="351">
    <w:nsid w:val="43B27FA7"/>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52">
    <w:nsid w:val="27FADEFA"/>
    <w:multiLevelType w:val="hybridMultilevel"/>
    <w:lvl w:ilvl="0">
      <w:lvlJc w:val="left"/>
      <w:lvlText w:val="%1."/>
      <w:numFmt w:val="decimal"/>
      <w:start w:val="7"/>
    </w:lvl>
    <w:lvl w:ilvl="1">
      <w:lvlJc w:val="left"/>
      <w:lvlText w:val="-"/>
      <w:numFmt w:val="bullet"/>
      <w:start w:val="1"/>
    </w:lvl>
  </w:abstractNum>
  <w:abstractNum w:abstractNumId="353">
    <w:nsid w:val="78BB805A"/>
    <w:multiLevelType w:val="hybridMultilevel"/>
    <w:lvl w:ilvl="0">
      <w:lvlJc w:val="left"/>
      <w:lvlText w:val="%1."/>
      <w:numFmt w:val="decimal"/>
      <w:start w:val="9"/>
    </w:lvl>
    <w:lvl w:ilvl="1">
      <w:lvlJc w:val="left"/>
      <w:lvlText w:val="-"/>
      <w:numFmt w:val="bullet"/>
      <w:start w:val="1"/>
    </w:lvl>
  </w:abstractNum>
  <w:abstractNum w:abstractNumId="354">
    <w:nsid w:val="62548FD8"/>
    <w:multiLevelType w:val="hybridMultilevel"/>
    <w:lvl w:ilvl="0">
      <w:lvlJc w:val="left"/>
      <w:lvlText w:val="%1."/>
      <w:numFmt w:val="decimal"/>
      <w:start w:val="1"/>
    </w:lvl>
  </w:abstractNum>
  <w:abstractNum w:abstractNumId="355">
    <w:nsid w:val="FA085B0"/>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lvl w:ilvl="3">
      <w:lvlJc w:val="left"/>
      <w:lvlText w:val="-"/>
      <w:numFmt w:val="bullet"/>
      <w:start w:val="1"/>
    </w:lvl>
  </w:abstractNum>
  <w:abstractNum w:abstractNumId="356">
    <w:nsid w:val="4E5DCB5"/>
    <w:multiLevelType w:val="hybridMultilevel"/>
    <w:lvl w:ilvl="0">
      <w:lvlJc w:val="left"/>
      <w:lvlText w:val="(%1)"/>
      <w:numFmt w:val="decimal"/>
      <w:start w:val="36"/>
    </w:lvl>
    <w:lvl w:ilvl="1">
      <w:lvlJc w:val="left"/>
      <w:lvlText w:val="%2."/>
      <w:numFmt w:val="decimal"/>
      <w:start w:val="3"/>
    </w:lvl>
    <w:lvl w:ilvl="2">
      <w:lvlJc w:val="left"/>
      <w:lvlText w:val="%3"/>
      <w:numFmt w:val="upperLetter"/>
      <w:start w:val="1"/>
    </w:lvl>
    <w:lvl w:ilvl="3">
      <w:lvlJc w:val="left"/>
      <w:lvlText w:val="-"/>
      <w:numFmt w:val="bullet"/>
      <w:start w:val="1"/>
    </w:lvl>
  </w:abstractNum>
  <w:abstractNum w:abstractNumId="357">
    <w:nsid w:val="41E96BDB"/>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358">
    <w:nsid w:val="331C4250"/>
    <w:multiLevelType w:val="hybridMultilevel"/>
    <w:lvl w:ilvl="0">
      <w:lvlJc w:val="left"/>
      <w:lvlText w:val="%1"/>
      <w:numFmt w:val="upperLetter"/>
      <w:start w:val="1"/>
    </w:lvl>
    <w:lvl w:ilvl="1">
      <w:lvlJc w:val="left"/>
      <w:lvlText w:val="(%2)"/>
      <w:numFmt w:val="lowerRoman"/>
      <w:start w:val="2"/>
    </w:lvl>
  </w:abstractNum>
  <w:abstractNum w:abstractNumId="359">
    <w:nsid w:val="1B1493C2"/>
    <w:multiLevelType w:val="hybridMultilevel"/>
    <w:lvl w:ilvl="0">
      <w:lvlJc w:val="left"/>
      <w:lvlText w:val="%1"/>
      <w:numFmt w:val="upperLetter"/>
      <w:start w:val="1"/>
    </w:lvl>
    <w:lvl w:ilvl="1">
      <w:lvlJc w:val="left"/>
      <w:lvlText w:val="(%2)"/>
      <w:numFmt w:val="lowerRoman"/>
      <w:start w:val="1"/>
    </w:lvl>
  </w:abstractNum>
  <w:abstractNum w:abstractNumId="360">
    <w:nsid w:val="39F06DFD"/>
    <w:multiLevelType w:val="hybridMultilevel"/>
    <w:lvl w:ilvl="0">
      <w:lvlJc w:val="left"/>
      <w:lvlText w:val="%1."/>
      <w:numFmt w:val="upperLetter"/>
      <w:start w:val="4"/>
    </w:lvl>
  </w:abstractNum>
  <w:abstractNum w:abstractNumId="361">
    <w:nsid w:val="14802F5D"/>
    <w:multiLevelType w:val="hybridMultilevel"/>
    <w:lvl w:ilvl="0">
      <w:lvlJc w:val="left"/>
      <w:lvlText w:val="(%1)"/>
      <w:numFmt w:val="decimal"/>
      <w:start w:val="60"/>
    </w:lvl>
  </w:abstractNum>
  <w:abstractNum w:abstractNumId="362">
    <w:nsid w:val="2774A209"/>
    <w:multiLevelType w:val="hybridMultilevel"/>
    <w:lvl w:ilvl="0">
      <w:lvlJc w:val="left"/>
      <w:lvlText w:val="%1."/>
      <w:numFmt w:val="decimal"/>
      <w:start w:val="7"/>
    </w:lvl>
    <w:lvl w:ilvl="1">
      <w:lvlJc w:val="left"/>
      <w:lvlText w:val="-"/>
      <w:numFmt w:val="bullet"/>
      <w:start w:val="1"/>
    </w:lvl>
  </w:abstractNum>
  <w:abstractNum w:abstractNumId="363">
    <w:nsid w:val="3785655A"/>
    <w:multiLevelType w:val="hybridMultilevel"/>
    <w:lvl w:ilvl="0">
      <w:lvlJc w:val="left"/>
      <w:lvlText w:val="%1."/>
      <w:numFmt w:val="decimal"/>
      <w:start w:val="11"/>
    </w:lvl>
    <w:lvl w:ilvl="1">
      <w:lvlJc w:val="left"/>
      <w:lvlText w:val="-"/>
      <w:numFmt w:val="bullet"/>
      <w:start w:val="1"/>
    </w:lvl>
  </w:abstractNum>
  <w:abstractNum w:abstractNumId="364">
    <w:nsid w:val="B2172A"/>
    <w:multiLevelType w:val="hybridMultilevel"/>
    <w:lvl w:ilvl="0">
      <w:lvlJc w:val="left"/>
      <w:lvlText w:val="•"/>
      <w:numFmt w:val="bullet"/>
      <w:start w:val="1"/>
    </w:lvl>
    <w:lvl w:ilvl="1">
      <w:lvlJc w:val="left"/>
      <w:lvlText w:val="-"/>
      <w:numFmt w:val="bullet"/>
      <w:start w:val="1"/>
    </w:lvl>
  </w:abstractNum>
  <w:abstractNum w:abstractNumId="365">
    <w:nsid w:val="532C34A5"/>
    <w:multiLevelType w:val="hybridMultilevel"/>
    <w:lvl w:ilvl="0">
      <w:lvlJc w:val="left"/>
      <w:lvlText w:val="%1."/>
      <w:numFmt w:val="decimal"/>
      <w:start w:val="1"/>
    </w:lvl>
    <w:lvl w:ilvl="1">
      <w:lvlJc w:val="left"/>
      <w:lvlText w:val="%2"/>
      <w:numFmt w:val="upperLetter"/>
      <w:start w:val="1"/>
    </w:lvl>
  </w:abstractNum>
  <w:abstractNum w:abstractNumId="366">
    <w:nsid w:val="102809E2"/>
    <w:multiLevelType w:val="hybridMultilevel"/>
    <w:lvl w:ilvl="0">
      <w:lvlJc w:val="left"/>
      <w:lvlText w:val="%1."/>
      <w:numFmt w:val="decimal"/>
      <w:start w:val="3"/>
    </w:lvl>
    <w:lvl w:ilvl="1">
      <w:lvlJc w:val="left"/>
      <w:lvlText w:val="-"/>
      <w:numFmt w:val="bullet"/>
      <w:start w:val="1"/>
    </w:lvl>
  </w:abstractNum>
  <w:abstractNum w:abstractNumId="367">
    <w:nsid w:val="3B2125A3"/>
    <w:multiLevelType w:val="hybridMultilevel"/>
    <w:lvl w:ilvl="0">
      <w:lvlJc w:val="left"/>
      <w:lvlText w:val="%1."/>
      <w:numFmt w:val="decimal"/>
      <w:start w:val="6"/>
    </w:lvl>
    <w:lvl w:ilvl="1">
      <w:lvlJc w:val="left"/>
      <w:lvlText w:val="%2."/>
      <w:numFmt w:val="upperLetter"/>
      <w:start w:val="1"/>
    </w:lvl>
  </w:abstractNum>
  <w:abstractNum w:abstractNumId="368">
    <w:nsid w:val="AC68FFB"/>
    <w:multiLevelType w:val="hybridMultilevel"/>
    <w:lvl w:ilvl="0">
      <w:lvlJc w:val="left"/>
      <w:lvlText w:val="%1."/>
      <w:numFmt w:val="upperLetter"/>
      <w:start w:val="4"/>
    </w:lvl>
  </w:abstractNum>
  <w:abstractNum w:abstractNumId="369">
    <w:nsid w:val="63DF3FB7"/>
    <w:multiLevelType w:val="hybridMultilevel"/>
    <w:lvl w:ilvl="0">
      <w:lvlJc w:val="left"/>
      <w:lvlText w:val="(%1)"/>
      <w:numFmt w:val="lowerRoman"/>
      <w:start w:val="1"/>
    </w:lvl>
  </w:abstractNum>
  <w:abstractNum w:abstractNumId="370">
    <w:nsid w:val="64996E13"/>
    <w:multiLevelType w:val="hybridMultilevel"/>
    <w:lvl w:ilvl="0">
      <w:lvlJc w:val="left"/>
      <w:lvlText w:val="(%1)"/>
      <w:numFmt w:val="decimal"/>
      <w:start w:val="60"/>
    </w:lvl>
  </w:abstractNum>
  <w:abstractNum w:abstractNumId="371">
    <w:nsid w:val="57A37D47"/>
    <w:multiLevelType w:val="hybridMultilevel"/>
    <w:lvl w:ilvl="0">
      <w:lvlJc w:val="left"/>
      <w:lvlText w:val="%1."/>
      <w:numFmt w:val="decimal"/>
      <w:start w:val="7"/>
    </w:lvl>
    <w:lvl w:ilvl="1">
      <w:lvlJc w:val="left"/>
      <w:lvlText w:val="-"/>
      <w:numFmt w:val="bullet"/>
      <w:start w:val="1"/>
    </w:lvl>
  </w:abstractNum>
  <w:abstractNum w:abstractNumId="372">
    <w:nsid w:val="74824D54"/>
    <w:multiLevelType w:val="hybridMultilevel"/>
    <w:lvl w:ilvl="0">
      <w:lvlJc w:val="left"/>
      <w:lvlText w:val="%1."/>
      <w:numFmt w:val="decimal"/>
      <w:start w:val="10"/>
    </w:lvl>
    <w:lvl w:ilvl="1">
      <w:lvlJc w:val="left"/>
      <w:lvlText w:val="-"/>
      <w:numFmt w:val="bullet"/>
      <w:start w:val="1"/>
    </w:lvl>
  </w:abstractNum>
  <w:abstractNum w:abstractNumId="373">
    <w:nsid w:val="6F00529A"/>
    <w:multiLevelType w:val="hybridMultilevel"/>
    <w:lvl w:ilvl="0">
      <w:lvlJc w:val="left"/>
      <w:lvlText w:val="•"/>
      <w:numFmt w:val="bullet"/>
      <w:start w:val="1"/>
    </w:lvl>
    <w:lvl w:ilvl="1">
      <w:lvlJc w:val="left"/>
      <w:lvlText w:val="-"/>
      <w:numFmt w:val="bullet"/>
      <w:start w:val="1"/>
    </w:lvl>
  </w:abstractNum>
  <w:abstractNum w:abstractNumId="374">
    <w:nsid w:val="805B331"/>
    <w:multiLevelType w:val="hybridMultilevel"/>
    <w:lvl w:ilvl="0">
      <w:lvlJc w:val="left"/>
      <w:lvlText w:val="(%1)"/>
      <w:numFmt w:val="lowerLetter"/>
      <w:start w:val="1"/>
    </w:lvl>
  </w:abstractNum>
  <w:abstractNum w:abstractNumId="375">
    <w:nsid w:val="60A1463"/>
    <w:multiLevelType w:val="hybridMultilevel"/>
    <w:lvl w:ilvl="0">
      <w:lvlJc w:val="left"/>
      <w:lvlText w:val="(%1)"/>
      <w:numFmt w:val="lowerLetter"/>
      <w:start w:val="4"/>
    </w:lvl>
  </w:abstractNum>
  <w:abstractNum w:abstractNumId="376">
    <w:nsid w:val="43773132"/>
    <w:multiLevelType w:val="hybridMultilevel"/>
    <w:lvl w:ilvl="0">
      <w:lvlJc w:val="left"/>
      <w:lvlText w:val="(%1)"/>
      <w:numFmt w:val="lowerLetter"/>
      <w:start w:val="1"/>
    </w:lvl>
  </w:abstractNum>
  <w:abstractNum w:abstractNumId="377">
    <w:nsid w:val="16AC4B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8">
    <w:nsid w:val="76C44E4E"/>
    <w:multiLevelType w:val="hybridMultilevel"/>
    <w:lvl w:ilvl="0">
      <w:lvlJc w:val="left"/>
      <w:lvlText w:val="%1"/>
      <w:numFmt w:val="lowerRoman"/>
      <w:start w:val="1"/>
    </w:lvl>
    <w:lvl w:ilvl="1">
      <w:lvlJc w:val="left"/>
      <w:lvlText w:val="(%2)"/>
      <w:numFmt w:val="upperLetter"/>
      <w:start w:val="2"/>
    </w:lvl>
  </w:abstractNum>
  <w:abstractNum w:abstractNumId="379">
    <w:nsid w:val="E04E6CE"/>
    <w:multiLevelType w:val="hybridMultilevel"/>
    <w:lvl w:ilvl="0">
      <w:lvlJc w:val="left"/>
      <w:lvlText w:val="(%1)"/>
      <w:numFmt w:val="lowerRoman"/>
      <w:start w:val="2"/>
    </w:lvl>
    <w:lvl w:ilvl="1">
      <w:lvlJc w:val="left"/>
      <w:lvlText w:val="(%2)"/>
      <w:numFmt w:val="upperLetter"/>
      <w:start w:val="1"/>
    </w:lvl>
  </w:abstractNum>
  <w:abstractNum w:abstractNumId="380">
    <w:nsid w:val="31A9DB76"/>
    <w:multiLevelType w:val="hybridMultilevel"/>
    <w:lvl w:ilvl="0">
      <w:lvlJc w:val="left"/>
      <w:lvlText w:val="(%1)"/>
      <w:numFmt w:val="lowerRoman"/>
      <w:start w:val="3"/>
    </w:lvl>
  </w:abstractNum>
  <w:abstractNum w:abstractNumId="381">
    <w:nsid w:val="4C4FFF5B"/>
    <w:multiLevelType w:val="hybridMultilevel"/>
    <w:lvl w:ilvl="0">
      <w:lvlJc w:val="left"/>
      <w:lvlText w:val="%1"/>
      <w:numFmt w:val="lowerLetter"/>
      <w:start w:val="1"/>
    </w:lvl>
    <w:lvl w:ilvl="1">
      <w:lvlJc w:val="left"/>
      <w:lvlText w:val="(%2)"/>
      <w:numFmt w:val="lowerRoman"/>
      <w:start w:val="4"/>
    </w:lvl>
  </w:abstractNum>
  <w:abstractNum w:abstractNumId="382">
    <w:nsid w:val="51B76675"/>
    <w:multiLevelType w:val="hybridMultilevel"/>
    <w:lvl w:ilvl="0">
      <w:lvlJc w:val="left"/>
      <w:lvlText w:val="(%1)"/>
      <w:numFmt w:val="lowerLetter"/>
      <w:start w:val="3"/>
    </w:lvl>
    <w:lvl w:ilvl="1">
      <w:lvlJc w:val="left"/>
      <w:lvlText w:val="(%2)"/>
      <w:numFmt w:val="lowerRoman"/>
      <w:start w:val="1"/>
    </w:lvl>
  </w:abstractNum>
  <w:abstractNum w:abstractNumId="383">
    <w:nsid w:val="59A4BA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4">
    <w:nsid w:val="450B7FB6"/>
    <w:multiLevelType w:val="hybridMultilevel"/>
    <w:lvl w:ilvl="0">
      <w:lvlJc w:val="left"/>
      <w:lvlText w:val="(%1)"/>
      <w:numFmt w:val="lowerLetter"/>
      <w:start w:val="3"/>
    </w:lvl>
    <w:lvl w:ilvl="1">
      <w:lvlJc w:val="left"/>
      <w:lvlText w:val="(%2)"/>
      <w:numFmt w:val="lowerRoman"/>
      <w:start w:val="1"/>
    </w:lvl>
  </w:abstractNum>
  <w:abstractNum w:abstractNumId="385">
    <w:nsid w:val="340BF64D"/>
    <w:multiLevelType w:val="hybridMultilevel"/>
    <w:lvl w:ilvl="0">
      <w:lvlJc w:val="left"/>
      <w:lvlText w:val="(%1)"/>
      <w:numFmt w:val="lowerLetter"/>
      <w:start w:val="1"/>
    </w:lvl>
  </w:abstractNum>
  <w:abstractNum w:abstractNumId="386">
    <w:nsid w:val="69454021"/>
    <w:multiLevelType w:val="hybridMultilevel"/>
    <w:lvl w:ilvl="0">
      <w:lvlJc w:val="left"/>
      <w:lvlText w:val="(%1)"/>
      <w:numFmt w:val="lowerLetter"/>
      <w:start w:val="1"/>
    </w:lvl>
  </w:abstractNum>
  <w:abstractNum w:abstractNumId="387">
    <w:nsid w:val="49F15C6B"/>
    <w:multiLevelType w:val="hybridMultilevel"/>
    <w:lvl w:ilvl="0">
      <w:lvlJc w:val="left"/>
      <w:lvlText w:val="(%1)"/>
      <w:numFmt w:val="lowerLetter"/>
      <w:start w:val="3"/>
    </w:lvl>
  </w:abstractNum>
  <w:abstractNum w:abstractNumId="388">
    <w:nsid w:val="75F56228"/>
    <w:multiLevelType w:val="hybridMultilevel"/>
    <w:lvl w:ilvl="0">
      <w:lvlJc w:val="left"/>
      <w:lvlText w:val="%1"/>
      <w:numFmt w:val="lowerLetter"/>
      <w:start w:val="1"/>
    </w:lvl>
    <w:lvl w:ilvl="1">
      <w:lvlJc w:val="left"/>
      <w:lvlText w:val="(%2)"/>
      <w:numFmt w:val="lowerLetter"/>
      <w:start w:val="1"/>
    </w:lvl>
  </w:abstractNum>
  <w:abstractNum w:abstractNumId="389">
    <w:nsid w:val="1C618271"/>
    <w:multiLevelType w:val="hybridMultilevel"/>
    <w:lvl w:ilvl="0">
      <w:lvlJc w:val="left"/>
      <w:lvlText w:val="(%1)"/>
      <w:numFmt w:val="lowerLetter"/>
      <w:start w:val="9"/>
    </w:lvl>
    <w:lvl w:ilvl="1">
      <w:lvlJc w:val="left"/>
      <w:lvlText w:val="%2"/>
      <w:numFmt w:val="lowerLetter"/>
      <w:start w:val="1"/>
    </w:lvl>
  </w:abstractNum>
  <w:abstractNum w:abstractNumId="390">
    <w:nsid w:val="6505F02E"/>
    <w:multiLevelType w:val="hybridMultilevel"/>
    <w:lvl w:ilvl="0">
      <w:lvlJc w:val="left"/>
      <w:lvlText w:val="(%1)"/>
      <w:numFmt w:val="lowerLetter"/>
      <w:start w:val="61"/>
    </w:lvl>
    <w:lvl w:ilvl="1">
      <w:lvlJc w:val="left"/>
      <w:lvlText w:val="(%2)"/>
      <w:numFmt w:val="lowerLetter"/>
      <w:start w:val="4"/>
    </w:lvl>
  </w:abstractNum>
  <w:abstractNum w:abstractNumId="391">
    <w:nsid w:val="2FE5D025"/>
    <w:multiLevelType w:val="hybridMultilevel"/>
    <w:lvl w:ilvl="0">
      <w:lvlJc w:val="left"/>
      <w:lvlText w:val="(%1)"/>
      <w:numFmt w:val="lowerLetter"/>
      <w:start w:val="5"/>
    </w:lvl>
  </w:abstractNum>
  <w:abstractNum w:abstractNumId="392">
    <w:nsid w:val="30E1B1CF"/>
    <w:multiLevelType w:val="hybridMultilevel"/>
    <w:lvl w:ilvl="0">
      <w:lvlJc w:val="left"/>
      <w:lvlText w:val="(%1)"/>
      <w:numFmt w:val="lowerLetter"/>
      <w:start w:val="1"/>
    </w:lvl>
  </w:abstractNum>
  <w:abstractNum w:abstractNumId="393">
    <w:nsid w:val="C7A9237"/>
    <w:multiLevelType w:val="hybridMultilevel"/>
    <w:lvl w:ilvl="0">
      <w:lvlJc w:val="left"/>
      <w:lvlText w:val="(%1)"/>
      <w:numFmt w:val="lowerLetter"/>
      <w:start w:val="1"/>
    </w:lvl>
  </w:abstractNum>
  <w:abstractNum w:abstractNumId="394">
    <w:nsid w:val="676B3580"/>
    <w:multiLevelType w:val="hybridMultilevel"/>
    <w:lvl w:ilvl="0">
      <w:lvlJc w:val="left"/>
      <w:lvlText w:val="(%1)"/>
      <w:numFmt w:val="lowerLetter"/>
      <w:start w:val="2"/>
    </w:lvl>
  </w:abstractNum>
  <w:abstractNum w:abstractNumId="395">
    <w:nsid w:val="3193C8F9"/>
    <w:multiLevelType w:val="hybridMultilevel"/>
    <w:lvl w:ilvl="0">
      <w:lvlJc w:val="left"/>
      <w:lvlText w:val="(%1)"/>
      <w:numFmt w:val="lowerLetter"/>
      <w:start w:val="1"/>
    </w:lvl>
  </w:abstractNum>
  <w:abstractNum w:abstractNumId="396">
    <w:nsid w:val="5FA6C6DC"/>
    <w:multiLevelType w:val="hybridMultilevel"/>
    <w:lvl w:ilvl="0">
      <w:lvlJc w:val="left"/>
      <w:lvlText w:val="(%1)"/>
      <w:numFmt w:val="lowerLetter"/>
      <w:start w:val="4"/>
    </w:lvl>
  </w:abstractNum>
  <w:abstractNum w:abstractNumId="397">
    <w:nsid w:val="77933F62"/>
    <w:multiLevelType w:val="hybridMultilevel"/>
    <w:lvl w:ilvl="0">
      <w:lvlJc w:val="left"/>
      <w:lvlText w:val="%1"/>
      <w:numFmt w:val="lowerLetter"/>
      <w:start w:val="1"/>
    </w:lvl>
    <w:lvl w:ilvl="1">
      <w:lvlJc w:val="left"/>
      <w:lvlText w:val="(%2)"/>
      <w:numFmt w:val="lowerLetter"/>
      <w:start w:val="1"/>
    </w:lvl>
  </w:abstractNum>
  <w:abstractNum w:abstractNumId="398">
    <w:nsid w:val="6CB4EE9C"/>
    <w:multiLevelType w:val="hybridMultilevel"/>
    <w:lvl w:ilvl="0">
      <w:lvlJc w:val="left"/>
      <w:lvlText w:val="(%1)"/>
      <w:numFmt w:val="lowerLetter"/>
      <w:start w:val="35"/>
    </w:lvl>
    <w:lvl w:ilvl="1">
      <w:lvlJc w:val="left"/>
      <w:lvlText w:val="%2"/>
      <w:numFmt w:val="lowerLetter"/>
      <w:start w:val="1"/>
    </w:lvl>
  </w:abstractNum>
  <w:abstractNum w:abstractNumId="399">
    <w:nsid w:val="6A6D56D7"/>
    <w:multiLevelType w:val="hybridMultilevel"/>
    <w:lvl w:ilvl="0">
      <w:lvlJc w:val="left"/>
      <w:lvlText w:val="(%1)"/>
      <w:numFmt w:val="lowerLetter"/>
      <w:start w:val="3"/>
    </w:lvl>
  </w:abstractNum>
  <w:abstractNum w:abstractNumId="400">
    <w:nsid w:val="5B727F19"/>
    <w:multiLevelType w:val="hybridMultilevel"/>
    <w:lvl w:ilvl="0">
      <w:lvlJc w:val="left"/>
      <w:lvlText w:val="(%1)"/>
      <w:numFmt w:val="lowerLetter"/>
      <w:start w:val="1"/>
    </w:lvl>
    <w:lvl w:ilvl="1">
      <w:lvlJc w:val="left"/>
      <w:lvlText w:val="(%2)"/>
      <w:numFmt w:val="lowerRoman"/>
      <w:start w:val="1"/>
    </w:lvl>
  </w:abstractNum>
  <w:abstractNum w:abstractNumId="401">
    <w:nsid w:val="514E5CB0"/>
    <w:multiLevelType w:val="hybridMultilevel"/>
    <w:lvl w:ilvl="0">
      <w:lvlJc w:val="left"/>
      <w:lvlText w:val="(%1)"/>
      <w:numFmt w:val="lowerLetter"/>
      <w:start w:val="1"/>
    </w:lvl>
  </w:abstractNum>
  <w:abstractNum w:abstractNumId="402">
    <w:nsid w:val="4210D41E"/>
    <w:multiLevelType w:val="hybridMultilevel"/>
    <w:lvl w:ilvl="0">
      <w:lvlJc w:val="left"/>
      <w:lvlText w:val="(%1)"/>
      <w:numFmt w:val="lowerLetter"/>
      <w:start w:val="1"/>
    </w:lvl>
  </w:abstractNum>
  <w:abstractNum w:abstractNumId="403">
    <w:nsid w:val="4FF4CC6D"/>
    <w:multiLevelType w:val="hybridMultilevel"/>
    <w:lvl w:ilvl="0">
      <w:lvlJc w:val="left"/>
      <w:lvlText w:val="(%1)"/>
      <w:numFmt w:val="lowerLetter"/>
      <w:start w:val="1"/>
    </w:lvl>
  </w:abstractNum>
  <w:abstractNum w:abstractNumId="404">
    <w:nsid w:val="404EAF4A"/>
    <w:multiLevelType w:val="hybridMultilevel"/>
    <w:lvl w:ilvl="0">
      <w:lvlJc w:val="left"/>
      <w:lvlText w:val="(%1)"/>
      <w:numFmt w:val="lowerLetter"/>
      <w:start w:val="2"/>
    </w:lvl>
  </w:abstractNum>
  <w:abstractNum w:abstractNumId="405">
    <w:nsid w:val="4A16874F"/>
    <w:multiLevelType w:val="hybridMultilevel"/>
    <w:lvl w:ilvl="0">
      <w:lvlJc w:val="left"/>
      <w:lvlText w:val="(%1)"/>
      <w:numFmt w:val="lowerLetter"/>
      <w:start w:val="1"/>
    </w:lvl>
  </w:abstractNum>
  <w:abstractNum w:abstractNumId="406">
    <w:nsid w:val="55FEE0D1"/>
    <w:multiLevelType w:val="hybridMultilevel"/>
    <w:lvl w:ilvl="0">
      <w:lvlJc w:val="left"/>
      <w:lvlText w:val="(%1)"/>
      <w:numFmt w:val="lowerLetter"/>
      <w:start w:val="1"/>
    </w:lvl>
  </w:abstractNum>
  <w:abstractNum w:abstractNumId="407">
    <w:nsid w:val="3C5E07C"/>
    <w:multiLevelType w:val="hybridMultilevel"/>
    <w:lvl w:ilvl="0">
      <w:lvlJc w:val="left"/>
      <w:lvlText w:val="(%1)"/>
      <w:numFmt w:val="lowerLetter"/>
      <w:start w:val="2"/>
    </w:lvl>
  </w:abstractNum>
  <w:abstractNum w:abstractNumId="408">
    <w:nsid w:val="60C2D273"/>
    <w:multiLevelType w:val="hybridMultilevel"/>
    <w:lvl w:ilvl="0">
      <w:lvlJc w:val="left"/>
      <w:lvlText w:val="%1"/>
      <w:numFmt w:val="lowerLetter"/>
      <w:start w:val="1"/>
    </w:lvl>
    <w:lvl w:ilvl="1">
      <w:lvlJc w:val="left"/>
      <w:lvlText w:val="(%2)"/>
      <w:numFmt w:val="lowerLetter"/>
      <w:start w:val="1"/>
    </w:lvl>
  </w:abstractNum>
  <w:abstractNum w:abstractNumId="409">
    <w:nsid w:val="4CC32F1F"/>
    <w:multiLevelType w:val="hybridMultilevel"/>
    <w:lvl w:ilvl="0">
      <w:lvlJc w:val="left"/>
      <w:lvlText w:val="(%1)"/>
      <w:numFmt w:val="lowerLetter"/>
      <w:start w:val="35"/>
    </w:lvl>
    <w:lvl w:ilvl="1">
      <w:lvlJc w:val="left"/>
      <w:lvlText w:val="%2"/>
      <w:numFmt w:val="lowerLetter"/>
      <w:start w:val="1"/>
    </w:lvl>
  </w:abstractNum>
  <w:abstractNum w:abstractNumId="410">
    <w:nsid w:val="11CAC74A"/>
    <w:multiLevelType w:val="hybridMultilevel"/>
    <w:lvl w:ilvl="0">
      <w:lvlJc w:val="left"/>
      <w:lvlText w:val="(%1)"/>
      <w:numFmt w:val="lowerLetter"/>
      <w:start w:val="2"/>
    </w:lvl>
  </w:abstractNum>
  <w:abstractNum w:abstractNumId="411">
    <w:nsid w:val="126CADE9"/>
    <w:multiLevelType w:val="hybridMultilevel"/>
    <w:lvl w:ilvl="0">
      <w:lvlJc w:val="left"/>
      <w:lvlText w:val="(%1)"/>
      <w:numFmt w:val="lowerLetter"/>
      <w:start w:val="1"/>
    </w:lvl>
  </w:abstractNum>
  <w:abstractNum w:abstractNumId="412">
    <w:nsid w:val="19132E7B"/>
    <w:multiLevelType w:val="hybridMultilevel"/>
    <w:lvl w:ilvl="0">
      <w:lvlJc w:val="left"/>
      <w:lvlText w:val="(%1)"/>
      <w:numFmt w:val="lowerLetter"/>
      <w:start w:val="1"/>
    </w:lvl>
  </w:abstractNum>
  <w:abstractNum w:abstractNumId="413">
    <w:nsid w:val="63822DC0"/>
    <w:multiLevelType w:val="hybridMultilevel"/>
    <w:lvl w:ilvl="0">
      <w:lvlJc w:val="left"/>
      <w:lvlText w:val="(%1)"/>
      <w:numFmt w:val="lowerRoman"/>
      <w:start w:val="2"/>
    </w:lvl>
  </w:abstractNum>
  <w:abstractNum w:abstractNumId="414">
    <w:nsid w:val="6C11685A"/>
    <w:multiLevelType w:val="hybridMultilevel"/>
    <w:lvl w:ilvl="0">
      <w:lvlJc w:val="left"/>
      <w:lvlText w:val="(%1)"/>
      <w:numFmt w:val="lowerRoman"/>
      <w:start w:val="2"/>
    </w:lvl>
  </w:abstractNum>
  <w:abstractNum w:abstractNumId="415">
    <w:nsid w:val="5E1EAE31"/>
    <w:multiLevelType w:val="hybridMultilevel"/>
    <w:lvl w:ilvl="0">
      <w:lvlJc w:val="left"/>
      <w:lvlText w:val="(%1)"/>
      <w:numFmt w:val="lowerLetter"/>
      <w:start w:val="2"/>
    </w:lvl>
  </w:abstractNum>
  <w:abstractNum w:abstractNumId="416">
    <w:nsid w:val="178E240D"/>
    <w:multiLevelType w:val="hybridMultilevel"/>
    <w:lvl w:ilvl="0">
      <w:lvlJc w:val="left"/>
      <w:lvlText w:val="(%1)"/>
      <w:numFmt w:val="lowerLetter"/>
      <w:start w:val="12"/>
    </w:lvl>
  </w:abstractNum>
  <w:abstractNum w:abstractNumId="417">
    <w:nsid w:val="5556A87B"/>
    <w:multiLevelType w:val="hybridMultilevel"/>
    <w:lvl w:ilvl="0">
      <w:lvlJc w:val="left"/>
      <w:lvlText w:val="(%1)"/>
      <w:numFmt w:val="lowerLetter"/>
      <w:start w:val="1"/>
    </w:lvl>
  </w:abstractNum>
  <w:abstractNum w:abstractNumId="418">
    <w:nsid w:val="28100A9C"/>
    <w:multiLevelType w:val="hybridMultilevel"/>
    <w:lvl w:ilvl="0">
      <w:lvlJc w:val="left"/>
      <w:lvlText w:val="(%1)"/>
      <w:numFmt w:val="lowerLetter"/>
      <w:start w:val="2"/>
    </w:lvl>
  </w:abstractNum>
  <w:abstractNum w:abstractNumId="419">
    <w:nsid w:val="D838636"/>
    <w:multiLevelType w:val="hybridMultilevel"/>
    <w:lvl w:ilvl="0">
      <w:lvlJc w:val="left"/>
      <w:lvlText w:val="(%1)"/>
      <w:numFmt w:val="lowerLetter"/>
      <w:start w:val="1"/>
    </w:lvl>
  </w:abstractNum>
  <w:abstractNum w:abstractNumId="420">
    <w:nsid w:val="71B82AED"/>
    <w:multiLevelType w:val="hybridMultilevel"/>
    <w:lvl w:ilvl="0">
      <w:lvlJc w:val="left"/>
      <w:lvlText w:val="%1."/>
      <w:numFmt w:val="decimal"/>
      <w:start w:val="1"/>
    </w:lvl>
    <w:lvl w:ilvl="1">
      <w:lvlJc w:val="left"/>
      <w:lvlText w:val="%2."/>
      <w:numFmt w:val="lowerLetter"/>
      <w:start w:val="1"/>
    </w:lvl>
  </w:abstractNum>
  <w:abstractNum w:abstractNumId="421">
    <w:nsid w:val="D15FACA"/>
    <w:multiLevelType w:val="hybridMultilevel"/>
    <w:lvl w:ilvl="0">
      <w:lvlJc w:val="left"/>
      <w:lvlText w:val="%1."/>
      <w:numFmt w:val="decimal"/>
      <w:start w:val="1"/>
    </w:lvl>
  </w:abstractNum>
  <w:abstractNum w:abstractNumId="422">
    <w:nsid w:val="3D69565B"/>
    <w:multiLevelType w:val="hybridMultilevel"/>
    <w:lvl w:ilvl="0">
      <w:lvlJc w:val="left"/>
      <w:lvlText w:val="%1."/>
      <w:numFmt w:val="upperLetter"/>
      <w:start w:val="1"/>
    </w:lvl>
  </w:abstractNum>
  <w:abstractNum w:abstractNumId="423">
    <w:nsid w:val="2299DCBC"/>
    <w:multiLevelType w:val="hybridMultilevel"/>
    <w:lvl w:ilvl="0">
      <w:lvlJc w:val="left"/>
      <w:lvlText w:val="%1."/>
      <w:numFmt w:val="decimal"/>
      <w:start w:val="1"/>
    </w:lvl>
  </w:abstractNum>
  <w:abstractNum w:abstractNumId="424">
    <w:nsid w:val="19908D02"/>
    <w:multiLevelType w:val="hybridMultilevel"/>
    <w:lvl w:ilvl="0">
      <w:lvlJc w:val="left"/>
      <w:lvlText w:val="(%1)"/>
      <w:numFmt w:val="lowerLetter"/>
      <w:start w:val="1"/>
    </w:lvl>
  </w:abstractNum>
  <w:abstractNum w:abstractNumId="425">
    <w:nsid w:val="24D48BDB"/>
    <w:multiLevelType w:val="hybridMultilevel"/>
    <w:lvl w:ilvl="0">
      <w:lvlJc w:val="left"/>
      <w:lvlText w:val="(%1)"/>
      <w:numFmt w:val="lowerLetter"/>
      <w:start w:val="1"/>
    </w:lvl>
  </w:abstractNum>
  <w:abstractNum w:abstractNumId="426">
    <w:nsid w:val="542DA5B5"/>
    <w:multiLevelType w:val="hybridMultilevel"/>
    <w:lvl w:ilvl="0">
      <w:lvlJc w:val="left"/>
      <w:lvlText w:val="(%1)"/>
      <w:numFmt w:val="lowerLetter"/>
      <w:start w:val="2"/>
    </w:lvl>
  </w:abstractNum>
  <w:abstractNum w:abstractNumId="427">
    <w:nsid w:val="793753DE"/>
    <w:multiLevelType w:val="hybridMultilevel"/>
    <w:lvl w:ilvl="0">
      <w:lvlJc w:val="left"/>
      <w:lvlText w:val="(%1)"/>
      <w:numFmt w:val="lowerLetter"/>
      <w:start w:val="9"/>
    </w:lvl>
    <w:lvl w:ilvl="1">
      <w:lvlJc w:val="left"/>
      <w:lvlText w:val="(%2)"/>
      <w:numFmt w:val="lowerLetter"/>
      <w:start w:val="1"/>
    </w:lvl>
  </w:abstractNum>
  <w:abstractNum w:abstractNumId="428">
    <w:nsid w:val="1C67CB3D"/>
    <w:multiLevelType w:val="hybridMultilevel"/>
    <w:lvl w:ilvl="0">
      <w:lvlJc w:val="left"/>
      <w:lvlText w:val="(%1)"/>
      <w:numFmt w:val="lowerRoman"/>
      <w:start w:val="2"/>
    </w:lvl>
  </w:abstractNum>
  <w:abstractNum w:abstractNumId="429">
    <w:nsid w:val="40E29452"/>
    <w:multiLevelType w:val="hybridMultilevel"/>
    <w:lvl w:ilvl="0">
      <w:lvlJc w:val="left"/>
      <w:lvlText w:val="(%1)"/>
      <w:numFmt w:val="lowerLetter"/>
      <w:start w:val="1"/>
    </w:lvl>
  </w:abstractNum>
  <w:abstractNum w:abstractNumId="430">
    <w:nsid w:val="63A4AAB6"/>
    <w:multiLevelType w:val="hybridMultilevel"/>
    <w:lvl w:ilvl="0">
      <w:lvlJc w:val="left"/>
      <w:lvlText w:val="(%1)"/>
      <w:numFmt w:val="lowerRoman"/>
      <w:start w:val="1"/>
    </w:lvl>
    <w:lvl w:ilvl="1">
      <w:lvlJc w:val="left"/>
      <w:lvlText w:val="%2."/>
      <w:numFmt w:val="lowerLetter"/>
      <w:start w:val="1"/>
    </w:lvl>
  </w:abstractNum>
  <w:abstractNum w:abstractNumId="431">
    <w:nsid w:val="77DA4A57"/>
    <w:multiLevelType w:val="hybridMultilevel"/>
    <w:lvl w:ilvl="0">
      <w:lvlJc w:val="left"/>
      <w:lvlText w:val="(%1)"/>
      <w:numFmt w:val="lowerLetter"/>
      <w:start w:val="1"/>
    </w:lvl>
    <w:lvl w:ilvl="1">
      <w:lvlJc w:val="left"/>
      <w:lvlText w:val="(%2)"/>
      <w:numFmt w:val="decimal"/>
      <w:start w:val="1"/>
    </w:lvl>
  </w:abstractNum>
  <w:abstractNum w:abstractNumId="432">
    <w:nsid w:val="1230F102"/>
    <w:multiLevelType w:val="hybridMultilevel"/>
    <w:lvl w:ilvl="0">
      <w:lvlJc w:val="left"/>
      <w:lvlText w:val="(%1)"/>
      <w:numFmt w:val="lowerLetter"/>
      <w:start w:val="3"/>
    </w:lvl>
  </w:abstractNum>
  <w:abstractNum w:abstractNumId="433">
    <w:nsid w:val="25B57ED4"/>
    <w:multiLevelType w:val="hybridMultilevel"/>
    <w:lvl w:ilvl="0">
      <w:lvlJc w:val="left"/>
      <w:lvlText w:val="%1."/>
      <w:numFmt w:val="decimal"/>
      <w:start w:val="2"/>
    </w:lvl>
  </w:abstractNum>
  <w:abstractNum w:abstractNumId="434">
    <w:nsid w:val="47CF16C4"/>
    <w:multiLevelType w:val="hybridMultilevel"/>
    <w:lvl w:ilvl="0">
      <w:lvlJc w:val="left"/>
      <w:lvlText w:val="%1."/>
      <w:numFmt w:val="decimal"/>
      <w:start w:val="3"/>
    </w:lvl>
  </w:abstractNum>
  <w:abstractNum w:abstractNumId="435">
    <w:nsid w:val="527FA04C"/>
    <w:multiLevelType w:val="hybridMultilevel"/>
    <w:lvl w:ilvl="0">
      <w:lvlJc w:val="left"/>
      <w:lvlText w:val="(%1)"/>
      <w:numFmt w:val="lowerLetter"/>
      <w:start w:val="1"/>
    </w:lvl>
  </w:abstractNum>
  <w:abstractNum w:abstractNumId="436">
    <w:nsid w:val="6FCC0624"/>
    <w:multiLevelType w:val="hybridMultilevel"/>
    <w:lvl w:ilvl="0">
      <w:lvlJc w:val="left"/>
      <w:lvlText w:val="(%1)"/>
      <w:numFmt w:val="lowerLetter"/>
      <w:start w:val="1"/>
    </w:lvl>
  </w:abstractNum>
  <w:abstractNum w:abstractNumId="437">
    <w:nsid w:val="1DCDF795"/>
    <w:multiLevelType w:val="hybridMultilevel"/>
    <w:lvl w:ilvl="0">
      <w:lvlJc w:val="left"/>
      <w:lvlText w:val="(%1)"/>
      <w:numFmt w:val="lowerLetter"/>
      <w:start w:val="1"/>
    </w:lvl>
  </w:abstractNum>
  <w:abstractNum w:abstractNumId="438">
    <w:nsid w:val="564580C8"/>
    <w:multiLevelType w:val="hybridMultilevel"/>
    <w:lvl w:ilvl="0">
      <w:lvlJc w:val="left"/>
      <w:lvlText w:val="%1."/>
      <w:numFmt w:val="decimal"/>
      <w:start w:val="4"/>
    </w:lvl>
  </w:abstractNum>
  <w:abstractNum w:abstractNumId="439">
    <w:nsid w:val="508ED897"/>
    <w:multiLevelType w:val="hybridMultilevel"/>
    <w:lvl w:ilvl="0">
      <w:lvlJc w:val="left"/>
      <w:lvlText w:val="(%1)"/>
      <w:numFmt w:val="lowerLetter"/>
      <w:start w:val="1"/>
    </w:lvl>
  </w:abstractNum>
  <w:abstractNum w:abstractNumId="440">
    <w:nsid w:val="6A9126B5"/>
    <w:multiLevelType w:val="hybridMultilevel"/>
    <w:lvl w:ilvl="0">
      <w:lvlJc w:val="left"/>
      <w:lvlText w:val="%1."/>
      <w:numFmt w:val="decimal"/>
      <w:start w:val="5"/>
    </w:lvl>
  </w:abstractNum>
  <w:abstractNum w:abstractNumId="441">
    <w:nsid w:val="68104812"/>
    <w:multiLevelType w:val="hybridMultilevel"/>
    <w:lvl w:ilvl="0">
      <w:lvlJc w:val="left"/>
      <w:lvlText w:val="(%1)"/>
      <w:numFmt w:val="lowerLetter"/>
      <w:start w:val="1"/>
    </w:lvl>
  </w:abstractNum>
  <w:abstractNum w:abstractNumId="442">
    <w:nsid w:val="62FB8680"/>
    <w:multiLevelType w:val="hybridMultilevel"/>
    <w:lvl w:ilvl="0">
      <w:lvlJc w:val="left"/>
      <w:lvlText w:val="(%1)"/>
      <w:numFmt w:val="lowerLetter"/>
      <w:start w:val="1"/>
    </w:lvl>
  </w:abstractNum>
  <w:abstractNum w:abstractNumId="443">
    <w:nsid w:val="3A45530"/>
    <w:multiLevelType w:val="hybridMultilevel"/>
    <w:lvl w:ilvl="0">
      <w:lvlJc w:val="left"/>
      <w:lvlText w:val="(%1)"/>
      <w:numFmt w:val="lowerLetter"/>
      <w:start w:val="1"/>
    </w:lvl>
  </w:abstractNum>
  <w:abstractNum w:abstractNumId="444">
    <w:nsid w:val="4B9275D2"/>
    <w:multiLevelType w:val="hybridMultilevel"/>
    <w:lvl w:ilvl="0">
      <w:lvlJc w:val="left"/>
      <w:lvlText w:val="(%1)"/>
      <w:numFmt w:val="lowerLetter"/>
      <w:start w:val="2"/>
    </w:lvl>
  </w:abstractNum>
  <w:abstractNum w:abstractNumId="445">
    <w:nsid w:val="4F0CEEDB"/>
    <w:multiLevelType w:val="hybridMultilevel"/>
    <w:lvl w:ilvl="0">
      <w:lvlJc w:val="left"/>
      <w:lvlText w:val="(%1)"/>
      <w:numFmt w:val="lowerLetter"/>
      <w:start w:val="1"/>
    </w:lvl>
  </w:abstractNum>
  <w:abstractNum w:abstractNumId="446">
    <w:nsid w:val="61C30361"/>
    <w:multiLevelType w:val="hybridMultilevel"/>
    <w:lvl w:ilvl="0">
      <w:lvlJc w:val="left"/>
      <w:lvlText w:val="%1."/>
      <w:numFmt w:val="decimal"/>
      <w:start w:val="6"/>
    </w:lvl>
  </w:abstractNum>
  <w:abstractNum w:abstractNumId="447">
    <w:nsid w:val="632099E0"/>
    <w:multiLevelType w:val="hybridMultilevel"/>
    <w:lvl w:ilvl="0">
      <w:lvlJc w:val="left"/>
      <w:lvlText w:val="(%1)"/>
      <w:numFmt w:val="lowerLetter"/>
      <w:start w:val="1"/>
    </w:lvl>
  </w:abstractNum>
  <w:abstractNum w:abstractNumId="448">
    <w:nsid w:val="24639756"/>
    <w:multiLevelType w:val="hybridMultilevel"/>
    <w:lvl w:ilvl="0">
      <w:lvlJc w:val="left"/>
      <w:lvlText w:val="%1."/>
      <w:numFmt w:val="decimal"/>
      <w:start w:val="7"/>
    </w:lvl>
  </w:abstractNum>
  <w:abstractNum w:abstractNumId="449">
    <w:nsid w:val="9D30DFD"/>
    <w:multiLevelType w:val="hybridMultilevel"/>
    <w:lvl w:ilvl="0">
      <w:lvlJc w:val="left"/>
      <w:lvlText w:val="(%1)"/>
      <w:numFmt w:val="lowerLetter"/>
      <w:start w:val="1"/>
    </w:lvl>
  </w:abstractNum>
  <w:abstractNum w:abstractNumId="450">
    <w:nsid w:val="70A42016"/>
    <w:multiLevelType w:val="hybridMultilevel"/>
    <w:lvl w:ilvl="0">
      <w:lvlJc w:val="left"/>
      <w:lvlText w:val="(%1)"/>
      <w:numFmt w:val="decimal"/>
      <w:start w:val="1"/>
    </w:lvl>
  </w:abstractNum>
  <w:abstractNum w:abstractNumId="451">
    <w:nsid w:val="161BC243"/>
    <w:multiLevelType w:val="hybridMultilevel"/>
    <w:lvl w:ilvl="0">
      <w:lvlJc w:val="left"/>
      <w:lvlText w:val="(%1)"/>
      <w:numFmt w:val="lowerLetter"/>
      <w:start w:val="2"/>
    </w:lvl>
  </w:abstractNum>
  <w:abstractNum w:abstractNumId="452">
    <w:nsid w:val="16E908C8"/>
    <w:multiLevelType w:val="hybridMultilevel"/>
    <w:lvl w:ilvl="0">
      <w:lvlJc w:val="left"/>
      <w:lvlText w:val="(%1)"/>
      <w:numFmt w:val="decimal"/>
      <w:start w:val="1"/>
    </w:lvl>
  </w:abstractNum>
  <w:abstractNum w:abstractNumId="453">
    <w:nsid w:val="2E0D7671"/>
    <w:multiLevelType w:val="hybridMultilevel"/>
    <w:lvl w:ilvl="0">
      <w:lvlJc w:val="left"/>
      <w:lvlText w:val="(%1)"/>
      <w:numFmt w:val="lowerLetter"/>
      <w:start w:val="1"/>
    </w:lvl>
  </w:abstractNum>
  <w:abstractNum w:abstractNumId="454">
    <w:nsid w:val="38B59EFF"/>
    <w:multiLevelType w:val="hybridMultilevel"/>
    <w:lvl w:ilvl="0">
      <w:lvlJc w:val="left"/>
      <w:lvlText w:val="(%1)"/>
      <w:numFmt w:val="lowerLetter"/>
      <w:start w:val="1"/>
    </w:lvl>
  </w:abstractNum>
  <w:abstractNum w:abstractNumId="455">
    <w:nsid w:val="307995CA"/>
    <w:multiLevelType w:val="hybridMultilevel"/>
    <w:lvl w:ilvl="0">
      <w:lvlJc w:val="left"/>
      <w:lvlText w:val="(%1)"/>
      <w:numFmt w:val="lowerLetter"/>
      <w:start w:val="1"/>
    </w:lvl>
  </w:abstractNum>
  <w:abstractNum w:abstractNumId="456">
    <w:nsid w:val="52E2024D"/>
    <w:multiLevelType w:val="hybridMultilevel"/>
    <w:lvl w:ilvl="0">
      <w:lvlJc w:val="left"/>
      <w:lvlText w:val="%1"/>
      <w:numFmt w:val="decimal"/>
      <w:start w:val="1"/>
    </w:lvl>
    <w:lvl w:ilvl="1">
      <w:lvlJc w:val="left"/>
      <w:lvlText w:val="(%2)"/>
      <w:numFmt w:val="lowerLetter"/>
      <w:start w:val="1"/>
    </w:lvl>
  </w:abstractNum>
  <w:abstractNum w:abstractNumId="457">
    <w:nsid w:val="CE344B5"/>
    <w:multiLevelType w:val="hybridMultilevel"/>
    <w:lvl w:ilvl="0">
      <w:lvlJc w:val="left"/>
      <w:lvlText w:val="%1."/>
      <w:numFmt w:val="decimal"/>
      <w:start w:val="8"/>
    </w:lvl>
    <w:lvl w:ilvl="1">
      <w:lvlJc w:val="left"/>
      <w:lvlText w:val="%2"/>
      <w:numFmt w:val="lowerLetter"/>
      <w:start w:val="1"/>
    </w:lvl>
  </w:abstractNum>
  <w:abstractNum w:abstractNumId="458">
    <w:nsid w:val="29B0E9A8"/>
    <w:multiLevelType w:val="hybridMultilevel"/>
    <w:lvl w:ilvl="0">
      <w:lvlJc w:val="left"/>
      <w:lvlText w:val="(%1)"/>
      <w:numFmt w:val="lowerLetter"/>
      <w:start w:val="1"/>
    </w:lvl>
  </w:abstractNum>
  <w:abstractNum w:abstractNumId="459">
    <w:nsid w:val="6F49CD8A"/>
    <w:multiLevelType w:val="hybridMultilevel"/>
    <w:lvl w:ilvl="0">
      <w:lvlJc w:val="left"/>
      <w:lvlText w:val="(%1)"/>
      <w:numFmt w:val="lowerLetter"/>
      <w:start w:val="1"/>
    </w:lvl>
  </w:abstractNum>
  <w:abstractNum w:abstractNumId="460">
    <w:nsid w:val="4DC5D907"/>
    <w:multiLevelType w:val="hybridMultilevel"/>
    <w:lvl w:ilvl="0">
      <w:lvlJc w:val="left"/>
      <w:lvlText w:val="%1"/>
      <w:numFmt w:val="decimal"/>
      <w:start w:val="1"/>
    </w:lvl>
    <w:lvl w:ilvl="1">
      <w:lvlJc w:val="left"/>
      <w:lvlText w:val="(%2)"/>
      <w:numFmt w:val="lowerLetter"/>
      <w:start w:val="1"/>
    </w:lvl>
  </w:abstractNum>
  <w:abstractNum w:abstractNumId="461">
    <w:nsid w:val="D55945E"/>
    <w:multiLevelType w:val="hybridMultilevel"/>
    <w:lvl w:ilvl="0">
      <w:lvlJc w:val="left"/>
      <w:lvlText w:val="%1."/>
      <w:numFmt w:val="decimal"/>
      <w:start w:val="9"/>
    </w:lvl>
    <w:lvl w:ilvl="1">
      <w:lvlJc w:val="left"/>
      <w:lvlText w:val="(%2)"/>
      <w:numFmt w:val="lowerLetter"/>
      <w:start w:val="1"/>
    </w:lvl>
  </w:abstractNum>
  <w:abstractNum w:abstractNumId="462">
    <w:nsid w:val="672417E1"/>
    <w:multiLevelType w:val="hybridMultilevel"/>
    <w:lvl w:ilvl="0">
      <w:lvlJc w:val="left"/>
      <w:lvlText w:val="%1."/>
      <w:numFmt w:val="decimal"/>
      <w:start w:val="10"/>
    </w:lvl>
  </w:abstractNum>
  <w:abstractNum w:abstractNumId="463">
    <w:nsid w:val="5FF6CA09"/>
    <w:multiLevelType w:val="hybridMultilevel"/>
    <w:lvl w:ilvl="0">
      <w:lvlJc w:val="left"/>
      <w:lvlText w:val="(%1)"/>
      <w:numFmt w:val="lowerLetter"/>
      <w:start w:val="1"/>
    </w:lvl>
  </w:abstractNum>
  <w:abstractNum w:abstractNumId="464">
    <w:nsid w:val="330B1333"/>
    <w:multiLevelType w:val="hybridMultilevel"/>
    <w:lvl w:ilvl="0">
      <w:lvlJc w:val="left"/>
      <w:lvlText w:val="(%1)"/>
      <w:numFmt w:val="lowerLetter"/>
      <w:start w:val="1"/>
    </w:lvl>
  </w:abstractNum>
  <w:abstractNum w:abstractNumId="465">
    <w:nsid w:val="2EF32EA6"/>
    <w:multiLevelType w:val="hybridMultilevel"/>
    <w:lvl w:ilvl="0">
      <w:lvlJc w:val="left"/>
      <w:lvlText w:val="%1."/>
      <w:numFmt w:val="decimal"/>
      <w:start w:val="11"/>
    </w:lvl>
  </w:abstractNum>
  <w:abstractNum w:abstractNumId="466">
    <w:nsid w:val="32766A55"/>
    <w:multiLevelType w:val="hybridMultilevel"/>
    <w:lvl w:ilvl="0">
      <w:lvlJc w:val="left"/>
      <w:lvlText w:val="(%1)"/>
      <w:numFmt w:val="lowerLetter"/>
      <w:start w:val="1"/>
    </w:lvl>
    <w:lvl w:ilvl="1">
      <w:lvlJc w:val="left"/>
      <w:lvlText w:val="(%2)"/>
      <w:numFmt w:val="decimal"/>
      <w:start w:val="1"/>
    </w:lvl>
  </w:abstractNum>
  <w:abstractNum w:abstractNumId="467">
    <w:nsid w:val="22D71957"/>
    <w:multiLevelType w:val="hybridMultilevel"/>
    <w:lvl w:ilvl="0">
      <w:lvlJc w:val="left"/>
      <w:lvlText w:val="(%1)"/>
      <w:numFmt w:val="lowerLetter"/>
      <w:start w:val="2"/>
    </w:lvl>
  </w:abstractNum>
  <w:abstractNum w:abstractNumId="468">
    <w:nsid w:val="4CC1263B"/>
    <w:multiLevelType w:val="hybridMultilevel"/>
    <w:lvl w:ilvl="0">
      <w:lvlJc w:val="left"/>
      <w:lvlText w:val="%1."/>
      <w:numFmt w:val="decimal"/>
      <w:start w:val="12"/>
    </w:lvl>
  </w:abstractNum>
  <w:abstractNum w:abstractNumId="469">
    <w:nsid w:val="8BBEB1D"/>
    <w:multiLevelType w:val="hybridMultilevel"/>
    <w:lvl w:ilvl="0">
      <w:lvlJc w:val="left"/>
      <w:lvlText w:val="(%1)"/>
      <w:numFmt w:val="lowerLetter"/>
      <w:start w:val="1"/>
    </w:lvl>
  </w:abstractNum>
  <w:abstractNum w:abstractNumId="470">
    <w:nsid w:val="7365F1EE"/>
    <w:multiLevelType w:val="hybridMultilevel"/>
    <w:lvl w:ilvl="0">
      <w:lvlJc w:val="left"/>
      <w:lvlText w:val="(%1)"/>
      <w:numFmt w:val="lowerLetter"/>
      <w:start w:val="6"/>
    </w:lvl>
  </w:abstractNum>
  <w:abstractNum w:abstractNumId="471">
    <w:nsid w:val="37524CF0"/>
    <w:multiLevelType w:val="hybridMultilevel"/>
    <w:lvl w:ilvl="0">
      <w:lvlJc w:val="left"/>
      <w:lvlText w:val="(%1)"/>
      <w:numFmt w:val="lowerLetter"/>
      <w:start w:val="1"/>
    </w:lvl>
  </w:abstractNum>
  <w:abstractNum w:abstractNumId="472">
    <w:nsid w:val="70CC332F"/>
    <w:multiLevelType w:val="hybridMultilevel"/>
    <w:lvl w:ilvl="0">
      <w:lvlJc w:val="left"/>
      <w:lvlText w:val="%1."/>
      <w:numFmt w:val="decimal"/>
      <w:start w:val="13"/>
    </w:lvl>
  </w:abstractNum>
  <w:abstractNum w:abstractNumId="473">
    <w:nsid w:val="5661786E"/>
    <w:multiLevelType w:val="hybridMultilevel"/>
    <w:lvl w:ilvl="0">
      <w:lvlJc w:val="left"/>
      <w:lvlText w:val="(%1)"/>
      <w:numFmt w:val="lowerLetter"/>
      <w:start w:val="1"/>
    </w:lvl>
  </w:abstractNum>
  <w:abstractNum w:abstractNumId="474">
    <w:nsid w:val="3AF6A220"/>
    <w:multiLevelType w:val="hybridMultilevel"/>
    <w:lvl w:ilvl="0">
      <w:lvlJc w:val="left"/>
      <w:lvlText w:val="%1."/>
      <w:numFmt w:val="decimal"/>
      <w:start w:val="14"/>
    </w:lvl>
  </w:abstractNum>
  <w:abstractNum w:abstractNumId="475">
    <w:nsid w:val="3C5EA902"/>
    <w:multiLevelType w:val="hybridMultilevel"/>
    <w:lvl w:ilvl="0">
      <w:lvlJc w:val="left"/>
      <w:lvlText w:val="(%1)"/>
      <w:numFmt w:val="lowerLetter"/>
      <w:start w:val="1"/>
    </w:lvl>
  </w:abstractNum>
  <w:abstractNum w:abstractNumId="476">
    <w:nsid w:val="256E6749"/>
    <w:multiLevelType w:val="hybridMultilevel"/>
    <w:lvl w:ilvl="0">
      <w:lvlJc w:val="left"/>
      <w:lvlText w:val="(%1)"/>
      <w:numFmt w:val="lowerLetter"/>
      <w:start w:val="3"/>
    </w:lvl>
  </w:abstractNum>
  <w:abstractNum w:abstractNumId="477">
    <w:nsid w:val="1CB9A581"/>
    <w:multiLevelType w:val="hybridMultilevel"/>
    <w:lvl w:ilvl="0">
      <w:lvlJc w:val="left"/>
      <w:lvlText w:val="%1."/>
      <w:numFmt w:val="decimal"/>
      <w:start w:val="15"/>
    </w:lvl>
  </w:abstractNum>
  <w:abstractNum w:abstractNumId="478">
    <w:nsid w:val="1F7F42E2"/>
    <w:multiLevelType w:val="hybridMultilevel"/>
    <w:lvl w:ilvl="0">
      <w:lvlJc w:val="left"/>
      <w:lvlText w:val="%1."/>
      <w:numFmt w:val="decimal"/>
      <w:start w:val="16"/>
    </w:lvl>
  </w:abstractNum>
  <w:abstractNum w:abstractNumId="479">
    <w:nsid w:val="49D1FEA0"/>
    <w:multiLevelType w:val="hybridMultilevel"/>
    <w:lvl w:ilvl="0">
      <w:lvlJc w:val="left"/>
      <w:lvlText w:val="(%1)"/>
      <w:numFmt w:val="lowerLetter"/>
      <w:start w:val="1"/>
    </w:lvl>
  </w:abstractNum>
  <w:abstractNum w:abstractNumId="480">
    <w:nsid w:val="268CB37F"/>
    <w:multiLevelType w:val="hybridMultilevel"/>
    <w:lvl w:ilvl="0">
      <w:lvlJc w:val="left"/>
      <w:lvlText w:val="(%1)"/>
      <w:numFmt w:val="lowerLetter"/>
      <w:start w:val="1"/>
    </w:lvl>
  </w:abstractNum>
  <w:abstractNum w:abstractNumId="481">
    <w:nsid w:val="102362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2026-04-10T15:11:55Z</dcterms:created>
  <dcterms:modified xsi:type="dcterms:W3CDTF">2026-04-10T15:11:55Z</dcterms:modified>
</cp:coreProperties>
</file>