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Seaport Therapeutics,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Voting Common Stock, $0.001 par value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PureTech Health plc</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KINGDOM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16,685,013.00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16,685,013.00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16,685,013.00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31.2 %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PureTech Health LLC</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16,685,013.00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16,685,013.00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16,685,013.00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31.2 %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Limited Liability Company</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PureTech LYT, Inc.</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16,685,013.00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16,685,013.00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16,685,013.00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31.2 %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item1to9"/>
      <w:bookmarkStart w:id="19" w:name="item1to9"/>
      <w:bookmarkEnd w:id="19"/>
    </w:p>
    <w:tbl>
      <w:tblPr>
        <w:tblW w:w="10205" w:type="dxa"/>
        <w:jc w:val="left"/>
        <w:tblInd w:w="0" w:type="dxa"/>
        <w:tblLayout w:type="fixed"/>
        <w:tblCellMar>
          <w:top w:w="28" w:type="dxa"/>
          <w:left w:w="28" w:type="dxa"/>
          <w:bottom w:w="28" w:type="dxa"/>
          <w:right w:w="28" w:type="dxa"/>
        </w:tblCellMar>
      </w:tblPr>
      <w:tblGrid>
        <w:gridCol w:w="1144"/>
        <w:gridCol w:w="8906"/>
        <w:gridCol w:w="155"/>
      </w:tblGrid>
      <w:tr>
        <w:trPr/>
        <w:tc>
          <w:tcPr>
            <w:tcW w:w="1144" w:type="dxa"/>
            <w:tcBorders/>
            <w:vAlign w:val="center"/>
          </w:tcPr>
          <w:p>
            <w:pPr>
              <w:pStyle w:val="TableContents"/>
              <w:bidi w:val="0"/>
              <w:spacing w:before="0" w:after="283"/>
              <w:jc w:val="left"/>
              <w:rPr/>
            </w:pPr>
            <w:r>
              <w:rPr/>
              <w:t>Item 1.</w:t>
            </w:r>
          </w:p>
        </w:tc>
        <w:tc>
          <w:tcPr>
            <w:tcW w:w="8906"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(a)</w:t>
            </w:r>
          </w:p>
        </w:tc>
        <w:tc>
          <w:tcPr>
            <w:tcW w:w="8906" w:type="dxa"/>
            <w:tcBorders/>
            <w:vAlign w:val="center"/>
          </w:tcPr>
          <w:p>
            <w:pPr>
              <w:pStyle w:val="TableContents"/>
              <w:bidi w:val="0"/>
              <w:jc w:val="left"/>
              <w:rPr/>
            </w:pPr>
            <w:r>
              <w:rPr/>
              <w:t xml:space="preserve">Name of issuer: </w:t>
            </w:r>
          </w:p>
          <w:p>
            <w:pPr>
              <w:pStyle w:val="TableContents"/>
              <w:bidi w:val="0"/>
              <w:spacing w:before="0" w:after="0"/>
              <w:jc w:val="left"/>
              <w:rPr/>
            </w:pPr>
            <w:r>
              <w:rPr/>
              <w:t>Seaport Therapeutics, Inc.</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(b)</w:t>
            </w:r>
          </w:p>
        </w:tc>
        <w:tc>
          <w:tcPr>
            <w:tcW w:w="8906"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101 Seaport Blvd., Floor 12, Boston MA 02210</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Item 2.</w:t>
            </w:r>
          </w:p>
        </w:tc>
        <w:tc>
          <w:tcPr>
            <w:tcW w:w="8906"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(a)</w:t>
            </w:r>
          </w:p>
        </w:tc>
        <w:tc>
          <w:tcPr>
            <w:tcW w:w="8906" w:type="dxa"/>
            <w:tcBorders/>
            <w:vAlign w:val="center"/>
          </w:tcPr>
          <w:p>
            <w:pPr>
              <w:pStyle w:val="TableContents"/>
              <w:bidi w:val="0"/>
              <w:jc w:val="left"/>
              <w:rPr/>
            </w:pPr>
            <w:r>
              <w:rPr/>
              <w:t xml:space="preserve">Name of person filing: </w:t>
            </w:r>
          </w:p>
          <w:p>
            <w:pPr>
              <w:pStyle w:val="TableContents"/>
              <w:bidi w:val="0"/>
              <w:spacing w:before="0" w:after="0"/>
              <w:jc w:val="left"/>
              <w:rPr/>
            </w:pPr>
            <w:r>
              <w:rPr/>
              <w:t>Each of the following is hereinafter individually referred to as a "Reporting Person" and collectively as the "Reporting Persons." This statement is filed on behalf of: PureTech Health plc, PureTech Health LLC and PureTech LYT, Inc.</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(b)</w:t>
            </w:r>
          </w:p>
        </w:tc>
        <w:tc>
          <w:tcPr>
            <w:tcW w:w="8906"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The principal business address of each of the Reporting Persons is 6 Tide Street, Suite 400, Boston, MA 02210</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(c)</w:t>
            </w:r>
          </w:p>
        </w:tc>
        <w:tc>
          <w:tcPr>
            <w:tcW w:w="8906" w:type="dxa"/>
            <w:tcBorders/>
            <w:vAlign w:val="center"/>
          </w:tcPr>
          <w:p>
            <w:pPr>
              <w:pStyle w:val="TableContents"/>
              <w:bidi w:val="0"/>
              <w:jc w:val="left"/>
              <w:rPr/>
            </w:pPr>
            <w:r>
              <w:rPr/>
              <w:t xml:space="preserve">Citizenship: </w:t>
            </w:r>
          </w:p>
          <w:p>
            <w:pPr>
              <w:pStyle w:val="TableContents"/>
              <w:bidi w:val="0"/>
              <w:spacing w:before="0" w:after="0"/>
              <w:jc w:val="left"/>
              <w:rPr/>
            </w:pPr>
            <w:r>
              <w:rPr/>
              <w:t>PureTech Health plc is a public limited company organized under the laws of the United Kindom. PureTech Health LLC is a limited liability company and PureTech LYT, Inc. is a corporation, both organized under the laws of the State of Delaware.</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(d)</w:t>
            </w:r>
          </w:p>
        </w:tc>
        <w:tc>
          <w:tcPr>
            <w:tcW w:w="8906"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Voting Common Stock, $0.001 par value per share</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(e)</w:t>
            </w:r>
          </w:p>
        </w:tc>
        <w:tc>
          <w:tcPr>
            <w:tcW w:w="8906"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Item 3.</w:t>
            </w:r>
          </w:p>
        </w:tc>
        <w:tc>
          <w:tcPr>
            <w:tcW w:w="8906"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(a)</w:t>
            </w:r>
          </w:p>
        </w:tc>
        <w:tc>
          <w:tcPr>
            <w:tcW w:w="8906"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(b)</w:t>
            </w:r>
          </w:p>
        </w:tc>
        <w:tc>
          <w:tcPr>
            <w:tcW w:w="8906"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(c)</w:t>
            </w:r>
          </w:p>
        </w:tc>
        <w:tc>
          <w:tcPr>
            <w:tcW w:w="8906"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(d)</w:t>
            </w:r>
          </w:p>
        </w:tc>
        <w:tc>
          <w:tcPr>
            <w:tcW w:w="8906"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(e)</w:t>
            </w:r>
          </w:p>
        </w:tc>
        <w:tc>
          <w:tcPr>
            <w:tcW w:w="8906"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(f)</w:t>
            </w:r>
          </w:p>
        </w:tc>
        <w:tc>
          <w:tcPr>
            <w:tcW w:w="8906"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(g)</w:t>
            </w:r>
          </w:p>
        </w:tc>
        <w:tc>
          <w:tcPr>
            <w:tcW w:w="8906"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(h)</w:t>
            </w:r>
          </w:p>
        </w:tc>
        <w:tc>
          <w:tcPr>
            <w:tcW w:w="8906"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(i)</w:t>
            </w:r>
          </w:p>
        </w:tc>
        <w:tc>
          <w:tcPr>
            <w:tcW w:w="8906"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(j)</w:t>
            </w:r>
          </w:p>
        </w:tc>
        <w:tc>
          <w:tcPr>
            <w:tcW w:w="8906"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(k)</w:t>
            </w:r>
          </w:p>
        </w:tc>
        <w:tc>
          <w:tcPr>
            <w:tcW w:w="8906"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 </w:t>
            </w:r>
          </w:p>
        </w:tc>
        <w:tc>
          <w:tcPr>
            <w:tcW w:w="9061" w:type="dxa"/>
            <w:gridSpan w:val="2"/>
            <w:tcBorders/>
            <w:vAlign w:val="center"/>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Item 4.</w:t>
            </w:r>
          </w:p>
        </w:tc>
        <w:tc>
          <w:tcPr>
            <w:tcW w:w="8906"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(a)</w:t>
            </w:r>
          </w:p>
        </w:tc>
        <w:tc>
          <w:tcPr>
            <w:tcW w:w="8906"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The ownership information presented below represents beneficial ownership of the shares of Voting Common Stock (the "Common Stock") as of June 30, 2026, based upon 53,530,550 shares of Common Stock outstanding as of July 27, 2026, as disclosed in the Issuer's Quarterly Report on Form 10-Q filed with the Securities and Exchange Commission on August 3, 2026. PureTech LYT, Inc. is the record holder of the Common Stock reported herein. PureTech Health LLC is the sole owner of PureTech LYT, Inc., and PureTech Health plc is the sole member of PureTech Health LLC, and has the power to direct the voting and disposition of securities held by PureTech LYT, Inc. and PureTech Health LLC. As such, PureTech Health LLC and PureTech Health plc may be deemed to beneficially own all of the shares of Common Stock held directly by PureTech LYT, Inc.</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(b)</w:t>
            </w:r>
          </w:p>
        </w:tc>
        <w:tc>
          <w:tcPr>
            <w:tcW w:w="8906"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31.2%  % </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(c)</w:t>
            </w:r>
          </w:p>
        </w:tc>
        <w:tc>
          <w:tcPr>
            <w:tcW w:w="8906"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 </w:t>
            </w:r>
          </w:p>
        </w:tc>
        <w:tc>
          <w:tcPr>
            <w:tcW w:w="8906"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 </w:t>
            </w:r>
          </w:p>
        </w:tc>
        <w:tc>
          <w:tcPr>
            <w:tcW w:w="8906"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16,685,013</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 </w:t>
            </w:r>
          </w:p>
        </w:tc>
        <w:tc>
          <w:tcPr>
            <w:tcW w:w="8906"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 </w:t>
            </w:r>
          </w:p>
        </w:tc>
        <w:tc>
          <w:tcPr>
            <w:tcW w:w="8906"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16,685,013</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Item 5.</w:t>
            </w:r>
          </w:p>
        </w:tc>
        <w:tc>
          <w:tcPr>
            <w:tcW w:w="8906"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 </w:t>
            </w:r>
          </w:p>
        </w:tc>
        <w:tc>
          <w:tcPr>
            <w:tcW w:w="8906"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Item 6.</w:t>
            </w:r>
          </w:p>
        </w:tc>
        <w:tc>
          <w:tcPr>
            <w:tcW w:w="8906"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 </w:t>
            </w:r>
          </w:p>
        </w:tc>
        <w:tc>
          <w:tcPr>
            <w:tcW w:w="8906"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Item 7.</w:t>
            </w:r>
          </w:p>
        </w:tc>
        <w:tc>
          <w:tcPr>
            <w:tcW w:w="8906"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 </w:t>
            </w:r>
          </w:p>
        </w:tc>
        <w:tc>
          <w:tcPr>
            <w:tcW w:w="8906"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Item 8.</w:t>
            </w:r>
          </w:p>
        </w:tc>
        <w:tc>
          <w:tcPr>
            <w:tcW w:w="8906"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 </w:t>
            </w:r>
          </w:p>
        </w:tc>
        <w:tc>
          <w:tcPr>
            <w:tcW w:w="8906"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Item 9.</w:t>
            </w:r>
          </w:p>
        </w:tc>
        <w:tc>
          <w:tcPr>
            <w:tcW w:w="8906"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 </w:t>
            </w:r>
          </w:p>
        </w:tc>
        <w:tc>
          <w:tcPr>
            <w:tcW w:w="8906"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0" w:name="certifications"/>
      <w:bookmarkStart w:id="21" w:name="certifications"/>
      <w:bookmarkEnd w:id="21"/>
    </w:p>
    <w:tbl>
      <w:tblPr>
        <w:tblW w:w="10205" w:type="dxa"/>
        <w:jc w:val="left"/>
        <w:tblInd w:w="0" w:type="dxa"/>
        <w:tblLayout w:type="fixed"/>
        <w:tblCellMar>
          <w:top w:w="28" w:type="dxa"/>
          <w:left w:w="28" w:type="dxa"/>
          <w:bottom w:w="28" w:type="dxa"/>
          <w:right w:w="28" w:type="dxa"/>
        </w:tblCellMar>
      </w:tblPr>
      <w:tblGrid>
        <w:gridCol w:w="874"/>
        <w:gridCol w:w="9331"/>
      </w:tblGrid>
      <w:tr>
        <w:trPr/>
        <w:tc>
          <w:tcPr>
            <w:tcW w:w="874" w:type="dxa"/>
            <w:tcBorders/>
            <w:vAlign w:val="center"/>
          </w:tcPr>
          <w:p>
            <w:pPr>
              <w:pStyle w:val="TableContents"/>
              <w:bidi w:val="0"/>
              <w:spacing w:before="0" w:after="283"/>
              <w:jc w:val="left"/>
              <w:rPr/>
            </w:pPr>
            <w:r>
              <w:rPr/>
              <w:t>Item 10.</w:t>
            </w:r>
          </w:p>
        </w:tc>
        <w:tc>
          <w:tcPr>
            <w:tcW w:w="9331" w:type="dxa"/>
            <w:tcBorders/>
            <w:vAlign w:val="center"/>
          </w:tcPr>
          <w:p>
            <w:pPr>
              <w:pStyle w:val="TableContents"/>
              <w:bidi w:val="0"/>
              <w:spacing w:before="0" w:after="283"/>
              <w:jc w:val="left"/>
              <w:rPr/>
            </w:pPr>
            <w:r>
              <w:rPr/>
              <w:t>Certifications:</w:t>
            </w:r>
          </w:p>
        </w:tc>
      </w:tr>
      <w:tr>
        <w:trPr/>
        <w:tc>
          <w:tcPr>
            <w:tcW w:w="874" w:type="dxa"/>
            <w:tcBorders/>
            <w:vAlign w:val="center"/>
          </w:tcPr>
          <w:p>
            <w:pPr>
              <w:pStyle w:val="TableContents"/>
              <w:bidi w:val="0"/>
              <w:spacing w:before="0" w:after="283"/>
              <w:jc w:val="left"/>
              <w:rPr/>
            </w:pPr>
            <w:r>
              <w:rPr/>
              <w:t> </w:t>
            </w:r>
          </w:p>
        </w:tc>
        <w:tc>
          <w:tcPr>
            <w:tcW w:w="9331" w:type="dxa"/>
            <w:tcBorders/>
            <w:vAlign w:val="center"/>
          </w:tcPr>
          <w:p>
            <w:pPr>
              <w:pStyle w:val="TableContents"/>
              <w:bidi w:val="0"/>
              <w:spacing w:before="0" w:after="0"/>
              <w:jc w:val="left"/>
              <w:rPr/>
            </w:pPr>
            <w:r>
              <w:rPr/>
              <w:t xml:space="preserve">Not Applicable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2" w:name="signatureInfo"/>
      <w:bookmarkStart w:id="23" w:name="signatureInfo"/>
      <w:bookmarkEnd w:id="23"/>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4472" w:type="dxa"/>
        <w:jc w:val="left"/>
        <w:tblInd w:w="0" w:type="dxa"/>
        <w:tblLayout w:type="fixed"/>
        <w:tblCellMar>
          <w:top w:w="28" w:type="dxa"/>
          <w:left w:w="28" w:type="dxa"/>
          <w:bottom w:w="28" w:type="dxa"/>
          <w:right w:w="28" w:type="dxa"/>
        </w:tblCellMar>
      </w:tblPr>
      <w:tblGrid>
        <w:gridCol w:w="2236"/>
        <w:gridCol w:w="2236"/>
      </w:tblGrid>
      <w:tr>
        <w:trPr/>
        <w:tc>
          <w:tcPr>
            <w:tcW w:w="2236" w:type="dxa"/>
            <w:tcBorders/>
            <w:vAlign w:val="center"/>
          </w:tcPr>
          <w:p>
            <w:pPr>
              <w:pStyle w:val="TableContents"/>
              <w:bidi w:val="0"/>
              <w:spacing w:before="0" w:after="0"/>
              <w:jc w:val="left"/>
              <w:rPr/>
            </w:pPr>
            <w:r>
              <w:rPr/>
              <w:t> </w:t>
            </w:r>
          </w:p>
          <w:tbl>
            <w:tblPr>
              <w:tblW w:w="2116" w:type="dxa"/>
              <w:jc w:val="left"/>
              <w:tblInd w:w="0" w:type="dxa"/>
              <w:tblLayout w:type="fixed"/>
              <w:tblCellMar>
                <w:top w:w="28" w:type="dxa"/>
                <w:left w:w="28" w:type="dxa"/>
                <w:bottom w:w="28" w:type="dxa"/>
                <w:right w:w="28" w:type="dxa"/>
              </w:tblCellMar>
            </w:tblPr>
            <w:tblGrid>
              <w:gridCol w:w="2116"/>
            </w:tblGrid>
            <w:tr>
              <w:trPr/>
              <w:tc>
                <w:tcPr>
                  <w:tcW w:w="2116" w:type="dxa"/>
                  <w:tcBorders/>
                  <w:vAlign w:val="center"/>
                </w:tcPr>
                <w:p>
                  <w:pPr>
                    <w:pStyle w:val="TableContents"/>
                    <w:bidi w:val="0"/>
                    <w:spacing w:before="0" w:after="0"/>
                    <w:jc w:val="left"/>
                    <w:rPr/>
                  </w:pPr>
                  <w:r>
                    <w:rPr/>
                    <w:t>PureTech Health plc</w:t>
                  </w:r>
                </w:p>
              </w:tc>
            </w:tr>
          </w:tbl>
          <w:p>
            <w:pPr>
              <w:pStyle w:val="TableContents"/>
              <w:bidi w:val="0"/>
              <w:spacing w:before="0" w:after="283"/>
              <w:jc w:val="left"/>
              <w:rPr/>
            </w:pPr>
            <w:r>
              <w:rPr/>
            </w:r>
          </w:p>
        </w:tc>
        <w:tc>
          <w:tcPr>
            <w:tcW w:w="223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67"/>
        <w:gridCol w:w="4338"/>
      </w:tblGrid>
      <w:tr>
        <w:trPr/>
        <w:tc>
          <w:tcPr>
            <w:tcW w:w="586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4"/>
              <w:gridCol w:w="9031"/>
            </w:tblGrid>
            <w:tr>
              <w:trPr/>
              <w:tc>
                <w:tcPr>
                  <w:tcW w:w="1174" w:type="dxa"/>
                  <w:tcBorders/>
                  <w:vAlign w:val="center"/>
                </w:tcPr>
                <w:p>
                  <w:pPr>
                    <w:pStyle w:val="TableContents"/>
                    <w:bidi w:val="0"/>
                    <w:spacing w:before="0" w:after="283"/>
                    <w:jc w:val="left"/>
                    <w:rPr/>
                  </w:pPr>
                  <w:r>
                    <w:rPr/>
                    <w:t>Signature:</w:t>
                  </w:r>
                </w:p>
              </w:tc>
              <w:tc>
                <w:tcPr>
                  <w:tcW w:w="9031" w:type="dxa"/>
                  <w:tcBorders/>
                  <w:vAlign w:val="center"/>
                </w:tcPr>
                <w:p>
                  <w:pPr>
                    <w:pStyle w:val="TableContents"/>
                    <w:bidi w:val="0"/>
                    <w:spacing w:before="0" w:after="283"/>
                    <w:jc w:val="left"/>
                    <w:rPr/>
                  </w:pPr>
                  <w:r>
                    <w:rPr/>
                    <w:t>/s/ Robert Lyne</w:t>
                  </w:r>
                </w:p>
              </w:tc>
            </w:tr>
            <w:tr>
              <w:trPr/>
              <w:tc>
                <w:tcPr>
                  <w:tcW w:w="1174" w:type="dxa"/>
                  <w:tcBorders/>
                  <w:vAlign w:val="center"/>
                </w:tcPr>
                <w:p>
                  <w:pPr>
                    <w:pStyle w:val="TableContents"/>
                    <w:bidi w:val="0"/>
                    <w:spacing w:before="0" w:after="283"/>
                    <w:jc w:val="left"/>
                    <w:rPr/>
                  </w:pPr>
                  <w:r>
                    <w:rPr/>
                    <w:t>Name/Title:</w:t>
                  </w:r>
                </w:p>
              </w:tc>
              <w:tc>
                <w:tcPr>
                  <w:tcW w:w="9031" w:type="dxa"/>
                  <w:tcBorders/>
                  <w:vAlign w:val="center"/>
                </w:tcPr>
                <w:p>
                  <w:pPr>
                    <w:pStyle w:val="TableContents"/>
                    <w:bidi w:val="0"/>
                    <w:spacing w:before="0" w:after="283"/>
                    <w:jc w:val="left"/>
                    <w:rPr/>
                  </w:pPr>
                  <w:r>
                    <w:rPr/>
                    <w:t>Robert Lyne, Chief Executive Officer</w:t>
                  </w:r>
                </w:p>
              </w:tc>
            </w:tr>
            <w:tr>
              <w:trPr/>
              <w:tc>
                <w:tcPr>
                  <w:tcW w:w="1174" w:type="dxa"/>
                  <w:tcBorders/>
                  <w:vAlign w:val="center"/>
                </w:tcPr>
                <w:p>
                  <w:pPr>
                    <w:pStyle w:val="TableContents"/>
                    <w:bidi w:val="0"/>
                    <w:spacing w:before="0" w:after="283"/>
                    <w:jc w:val="left"/>
                    <w:rPr/>
                  </w:pPr>
                  <w:r>
                    <w:rPr/>
                    <w:t>Date:</w:t>
                  </w:r>
                </w:p>
              </w:tc>
              <w:tc>
                <w:tcPr>
                  <w:tcW w:w="9031"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38" w:type="dxa"/>
            <w:tcBorders/>
            <w:vAlign w:val="center"/>
          </w:tcPr>
          <w:p>
            <w:pPr>
              <w:pStyle w:val="TableContents"/>
              <w:bidi w:val="0"/>
              <w:spacing w:before="0" w:after="283"/>
              <w:jc w:val="left"/>
              <w:rPr>
                <w:sz w:val="4"/>
                <w:szCs w:val="4"/>
              </w:rPr>
            </w:pPr>
            <w:r>
              <w:rPr>
                <w:sz w:val="4"/>
                <w:szCs w:val="4"/>
              </w:rPr>
            </w:r>
          </w:p>
        </w:tc>
      </w:tr>
    </w:tbl>
    <w:tbl>
      <w:tblPr>
        <w:tblW w:w="4812" w:type="dxa"/>
        <w:jc w:val="left"/>
        <w:tblInd w:w="0" w:type="dxa"/>
        <w:tblLayout w:type="fixed"/>
        <w:tblCellMar>
          <w:top w:w="28" w:type="dxa"/>
          <w:left w:w="28" w:type="dxa"/>
          <w:bottom w:w="28" w:type="dxa"/>
          <w:right w:w="28" w:type="dxa"/>
        </w:tblCellMar>
      </w:tblPr>
      <w:tblGrid>
        <w:gridCol w:w="2406"/>
        <w:gridCol w:w="2406"/>
      </w:tblGrid>
      <w:tr>
        <w:trPr/>
        <w:tc>
          <w:tcPr>
            <w:tcW w:w="2406" w:type="dxa"/>
            <w:tcBorders/>
            <w:vAlign w:val="center"/>
          </w:tcPr>
          <w:p>
            <w:pPr>
              <w:pStyle w:val="TableContents"/>
              <w:bidi w:val="0"/>
              <w:spacing w:before="0" w:after="0"/>
              <w:jc w:val="left"/>
              <w:rPr/>
            </w:pPr>
            <w:r>
              <w:rPr/>
              <w:t> </w:t>
            </w:r>
          </w:p>
          <w:tbl>
            <w:tblPr>
              <w:tblW w:w="2296" w:type="dxa"/>
              <w:jc w:val="left"/>
              <w:tblInd w:w="0" w:type="dxa"/>
              <w:tblLayout w:type="fixed"/>
              <w:tblCellMar>
                <w:top w:w="28" w:type="dxa"/>
                <w:left w:w="28" w:type="dxa"/>
                <w:bottom w:w="28" w:type="dxa"/>
                <w:right w:w="28" w:type="dxa"/>
              </w:tblCellMar>
            </w:tblPr>
            <w:tblGrid>
              <w:gridCol w:w="2296"/>
            </w:tblGrid>
            <w:tr>
              <w:trPr/>
              <w:tc>
                <w:tcPr>
                  <w:tcW w:w="2296" w:type="dxa"/>
                  <w:tcBorders/>
                  <w:vAlign w:val="center"/>
                </w:tcPr>
                <w:p>
                  <w:pPr>
                    <w:pStyle w:val="TableContents"/>
                    <w:bidi w:val="0"/>
                    <w:spacing w:before="0" w:after="0"/>
                    <w:jc w:val="left"/>
                    <w:rPr/>
                  </w:pPr>
                  <w:r>
                    <w:rPr/>
                    <w:t>PureTech Health LLC</w:t>
                  </w:r>
                </w:p>
              </w:tc>
            </w:tr>
          </w:tbl>
          <w:p>
            <w:pPr>
              <w:pStyle w:val="TableContents"/>
              <w:bidi w:val="0"/>
              <w:spacing w:before="0" w:after="283"/>
              <w:jc w:val="left"/>
              <w:rPr/>
            </w:pPr>
            <w:r>
              <w:rPr/>
            </w:r>
          </w:p>
        </w:tc>
        <w:tc>
          <w:tcPr>
            <w:tcW w:w="240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67"/>
        <w:gridCol w:w="4338"/>
      </w:tblGrid>
      <w:tr>
        <w:trPr/>
        <w:tc>
          <w:tcPr>
            <w:tcW w:w="586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4"/>
              <w:gridCol w:w="9031"/>
            </w:tblGrid>
            <w:tr>
              <w:trPr/>
              <w:tc>
                <w:tcPr>
                  <w:tcW w:w="1174" w:type="dxa"/>
                  <w:tcBorders/>
                  <w:vAlign w:val="center"/>
                </w:tcPr>
                <w:p>
                  <w:pPr>
                    <w:pStyle w:val="TableContents"/>
                    <w:bidi w:val="0"/>
                    <w:spacing w:before="0" w:after="283"/>
                    <w:jc w:val="left"/>
                    <w:rPr/>
                  </w:pPr>
                  <w:r>
                    <w:rPr/>
                    <w:t>Signature:</w:t>
                  </w:r>
                </w:p>
              </w:tc>
              <w:tc>
                <w:tcPr>
                  <w:tcW w:w="9031" w:type="dxa"/>
                  <w:tcBorders/>
                  <w:vAlign w:val="center"/>
                </w:tcPr>
                <w:p>
                  <w:pPr>
                    <w:pStyle w:val="TableContents"/>
                    <w:bidi w:val="0"/>
                    <w:spacing w:before="0" w:after="283"/>
                    <w:jc w:val="left"/>
                    <w:rPr/>
                  </w:pPr>
                  <w:r>
                    <w:rPr/>
                    <w:t>/s/ Robert Lyne</w:t>
                  </w:r>
                </w:p>
              </w:tc>
            </w:tr>
            <w:tr>
              <w:trPr/>
              <w:tc>
                <w:tcPr>
                  <w:tcW w:w="1174" w:type="dxa"/>
                  <w:tcBorders/>
                  <w:vAlign w:val="center"/>
                </w:tcPr>
                <w:p>
                  <w:pPr>
                    <w:pStyle w:val="TableContents"/>
                    <w:bidi w:val="0"/>
                    <w:spacing w:before="0" w:after="283"/>
                    <w:jc w:val="left"/>
                    <w:rPr/>
                  </w:pPr>
                  <w:r>
                    <w:rPr/>
                    <w:t>Name/Title:</w:t>
                  </w:r>
                </w:p>
              </w:tc>
              <w:tc>
                <w:tcPr>
                  <w:tcW w:w="9031" w:type="dxa"/>
                  <w:tcBorders/>
                  <w:vAlign w:val="center"/>
                </w:tcPr>
                <w:p>
                  <w:pPr>
                    <w:pStyle w:val="TableContents"/>
                    <w:bidi w:val="0"/>
                    <w:spacing w:before="0" w:after="283"/>
                    <w:jc w:val="left"/>
                    <w:rPr/>
                  </w:pPr>
                  <w:r>
                    <w:rPr/>
                    <w:t>Robert Lyne, Chief Executive Officer</w:t>
                  </w:r>
                </w:p>
              </w:tc>
            </w:tr>
            <w:tr>
              <w:trPr/>
              <w:tc>
                <w:tcPr>
                  <w:tcW w:w="1174" w:type="dxa"/>
                  <w:tcBorders/>
                  <w:vAlign w:val="center"/>
                </w:tcPr>
                <w:p>
                  <w:pPr>
                    <w:pStyle w:val="TableContents"/>
                    <w:bidi w:val="0"/>
                    <w:spacing w:before="0" w:after="283"/>
                    <w:jc w:val="left"/>
                    <w:rPr/>
                  </w:pPr>
                  <w:r>
                    <w:rPr/>
                    <w:t>Date:</w:t>
                  </w:r>
                </w:p>
              </w:tc>
              <w:tc>
                <w:tcPr>
                  <w:tcW w:w="9031"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38" w:type="dxa"/>
            <w:tcBorders/>
            <w:vAlign w:val="center"/>
          </w:tcPr>
          <w:p>
            <w:pPr>
              <w:pStyle w:val="TableContents"/>
              <w:bidi w:val="0"/>
              <w:spacing w:before="0" w:after="283"/>
              <w:jc w:val="left"/>
              <w:rPr>
                <w:sz w:val="4"/>
                <w:szCs w:val="4"/>
              </w:rPr>
            </w:pPr>
            <w:r>
              <w:rPr>
                <w:sz w:val="4"/>
                <w:szCs w:val="4"/>
              </w:rPr>
            </w:r>
          </w:p>
        </w:tc>
      </w:tr>
    </w:tbl>
    <w:tbl>
      <w:tblPr>
        <w:tblW w:w="4444" w:type="dxa"/>
        <w:jc w:val="left"/>
        <w:tblInd w:w="0" w:type="dxa"/>
        <w:tblLayout w:type="fixed"/>
        <w:tblCellMar>
          <w:top w:w="28" w:type="dxa"/>
          <w:left w:w="28" w:type="dxa"/>
          <w:bottom w:w="28" w:type="dxa"/>
          <w:right w:w="28" w:type="dxa"/>
        </w:tblCellMar>
      </w:tblPr>
      <w:tblGrid>
        <w:gridCol w:w="2222"/>
        <w:gridCol w:w="2222"/>
      </w:tblGrid>
      <w:tr>
        <w:trPr/>
        <w:tc>
          <w:tcPr>
            <w:tcW w:w="2222" w:type="dxa"/>
            <w:tcBorders/>
            <w:vAlign w:val="center"/>
          </w:tcPr>
          <w:p>
            <w:pPr>
              <w:pStyle w:val="TableContents"/>
              <w:bidi w:val="0"/>
              <w:spacing w:before="0" w:after="0"/>
              <w:jc w:val="left"/>
              <w:rPr/>
            </w:pPr>
            <w:r>
              <w:rPr/>
              <w:t> </w:t>
            </w:r>
          </w:p>
          <w:tbl>
            <w:tblPr>
              <w:tblW w:w="2101" w:type="dxa"/>
              <w:jc w:val="left"/>
              <w:tblInd w:w="0" w:type="dxa"/>
              <w:tblLayout w:type="fixed"/>
              <w:tblCellMar>
                <w:top w:w="28" w:type="dxa"/>
                <w:left w:w="28" w:type="dxa"/>
                <w:bottom w:w="28" w:type="dxa"/>
                <w:right w:w="28" w:type="dxa"/>
              </w:tblCellMar>
            </w:tblPr>
            <w:tblGrid>
              <w:gridCol w:w="2101"/>
            </w:tblGrid>
            <w:tr>
              <w:trPr/>
              <w:tc>
                <w:tcPr>
                  <w:tcW w:w="2101" w:type="dxa"/>
                  <w:tcBorders/>
                  <w:vAlign w:val="center"/>
                </w:tcPr>
                <w:p>
                  <w:pPr>
                    <w:pStyle w:val="TableContents"/>
                    <w:bidi w:val="0"/>
                    <w:spacing w:before="0" w:after="0"/>
                    <w:jc w:val="left"/>
                    <w:rPr/>
                  </w:pPr>
                  <w:r>
                    <w:rPr/>
                    <w:t>PureTech LYT, Inc.</w:t>
                  </w:r>
                </w:p>
              </w:tc>
            </w:tr>
          </w:tbl>
          <w:p>
            <w:pPr>
              <w:pStyle w:val="TableContents"/>
              <w:bidi w:val="0"/>
              <w:spacing w:before="0" w:after="283"/>
              <w:jc w:val="left"/>
              <w:rPr/>
            </w:pPr>
            <w:r>
              <w:rPr/>
            </w:r>
          </w:p>
        </w:tc>
        <w:tc>
          <w:tcPr>
            <w:tcW w:w="222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67"/>
        <w:gridCol w:w="4338"/>
      </w:tblGrid>
      <w:tr>
        <w:trPr/>
        <w:tc>
          <w:tcPr>
            <w:tcW w:w="586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4"/>
              <w:gridCol w:w="9031"/>
            </w:tblGrid>
            <w:tr>
              <w:trPr/>
              <w:tc>
                <w:tcPr>
                  <w:tcW w:w="1174" w:type="dxa"/>
                  <w:tcBorders/>
                  <w:vAlign w:val="center"/>
                </w:tcPr>
                <w:p>
                  <w:pPr>
                    <w:pStyle w:val="TableContents"/>
                    <w:bidi w:val="0"/>
                    <w:spacing w:before="0" w:after="283"/>
                    <w:jc w:val="left"/>
                    <w:rPr/>
                  </w:pPr>
                  <w:r>
                    <w:rPr/>
                    <w:t>Signature:</w:t>
                  </w:r>
                </w:p>
              </w:tc>
              <w:tc>
                <w:tcPr>
                  <w:tcW w:w="9031" w:type="dxa"/>
                  <w:tcBorders/>
                  <w:vAlign w:val="center"/>
                </w:tcPr>
                <w:p>
                  <w:pPr>
                    <w:pStyle w:val="TableContents"/>
                    <w:bidi w:val="0"/>
                    <w:spacing w:before="0" w:after="283"/>
                    <w:jc w:val="left"/>
                    <w:rPr/>
                  </w:pPr>
                  <w:r>
                    <w:rPr/>
                    <w:t>/s/ Robert Lyne</w:t>
                  </w:r>
                </w:p>
              </w:tc>
            </w:tr>
            <w:tr>
              <w:trPr/>
              <w:tc>
                <w:tcPr>
                  <w:tcW w:w="1174" w:type="dxa"/>
                  <w:tcBorders/>
                  <w:vAlign w:val="center"/>
                </w:tcPr>
                <w:p>
                  <w:pPr>
                    <w:pStyle w:val="TableContents"/>
                    <w:bidi w:val="0"/>
                    <w:spacing w:before="0" w:after="283"/>
                    <w:jc w:val="left"/>
                    <w:rPr/>
                  </w:pPr>
                  <w:r>
                    <w:rPr/>
                    <w:t>Name/Title:</w:t>
                  </w:r>
                </w:p>
              </w:tc>
              <w:tc>
                <w:tcPr>
                  <w:tcW w:w="9031" w:type="dxa"/>
                  <w:tcBorders/>
                  <w:vAlign w:val="center"/>
                </w:tcPr>
                <w:p>
                  <w:pPr>
                    <w:pStyle w:val="TableContents"/>
                    <w:bidi w:val="0"/>
                    <w:spacing w:before="0" w:after="283"/>
                    <w:jc w:val="left"/>
                    <w:rPr/>
                  </w:pPr>
                  <w:r>
                    <w:rPr/>
                    <w:t>Robert Lyne, Chief Executive Officer</w:t>
                  </w:r>
                </w:p>
              </w:tc>
            </w:tr>
            <w:tr>
              <w:trPr/>
              <w:tc>
                <w:tcPr>
                  <w:tcW w:w="1174" w:type="dxa"/>
                  <w:tcBorders/>
                  <w:vAlign w:val="center"/>
                </w:tcPr>
                <w:p>
                  <w:pPr>
                    <w:pStyle w:val="TableContents"/>
                    <w:bidi w:val="0"/>
                    <w:spacing w:before="0" w:after="283"/>
                    <w:jc w:val="left"/>
                    <w:rPr/>
                  </w:pPr>
                  <w:r>
                    <w:rPr/>
                    <w:t>Date:</w:t>
                  </w:r>
                </w:p>
              </w:tc>
              <w:tc>
                <w:tcPr>
                  <w:tcW w:w="9031"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38" w:type="dxa"/>
            <w:tcBorders/>
            <w:vAlign w:val="center"/>
          </w:tcPr>
          <w:p>
            <w:pPr>
              <w:pStyle w:val="TableContents"/>
              <w:bidi w:val="0"/>
              <w:spacing w:before="0" w:after="283"/>
              <w:jc w:val="left"/>
              <w:rPr>
                <w:sz w:val="4"/>
                <w:szCs w:val="4"/>
              </w:rPr>
            </w:pPr>
            <w:r>
              <w:rPr>
                <w:sz w:val="4"/>
                <w:szCs w:val="4"/>
              </w:rPr>
            </w:r>
          </w:p>
        </w:tc>
      </w:tr>
    </w:tbl>
    <w:tbl>
      <w:tblPr>
        <w:tblW w:w="3631" w:type="dxa"/>
        <w:jc w:val="left"/>
        <w:tblInd w:w="0" w:type="dxa"/>
        <w:tblLayout w:type="fixed"/>
        <w:tblCellMar>
          <w:top w:w="28" w:type="dxa"/>
          <w:left w:w="28" w:type="dxa"/>
          <w:bottom w:w="28" w:type="dxa"/>
          <w:right w:w="28" w:type="dxa"/>
        </w:tblCellMar>
      </w:tblPr>
      <w:tblGrid>
        <w:gridCol w:w="3631"/>
      </w:tblGrid>
      <w:tr>
        <w:trPr/>
        <w:tc>
          <w:tcPr>
            <w:tcW w:w="3631" w:type="dxa"/>
            <w:tcBorders/>
            <w:vAlign w:val="center"/>
          </w:tcPr>
          <w:p>
            <w:pPr>
              <w:pStyle w:val="TableContents"/>
              <w:bidi w:val="0"/>
              <w:spacing w:before="0" w:after="283"/>
              <w:jc w:val="center"/>
              <w:rPr>
                <w:b/>
              </w:rPr>
            </w:pPr>
            <w:r>
              <w:rPr>
                <w:b/>
              </w:rPr>
              <w:t xml:space="preserve">Exhibit Information </w:t>
            </w:r>
          </w:p>
        </w:tc>
      </w:tr>
      <w:tr>
        <w:trPr/>
        <w:tc>
          <w:tcPr>
            <w:tcW w:w="3631" w:type="dxa"/>
            <w:tcBorders/>
            <w:vAlign w:val="center"/>
          </w:tcPr>
          <w:p>
            <w:pPr>
              <w:pStyle w:val="TableContents"/>
              <w:bidi w:val="0"/>
              <w:spacing w:before="0" w:after="283"/>
              <w:jc w:val="left"/>
              <w:rPr/>
            </w:pPr>
            <w:r>
              <w:rPr/>
              <w:t>Exhibit 99.1: Joint Filing Agreement</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fontTable" Target="fontTable.xml"/><Relationship Id="rId2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1137</Words>
  <Characters>5927</Characters>
  <CharactersWithSpaces>7015</CharactersWithSpaces>
  <Paragraphs>255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