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47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47640"/>
                    </a:xfrm>
                    <a:prstGeom prst="rect">
                      <a:avLst/>
                    </a:prstGeom>
                    <a:noFill/>
                  </pic:spPr>
                </pic:pic>
              </a:graphicData>
            </a:graphic>
          </wp:anchor>
        </w:drawing>
      </w:r>
    </w:p>
    <w:p>
      <w:pPr>
        <w:sectPr>
          <w:pgSz w:w="11900" w:h="16838" w:orient="portrait"/>
          <w:cols w:equalWidth="0" w:num="1">
            <w:col w:w="10940"/>
          </w:cols>
          <w:pgMar w:left="480" w:top="230" w:right="479" w:bottom="9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Gladstein Lana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Seaport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SPTX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9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SEAPORT THERAPEUTICS,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101 SEAPORT BLVD., FLOOR 12</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03"/>
        <w:spacing w:after="0"/>
        <w:rPr>
          <w:sz w:val="20"/>
          <w:szCs w:val="20"/>
          <w:color w:val="auto"/>
        </w:rPr>
      </w:pPr>
      <w:r>
        <w:rPr>
          <w:rFonts w:ascii="Times New Roman" w:cs="Times New Roman" w:eastAsia="Times New Roman" w:hAnsi="Times New Roman"/>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9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8"/>
              </w:rPr>
              <w:t>33,515</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06/03/2034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5"/>
              </w:rPr>
              <w:t>246,760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3.05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12/28/2034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8"/>
              </w:rPr>
              <w:t>26,533</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7.39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02/23/2036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8"/>
              </w:rPr>
              <w:t>63,680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10.31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B Preferred Stock (the "Preferred Stock") is convertible into Common Stock of the Issuer on a one-for-3.1407 basis at the option of the holder, and will automatically convert upon the closing of the Issuer's initial public offering into the number of shares shown in Column 3 without payment of further consideration. The Preferred Stock has no expiration date.</w:t>
      </w:r>
    </w:p>
    <w:p>
      <w:pPr>
        <w:spacing w:after="0" w:line="29" w:lineRule="exact"/>
        <w:rPr>
          <w:rFonts w:ascii="Times New Roman" w:cs="Times New Roman" w:eastAsia="Times New Roman" w:hAnsi="Times New Roman"/>
          <w:sz w:val="15"/>
          <w:szCs w:val="15"/>
          <w:color w:val="008000"/>
        </w:rPr>
      </w:pPr>
    </w:p>
    <w:p>
      <w:pPr>
        <w:ind w:left="40" w:right="6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1/4th of the shares underlying this option vested and became exercisable on June 6, 2025, with the remaining shares vesting in thirty-six (36) equal monthly installments thereafter, subject to the Reporting Person's continued service on each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are fully vested and exercisable.</w:t>
      </w:r>
    </w:p>
    <w:p>
      <w:pPr>
        <w:spacing w:after="0" w:line="52" w:lineRule="exact"/>
        <w:rPr>
          <w:rFonts w:ascii="Times New Roman" w:cs="Times New Roman" w:eastAsia="Times New Roman" w:hAnsi="Times New Roman"/>
          <w:sz w:val="15"/>
          <w:szCs w:val="15"/>
          <w:color w:val="008000"/>
        </w:rPr>
      </w:pPr>
    </w:p>
    <w:p>
      <w:pPr>
        <w:ind w:left="40" w:right="2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shall vest in forty-eight (48) equal monthly installments following February 24, 2026,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/s/ Lana Gladstein</w:t>
            </w:r>
          </w:p>
        </w:tc>
        <w:tc>
          <w:tcPr>
            <w:tcW w:w="76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04/30/2026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940" w:gutter="0" w:footer="0" w:header="0"/>
          <w:type w:val="continuous"/>
        </w:sectPr>
      </w:pPr>
    </w:p>
    <w:bookmarkStart w:id="1" w:name="page2"/>
    <w:bookmarkEnd w:id="1"/>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3B3B3B"/>
        </w:rPr>
        <w:t>Power of Attorney</w:t>
      </w:r>
    </w:p>
    <w:p>
      <w:pPr>
        <w:spacing w:after="0" w:line="284" w:lineRule="exact"/>
        <w:rPr>
          <w:sz w:val="20"/>
          <w:szCs w:val="20"/>
          <w:color w:val="auto"/>
        </w:rPr>
      </w:pPr>
    </w:p>
    <w:p>
      <w:pPr>
        <w:ind w:left="300" w:right="500" w:firstLine="697"/>
        <w:spacing w:after="0" w:line="282" w:lineRule="auto"/>
        <w:rPr>
          <w:sz w:val="20"/>
          <w:szCs w:val="20"/>
          <w:color w:val="auto"/>
        </w:rPr>
      </w:pPr>
      <w:r>
        <w:rPr>
          <w:rFonts w:ascii="Times New Roman" w:cs="Times New Roman" w:eastAsia="Times New Roman" w:hAnsi="Times New Roman"/>
          <w:sz w:val="20"/>
          <w:szCs w:val="20"/>
          <w:color w:val="3B3B3B"/>
        </w:rPr>
        <w:t>Know all by these presents that the undersigned hereby constitutes and appoints each of Lana Gladstein and Lauren White, and with full power of substitution, as the undersigned's true and lawful attorney-in-fact to:</w:t>
      </w:r>
    </w:p>
    <w:p>
      <w:pPr>
        <w:spacing w:after="0" w:line="180" w:lineRule="exact"/>
        <w:rPr>
          <w:sz w:val="20"/>
          <w:szCs w:val="20"/>
          <w:color w:val="auto"/>
        </w:rPr>
      </w:pPr>
    </w:p>
    <w:p>
      <w:pPr>
        <w:ind w:left="960" w:right="200" w:hanging="318"/>
        <w:spacing w:after="0" w:line="266" w:lineRule="auto"/>
        <w:tabs>
          <w:tab w:leader="none" w:pos="960" w:val="left"/>
        </w:tabs>
        <w:numPr>
          <w:ilvl w:val="0"/>
          <w:numId w:val="5"/>
        </w:numPr>
        <w:rPr>
          <w:rFonts w:ascii="Times New Roman" w:cs="Times New Roman" w:eastAsia="Times New Roman" w:hAnsi="Times New Roman"/>
          <w:sz w:val="19"/>
          <w:szCs w:val="19"/>
          <w:color w:val="3B3B3B"/>
        </w:rPr>
      </w:pPr>
      <w:r>
        <w:rPr>
          <w:rFonts w:ascii="Times New Roman" w:cs="Times New Roman" w:eastAsia="Times New Roman" w:hAnsi="Times New Roman"/>
          <w:sz w:val="20"/>
          <w:szCs w:val="20"/>
          <w:color w:val="3B3B3B"/>
        </w:rPr>
        <w:t xml:space="preserve">execute for and on behalf of the undersigned, in the undersigned's capacity as an officer of Seaport Therapeutics, Inc., a Delaware corporation (the "Company"), Forms 3, 4, and </w:t>
      </w:r>
      <w:r>
        <w:rPr>
          <w:rFonts w:ascii="Times New Roman" w:cs="Times New Roman" w:eastAsia="Times New Roman" w:hAnsi="Times New Roman"/>
          <w:sz w:val="20"/>
          <w:szCs w:val="20"/>
          <w:i w:val="1"/>
          <w:iCs w:val="1"/>
          <w:color w:val="3B3B3B"/>
        </w:rPr>
        <w:t>5</w:t>
      </w:r>
      <w:r>
        <w:rPr>
          <w:rFonts w:ascii="Times New Roman" w:cs="Times New Roman" w:eastAsia="Times New Roman" w:hAnsi="Times New Roman"/>
          <w:sz w:val="20"/>
          <w:szCs w:val="20"/>
          <w:color w:val="3B3B3B"/>
        </w:rPr>
        <w:t xml:space="preserve"> in accordance with Section I6(a) of the Securities Exchange Act of 1934, as amended, and the rules thereunder;</w:t>
      </w:r>
    </w:p>
    <w:p>
      <w:pPr>
        <w:spacing w:after="0" w:line="210" w:lineRule="exact"/>
        <w:rPr>
          <w:rFonts w:ascii="Times New Roman" w:cs="Times New Roman" w:eastAsia="Times New Roman" w:hAnsi="Times New Roman"/>
          <w:sz w:val="19"/>
          <w:szCs w:val="19"/>
          <w:color w:val="3B3B3B"/>
        </w:rPr>
      </w:pPr>
    </w:p>
    <w:p>
      <w:pPr>
        <w:ind w:left="980" w:right="300" w:hanging="339"/>
        <w:spacing w:after="0" w:line="266" w:lineRule="auto"/>
        <w:tabs>
          <w:tab w:leader="none" w:pos="980" w:val="left"/>
        </w:tabs>
        <w:numPr>
          <w:ilvl w:val="0"/>
          <w:numId w:val="5"/>
        </w:numPr>
        <w:rPr>
          <w:rFonts w:ascii="Times New Roman" w:cs="Times New Roman" w:eastAsia="Times New Roman" w:hAnsi="Times New Roman"/>
          <w:sz w:val="19"/>
          <w:szCs w:val="19"/>
          <w:color w:val="3B3B3B"/>
        </w:rPr>
      </w:pPr>
      <w:r>
        <w:rPr>
          <w:rFonts w:ascii="Times New Roman" w:cs="Times New Roman" w:eastAsia="Times New Roman" w:hAnsi="Times New Roman"/>
          <w:sz w:val="20"/>
          <w:szCs w:val="20"/>
          <w:color w:val="3B3B3B"/>
        </w:rPr>
        <w:t xml:space="preserve">do and perform any and all acts for and on behalf of the undersigned which may be necessary or desirable to complete and execute any such Form 3, 4, or </w:t>
      </w:r>
      <w:r>
        <w:rPr>
          <w:rFonts w:ascii="Times New Roman" w:cs="Times New Roman" w:eastAsia="Times New Roman" w:hAnsi="Times New Roman"/>
          <w:sz w:val="20"/>
          <w:szCs w:val="20"/>
          <w:i w:val="1"/>
          <w:iCs w:val="1"/>
          <w:color w:val="3B3B3B"/>
        </w:rPr>
        <w:t>S,</w:t>
      </w:r>
      <w:r>
        <w:rPr>
          <w:rFonts w:ascii="Times New Roman" w:cs="Times New Roman" w:eastAsia="Times New Roman" w:hAnsi="Times New Roman"/>
          <w:sz w:val="20"/>
          <w:szCs w:val="20"/>
          <w:color w:val="3B3B3B"/>
        </w:rPr>
        <w:t xml:space="preserve"> complete and execute any amendment or amendments thereto, and timely file such fonn with the SEC and any stock exchange or similar authority; and</w:t>
      </w:r>
    </w:p>
    <w:p>
      <w:pPr>
        <w:spacing w:after="0" w:line="210" w:lineRule="exact"/>
        <w:rPr>
          <w:rFonts w:ascii="Times New Roman" w:cs="Times New Roman" w:eastAsia="Times New Roman" w:hAnsi="Times New Roman"/>
          <w:sz w:val="19"/>
          <w:szCs w:val="19"/>
          <w:color w:val="3B3B3B"/>
        </w:rPr>
      </w:pPr>
    </w:p>
    <w:p>
      <w:pPr>
        <w:ind w:left="980" w:right="140" w:hanging="338"/>
        <w:spacing w:after="0" w:line="258" w:lineRule="auto"/>
        <w:tabs>
          <w:tab w:leader="none" w:pos="980" w:val="left"/>
        </w:tabs>
        <w:numPr>
          <w:ilvl w:val="0"/>
          <w:numId w:val="5"/>
        </w:numPr>
        <w:rPr>
          <w:rFonts w:ascii="Times New Roman" w:cs="Times New Roman" w:eastAsia="Times New Roman" w:hAnsi="Times New Roman"/>
          <w:sz w:val="19"/>
          <w:szCs w:val="19"/>
          <w:color w:val="3B3B3B"/>
        </w:rPr>
      </w:pPr>
      <w:r>
        <w:rPr>
          <w:rFonts w:ascii="Times New Roman" w:cs="Times New Roman" w:eastAsia="Times New Roman" w:hAnsi="Times New Roman"/>
          <w:sz w:val="20"/>
          <w:szCs w:val="20"/>
          <w:color w:val="3B3B3B"/>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 in-fact may approve in such attorney-in-fact's discretion.</w:t>
      </w:r>
    </w:p>
    <w:p>
      <w:pPr>
        <w:spacing w:after="0" w:line="205" w:lineRule="exact"/>
        <w:rPr>
          <w:sz w:val="20"/>
          <w:szCs w:val="20"/>
          <w:color w:val="auto"/>
        </w:rPr>
      </w:pPr>
    </w:p>
    <w:p>
      <w:pPr>
        <w:ind w:left="300" w:right="20" w:firstLine="691"/>
        <w:spacing w:after="0" w:line="255" w:lineRule="auto"/>
        <w:rPr>
          <w:sz w:val="20"/>
          <w:szCs w:val="20"/>
          <w:color w:val="auto"/>
        </w:rPr>
      </w:pPr>
      <w:r>
        <w:rPr>
          <w:rFonts w:ascii="Times New Roman" w:cs="Times New Roman" w:eastAsia="Times New Roman" w:hAnsi="Times New Roman"/>
          <w:sz w:val="20"/>
          <w:szCs w:val="20"/>
          <w:color w:val="3B3B3B"/>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I934, as amended.</w:t>
      </w:r>
    </w:p>
    <w:p>
      <w:pPr>
        <w:spacing w:after="0" w:line="221" w:lineRule="exact"/>
        <w:rPr>
          <w:sz w:val="20"/>
          <w:szCs w:val="20"/>
          <w:color w:val="auto"/>
        </w:rPr>
      </w:pPr>
    </w:p>
    <w:p>
      <w:pPr>
        <w:jc w:val="both"/>
        <w:ind w:left="300" w:firstLine="687"/>
        <w:spacing w:after="0" w:line="266" w:lineRule="auto"/>
        <w:rPr>
          <w:sz w:val="20"/>
          <w:szCs w:val="20"/>
          <w:color w:val="auto"/>
        </w:rPr>
      </w:pPr>
      <w:r>
        <w:rPr>
          <w:rFonts w:ascii="Times New Roman" w:cs="Times New Roman" w:eastAsia="Times New Roman" w:hAnsi="Times New Roman"/>
          <w:sz w:val="20"/>
          <w:szCs w:val="20"/>
          <w:color w:val="3B3B3B"/>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41" w:lineRule="exact"/>
        <w:rPr>
          <w:sz w:val="20"/>
          <w:szCs w:val="20"/>
          <w:color w:val="auto"/>
        </w:rPr>
      </w:pPr>
    </w:p>
    <w:p>
      <w:pPr>
        <w:ind w:left="360" w:right="860" w:firstLine="685"/>
        <w:spacing w:after="0" w:line="282" w:lineRule="auto"/>
        <w:rPr>
          <w:sz w:val="20"/>
          <w:szCs w:val="20"/>
          <w:color w:val="auto"/>
        </w:rPr>
      </w:pPr>
      <w:r>
        <w:rPr>
          <w:rFonts w:ascii="Times New Roman" w:cs="Times New Roman" w:eastAsia="Times New Roman" w:hAnsi="Times New Roman"/>
          <w:sz w:val="20"/>
          <w:szCs w:val="20"/>
          <w:color w:val="3B3B3B"/>
        </w:rPr>
        <w:t>IN WITNESS WHEREOF, the undersigned has caused this Power of Attorney to be executed as of this day of March 24, 2026</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B3B3B"/>
        </w:rPr>
        <w:t>/s/ Lana Gladstein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08661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086610" cy="952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B3B3B"/>
        </w:rPr>
        <w:t>Name: Lana Gladstein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1159510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740"/>
      </w:cols>
      <w:pgMar w:left="480" w:top="144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27496" TargetMode="External"/><Relationship Id="rId11" Type="http://schemas.openxmlformats.org/officeDocument/2006/relationships/hyperlink" Target="http://www.sec.gov/cgi-bin/browse-edgar?action=getcompany&amp;CIK=0002042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2026-04-30T19:11:06Z</dcterms:created>
  <dcterms:modified xsi:type="dcterms:W3CDTF">2026-04-30T19:11:06Z</dcterms:modified>
</cp:coreProperties>
</file>