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Seaport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Gosk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General Atlantic Service Company, LP, 55 East 52nd Street, 33rd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10055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General Atlantic,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(SPV)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6,101,582.00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6,101,582.00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6,101,582.00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Partners 100,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(SP),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Partners (Lux) SCSp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GenPar,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6,101,582.00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tabs>
          <w:tab w:leader="none" w:pos="114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6,101,582.00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55"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CDA,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GenPar (Lux) SCSp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9" w:name="page10"/>
    <w:bookmarkEnd w:id="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(Lux) S.a 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LUXEMBOURG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6,101,582.00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6,101,582.00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GenPar (Bermuda),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11" w:name="page12"/>
    <w:bookmarkEnd w:id="11"/>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(Bermuda)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6,101,582.00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0" w:gutter="0" w:footer="0" w:header="0"/>
          <w:type w:val="continuous"/>
        </w:sectPr>
      </w:pPr>
    </w:p>
    <w:p>
      <w:pPr>
        <w:spacing w:after="0" w:line="3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0099"/>
          </w:cols>
          <w:pgMar w:left="360" w:top="112" w:right="1440" w:bottom="0" w:gutter="0" w:footer="0" w:header="0"/>
          <w:type w:val="continuous"/>
        </w:sectPr>
      </w:pPr>
    </w:p>
    <w:bookmarkStart w:id="12" w:name="page13"/>
    <w:bookmarkEnd w:id="12"/>
    <w:p>
      <w:pPr>
        <w:spacing w:after="0" w:line="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Seaport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101 Seaport Blvd., Floor 12, BOSTON, MASSACHUSETTS , 02210.</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(the "Statement") relates to the beneficial ownership of the Reporting Persons (defined below) of</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par value $0.0001 per share (the "common stock") of Seaport Therapeutics, Inc. a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incorporated in Delaware (the "Company"), whose principal executive offices are located at 101 Seaport Blvd., Floor 12, Boston, Massachusetts 02210. The Reporting Persons were initially eligible to file a Schedule 13G under Rule 13d-1(d) of the Exchange Act. On May 4, 2026, the Reporting Persons acquired shares of the Company's common stock representing more than two percent of the outstanding shares of common stock during the prior twelve-month period. Therefore, the Reporting Persons are no longer eligible to file a Schedule 13G under Rule 13d-1(d) and are</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now filing this Statement.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6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a "group," as defined in Rule 13d-5 of the General Rules and Regulations promulgated under the Exchange Act. The members of the group are: (i) General Atlantic, L.P., a Delaware limited partnership ("GA LP"); (ii) General Atlantic (SPV) GP, LLC, a Delaware limited liability corporation ("GA SPV");</w:t>
      </w:r>
    </w:p>
    <w:p>
      <w:pPr>
        <w:spacing w:after="0" w:line="1" w:lineRule="exact"/>
        <w:rPr>
          <w:sz w:val="20"/>
          <w:szCs w:val="20"/>
          <w:color w:val="auto"/>
        </w:rPr>
      </w:pPr>
    </w:p>
    <w:p>
      <w:pPr>
        <w:ind w:left="920" w:right="20" w:firstLine="6"/>
        <w:spacing w:after="0" w:line="241" w:lineRule="auto"/>
        <w:tabs>
          <w:tab w:leader="none" w:pos="129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Atlantic Partners 100, L.P., a Delaware limited partnership ("GAP 100"); (iv) General Atlantic (SP), L.P., a Delaware limited partnership ("GA SP"); (v) General Atlantic Partners (Lux), SCSp, a Luxembourg special limited partnership ("GAP Lux"); (vi) General Atlantic GenPar, L.P., a Delaware limited partnership ("GA GenPar"); (vii)</w:t>
      </w:r>
    </w:p>
    <w:p>
      <w:pPr>
        <w:spacing w:after="0" w:line="1" w:lineRule="exact"/>
        <w:rPr>
          <w:rFonts w:ascii="Times New Roman" w:cs="Times New Roman" w:eastAsia="Times New Roman" w:hAnsi="Times New Roman"/>
          <w:sz w:val="21"/>
          <w:szCs w:val="21"/>
          <w:color w:val="auto"/>
        </w:rPr>
      </w:pPr>
    </w:p>
    <w:p>
      <w:pPr>
        <w:ind w:left="920" w:right="10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GAP Coinvestments III, LLC, a Delaware limited liability corporation ("GAPCO III"); (viii) GAP Coinvestments IV, LLC, a Delaware limited liability corporation ("GAPCO IV"); (ix) GAP Coinvestments V, LLC, a Delaware limited liability corporation ("GAPCO V"); (x) GAP Coinvestments CDA, L.P., a Delaware limited partnership ("GAPCO CDA"); (xi) General Atlantic GenPar (Lux), SCSp, a Luxembourg special limited partnership ("GA GenPar Lux");</w:t>
      </w:r>
    </w:p>
    <w:p>
      <w:pPr>
        <w:spacing w:after="0" w:line="2" w:lineRule="exact"/>
        <w:rPr>
          <w:rFonts w:ascii="Times New Roman" w:cs="Times New Roman" w:eastAsia="Times New Roman" w:hAnsi="Times New Roman"/>
          <w:sz w:val="21"/>
          <w:szCs w:val="21"/>
          <w:color w:val="auto"/>
        </w:rPr>
      </w:pPr>
    </w:p>
    <w:p>
      <w:pPr>
        <w:ind w:left="920" w:right="140" w:firstLine="6"/>
        <w:spacing w:after="0" w:line="241" w:lineRule="auto"/>
        <w:tabs>
          <w:tab w:leader="none" w:pos="134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Atlantic (Lux) S.a r.l., a Luxembourg company ("GA Lux"); (xiii) General Atlantic GenPar (Bermuda), L.P., a Bermuda limited partnership ("GenPar Bermuda"); and (xiv) GAP (Bermuda) L.P., a Bermuda limited partnership ("GAP Bermuda"). Each of the foregoing is referred to as a Reporting Person and collectively as the "Reporting Persons." GAP 100 and GAP Lux are collectively referred to as the "GA Funds." GAPCO III, GAPCO IV, GAPCO V and GAPCO CDA are collectively referred to as the "Sponsor Coinvestment Funds." The address of</w:t>
      </w:r>
    </w:p>
    <w:p>
      <w:pPr>
        <w:spacing w:after="0" w:line="2" w:lineRule="exact"/>
        <w:rPr>
          <w:rFonts w:ascii="Times New Roman" w:cs="Times New Roman" w:eastAsia="Times New Roman" w:hAnsi="Times New Roman"/>
          <w:sz w:val="21"/>
          <w:szCs w:val="21"/>
          <w:color w:val="auto"/>
        </w:rPr>
      </w:pPr>
    </w:p>
    <w:p>
      <w:pPr>
        <w:ind w:left="920" w:right="40" w:hanging="912"/>
        <w:spacing w:after="0" w:line="219" w:lineRule="auto"/>
        <w:tabs>
          <w:tab w:leader="none" w:pos="920" w:val="left"/>
        </w:tabs>
        <w:numPr>
          <w:ilvl w:val="0"/>
          <w:numId w:val="1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GenPar Bermuda and GAP Bermuda is Clarendon House, 2 Church Street, Hamilton HM 11, Bermuda. The address of GAP Lux, GA GenPar Lux and GA Lux is 412F, Route d'Esch, L-1471 Luxembourg. The address of GAP 100, GA SPV, GA GenPar, GA SP and GA LP and each of the Sponsor Coinvestment Funds is c/o General Atlantic Service Company, L.P., 55 East 52nd Street, 33rd Floor, New York, NY 10055. Each of the Reporting Persons is engaged in acquiring, holding and disposing of interests in various companies for investment purposes. The following investment funds share beneficial ownership of the common stock held of record by GA SP: the GA funds and the Sponsor Coinvestment Funds. The general partner of GAP 100 is GA GenPar. GA LP, which is controlled by the Partnership Committee of GASC MGP, LLC (the "Partnership Committee"), is the managing member of GAPCO III, GAPCO IV, and GAPCO V, the general partner of GAPCO CDA and GA GenPar, and is the sole member of GA SPV. The general partner of GA SP is GA SPV. The general partner of GAP Lux is GA GenPar Lux, and the general partner of GA GenPar Lux is GA Lux. The sole shareholder of GA Lux is GenPar Bermuda. GAP Bermuda, which is ultimately controlled by the Partnership Committee, is the general partner of GenPar Bermuda. As of the date hereof, there are six members of the Partnership Committee. Each of the members of the Partnership Committee disclaims ownership of the shares except to the extent that he has a pecuniary interest therein. The information required by General Instruction C to Schedule 13D is attached hereto as Schedule A and is hereby incorporated by reference. The present principal occupation or employment of each of the members of the Partnership Committee is as a managing director of GA LP.</w:t>
      </w:r>
    </w:p>
    <w:p>
      <w:pPr>
        <w:spacing w:after="0" w:line="16"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None of the Reporting Persons and none of the individuals listed on Schedule A have, during the last five years, been</w:t>
      </w:r>
    </w:p>
    <w:p>
      <w:pPr>
        <w:spacing w:after="0" w:line="25" w:lineRule="exact"/>
        <w:rPr>
          <w:rFonts w:ascii="Times New Roman" w:cs="Times New Roman" w:eastAsia="Times New Roman" w:hAnsi="Times New Roman"/>
          <w:sz w:val="22"/>
          <w:szCs w:val="22"/>
          <w:color w:val="auto"/>
        </w:rPr>
      </w:pPr>
    </w:p>
    <w:p>
      <w:pPr>
        <w:ind w:left="1180" w:hanging="254"/>
        <w:spacing w:after="0" w:line="230" w:lineRule="auto"/>
        <w:tabs>
          <w:tab w:leader="none" w:pos="11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convicted in a criminal proceeding (excluding traffic violations or similar misdemeanors) or (ii) a party to a civil</w:t>
      </w:r>
    </w:p>
    <w:p>
      <w:pPr>
        <w:ind w:left="920" w:right="140" w:hanging="912"/>
        <w:spacing w:after="0" w:line="235"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20" w:right="180"/>
        <w:spacing w:after="0" w:line="238" w:lineRule="auto"/>
        <w:rPr>
          <w:sz w:val="20"/>
          <w:szCs w:val="20"/>
          <w:color w:val="auto"/>
        </w:rPr>
      </w:pPr>
      <w:r>
        <w:rPr>
          <w:rFonts w:ascii="Times New Roman" w:cs="Times New Roman" w:eastAsia="Times New Roman" w:hAnsi="Times New Roman"/>
          <w:sz w:val="22"/>
          <w:szCs w:val="22"/>
          <w:color w:val="auto"/>
        </w:rPr>
        <w:t>In connection with the closing of the initial public offering (the "IPO") of the Company on May 4, 2026, 10,526,315 shares of Series B convertible preferred stock of the Company held directly by GA SP automatically converted into 3,351,582 shares of common stock of the Company. GA SP purchased 2,750,000 shares of common stock at a price of $18.00 per share in the IPO. The funds to purchase the shares of common stock were obtained from contributions from the GA Funds and Sponsor Coinvestment Funds.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Reporting Persons acquired the common stock reported herein for investment purposes. Consistent with such</w:t>
      </w:r>
    </w:p>
    <w:p>
      <w:pPr>
        <w:sectPr>
          <w:pgSz w:w="11900" w:h="16901" w:orient="portrait"/>
          <w:cols w:equalWidth="0" w:num="1">
            <w:col w:w="11160"/>
          </w:cols>
          <w:pgMar w:left="360" w:top="112" w:right="379" w:bottom="0" w:gutter="0" w:footer="0" w:header="0"/>
        </w:sectPr>
      </w:pPr>
    </w:p>
    <w:bookmarkStart w:id="13" w:name="page14"/>
    <w:bookmarkEnd w:id="13"/>
    <w:p>
      <w:pPr>
        <w:ind w:left="920" w:right="40"/>
        <w:spacing w:after="0" w:line="232" w:lineRule="auto"/>
        <w:rPr>
          <w:sz w:val="20"/>
          <w:szCs w:val="20"/>
          <w:color w:val="auto"/>
        </w:rPr>
      </w:pPr>
      <w:r>
        <w:rPr>
          <w:rFonts w:ascii="Times New Roman" w:cs="Times New Roman" w:eastAsia="Times New Roman" w:hAnsi="Times New Roman"/>
          <w:sz w:val="22"/>
          <w:szCs w:val="22"/>
          <w:color w:val="auto"/>
        </w:rPr>
        <w:t>purposes, the Reporting Persons may engage in communications with, without limitation, one or more shareholders of the Company, management of the Company, one or more members of the board of directors of the Company, and may make suggestions concerning the Company's operations, prospects, business and financial strategies, strategic transactions, assets and liabilities, business and financing alternatives, the composition of the board of directors of the Company and such other matters as the Reporting Persons may deem relevant to their investment in the common stock. The Reporting Persons expect that they will, from time to time, review their investment position in the common stock or the Company and may, depending on the Company's performance and other market conditions, increase or decrease their investment position in the common stock. The Reporting Persons may, from time to time, make additional purchases of common stock either in the open market or in privately-negotiated transactions, depending upon the Reporting Persons' evaluation of the Company's business, prospects and financial condition, the market for the common stock, other opportunities available to the Reporting Persons, general economic conditions, stock market conditions and other factors. Depending upon the factors noted above, the Reporting Persons may also decide to hold or dispose of all or part of their investments in the common stock and/or enter into derivative transactions with institutional counterparties with respect to the Company's securities, including the common stock. Except as set forth in this Item 4 or Item 6 below, the Reporting Persons have no present plans or proposals that relate to, or that would result in, any of the actions specified in clauses (a) through (j) of Item 4 of Schedule 13D of the Exchange Act.</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The percentages used herein are calculated based upon on an aggregate of 53,027,817 shares of common stock reported by the Company to be outstanding as of May 4, 2026 as reflected in the Company's prospectus filed under Rule 424(b)(4) filed with the U.S. Securities and Exchange Commission (the "SEC") on May 1, 2026. By virtue of the fact that (i) the GA Funds and the Sponsor Coinvestment Funds contributed the capital to fund the purchases, and share beneficial ownership of, the common stock held of record by GA SP, (ii) the general partner of GA SP is GA SPV, (iii) the general partner of GAP Lux is GA GenPar Lux, and the general partner of GA GenPar Lux is GA Lux.,</w:t>
      </w:r>
    </w:p>
    <w:p>
      <w:pPr>
        <w:spacing w:after="0" w:line="3" w:lineRule="exact"/>
        <w:rPr>
          <w:sz w:val="20"/>
          <w:szCs w:val="20"/>
          <w:color w:val="auto"/>
        </w:rPr>
      </w:pPr>
    </w:p>
    <w:p>
      <w:pPr>
        <w:ind w:left="920" w:right="200" w:firstLine="6"/>
        <w:spacing w:after="0" w:line="241" w:lineRule="auto"/>
        <w:tabs>
          <w:tab w:leader="none" w:pos="128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shareholder of GA Lux is GenPar Bermuda, (v) GAP Lux has appointed Carne Global Fund Management (Luxembourg) S.A. (the "AIFM") as the alternative investment fund manager of GAP Lux pursuant to an alternative investment fund management agreement to undertake all functions required of an external alternative</w:t>
      </w:r>
    </w:p>
    <w:p>
      <w:pPr>
        <w:spacing w:after="0" w:line="1" w:lineRule="exact"/>
        <w:rPr>
          <w:rFonts w:ascii="Times New Roman" w:cs="Times New Roman" w:eastAsia="Times New Roman" w:hAnsi="Times New Roman"/>
          <w:sz w:val="21"/>
          <w:szCs w:val="21"/>
          <w:color w:val="auto"/>
        </w:rPr>
      </w:pPr>
    </w:p>
    <w:p>
      <w:pPr>
        <w:ind w:left="920" w:right="40" w:hanging="912"/>
        <w:spacing w:after="0" w:line="193" w:lineRule="auto"/>
        <w:tabs>
          <w:tab w:leader="none" w:pos="920" w:val="left"/>
        </w:tabs>
        <w:numPr>
          <w:ilvl w:val="0"/>
          <w:numId w:val="1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investment fund manager under the Luxembourg law of 12 July 2013 on alternative investment fund managers, as amended from time to time and GAP Lux has also entered into a delegated portfolio management and distribution agreement with the AIFM and GASC MGP, LLC ("GASC") in order to appoint GASC to act as the portfolio manager of GAP Lux, (vi) the general partner of GAP 100 is GA GenPar, and the general partner of GA GenPar is GA LP,</w:t>
      </w:r>
    </w:p>
    <w:p>
      <w:pPr>
        <w:spacing w:after="0" w:line="1" w:lineRule="exact"/>
        <w:rPr>
          <w:rFonts w:ascii="Times New Roman" w:cs="Times New Roman" w:eastAsia="Times New Roman" w:hAnsi="Times New Roman"/>
          <w:sz w:val="42"/>
          <w:szCs w:val="42"/>
          <w:color w:val="auto"/>
          <w:vertAlign w:val="subscript"/>
        </w:rPr>
      </w:pPr>
    </w:p>
    <w:p>
      <w:pPr>
        <w:ind w:left="920" w:firstLine="6"/>
        <w:spacing w:after="0" w:line="232" w:lineRule="auto"/>
        <w:tabs>
          <w:tab w:leader="none" w:pos="134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 LP, which is controlled by the Partnership Committee, is the managing member of GAPCO III, GAPCO IV, and GAPCO V, the general partner of GAPCO CDA, and is the sole member of GA SPV, (viii) GAP Bermuda, which is ultimately controlled by the Partnership Committee, is the general partner of GenPar Bermuda and (ix) GASC, with respect to GAP Lux, is controlled by the Partnership Committee, the Reporting Persons may be deemed to have the power to vote and direct the disposition of the common stock owned of record by GA SP. As a result, as of the date hereof, each of the Reporting Persons may be deemed to beneficially own the shares of common stock indicated on row (11) on such Reporting Person's cover page included herein.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Each of the Reporting Persons has the shared power to vote or direct the vote and the shared power to dispose or to</w:t>
      </w:r>
    </w:p>
    <w:p>
      <w:pPr>
        <w:spacing w:after="0" w:line="14" w:lineRule="exact"/>
        <w:rPr>
          <w:sz w:val="20"/>
          <w:szCs w:val="20"/>
          <w:color w:val="auto"/>
        </w:rPr>
      </w:pPr>
    </w:p>
    <w:p>
      <w:pPr>
        <w:ind w:left="920" w:right="120" w:hanging="912"/>
        <w:spacing w:after="0" w:line="237" w:lineRule="auto"/>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disposition of the shares of common stock indicated on row (8) on such Reporting Person's cover page that may be deemed to be beneficially owned by each of them.</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Item 3, or otherwise herein, to the knowledge of the Reporting Persons with respect to the</w:t>
      </w:r>
    </w:p>
    <w:p>
      <w:pPr>
        <w:spacing w:after="0" w:line="14" w:lineRule="exact"/>
        <w:rPr>
          <w:rFonts w:ascii="Times New Roman" w:cs="Times New Roman" w:eastAsia="Times New Roman" w:hAnsi="Times New Roman"/>
          <w:sz w:val="22"/>
          <w:szCs w:val="22"/>
          <w:color w:val="auto"/>
        </w:rPr>
      </w:pPr>
    </w:p>
    <w:p>
      <w:pPr>
        <w:ind w:left="920" w:right="840" w:hanging="912"/>
        <w:spacing w:after="0" w:line="237" w:lineRule="auto"/>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named in response to Item 5(a), none of the persons named in response to Item 5(a) has effected any transactions during the past 60 days.</w:t>
      </w:r>
    </w:p>
    <w:p>
      <w:pPr>
        <w:spacing w:after="0" w:line="16"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2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persons listed is known to have the right to receive or the power to direct the receipt of dividends from, or the proceeds from the sale of, any securities owned by any member of the group.</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Please see Item 5(a), which is hereby incorporated by reference. The GA Funds, the Sponsor Coinvestment Funds and the members of the Partnership Committee may, from time to time, consult among themselves and coordinate the voting and disposition of shares of common stock held of record by GA SP as well as such other action taken on behalf of the Reporting Persons with respect to the common stock held by the Reporting Persons as they deem to be in the collective interest of the Reporting Persons. The Reporting Persons entered into a Joint Filing Agreement on May 11, 2026 (the "Joint Filing Agreement"), pursuant to which they have agreed to file this Statement jointly in accordance with the provisions of Rule 13d-1(k)(1) under the Exchange Act. A copy of the Joint Filing Agreement is attached hereto as Exhibit 1. Pursuant to that certain Amended and Restated Investors' Rights Agreement (the "Investors' Rights Agreement"), dated October 18, 2024, by and among the Company, GA SP and the other shareholders of the Company named therein, the Reporting Persons are entitled to certain customary demand registration and piggyback registration rights, in each case subject to the terms and conditions of the Investors' Rights Agreement. The Investors' Rights Agreement terminated upon the closing of the IPO, except for certain registration rights granted thereunder which shall terminate in accordance with the terms of the Investors' Rights Agreement. The foregoing description of the Investors' Rights Agreement does not purport to be complete and is qualified in its entirety by reference to the Investors' Rights Agreement. The Investors' Rights Agreement is filed as Exhibit 2, and is incorporated herein by reference. In addition, GA SP entered into a customary lock-up agreement with the underwriters in the IPO (the "Lock-Up Agreement"), pursuant to which it agreed, subject to specified exceptions, not to directly or indirectly (i) offer, sell, contract to sell, pledge, grant any option, right or warrant to purchase, purchase</w:t>
      </w:r>
    </w:p>
    <w:p>
      <w:pPr>
        <w:sectPr>
          <w:pgSz w:w="11900" w:h="16838" w:orient="portrait"/>
          <w:cols w:equalWidth="0" w:num="1">
            <w:col w:w="11140"/>
          </w:cols>
          <w:pgMar w:left="360" w:top="112" w:right="399" w:bottom="0" w:gutter="0" w:footer="0" w:header="0"/>
        </w:sectPr>
      </w:pPr>
    </w:p>
    <w:bookmarkStart w:id="14" w:name="page15"/>
    <w:bookmarkEnd w:id="14"/>
    <w:p>
      <w:pPr>
        <w:ind w:left="920" w:right="80"/>
        <w:spacing w:after="0" w:line="232" w:lineRule="auto"/>
        <w:rPr>
          <w:sz w:val="20"/>
          <w:szCs w:val="20"/>
          <w:color w:val="auto"/>
        </w:rPr>
      </w:pPr>
      <w:r>
        <w:rPr>
          <w:rFonts w:ascii="Times New Roman" w:cs="Times New Roman" w:eastAsia="Times New Roman" w:hAnsi="Times New Roman"/>
          <w:sz w:val="22"/>
          <w:szCs w:val="22"/>
          <w:color w:val="auto"/>
        </w:rPr>
        <w:t>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 for a period commencing on April 30, 2026 and ending 180 days after May 1, 2026, the date of the final prospectus with respect to the IPO. GA SP may, however, transfer any of the securities to any affiliate, provided that such affiliate is bound by the balance of the lock-up period. The foregoing description of the Lock-Up Agreement does not purport to be complete and is qualified in its entirety by reference to the Lock-Up Agreement. A copy of the Lock-Up Agreement is attached hereto as Exhibit 3, and is incorporated herein by reference. Except as described above, there are no contracts, arrangements, understandings or relationships (legal or otherwise) between the Reporting Persons or, to the best of their knowledge, any of the persons named in Schedule A hereto and any other person with respect to any securities of the Company, including, but not limited to, transfer or voting of any securities, finder's fees, joint ventures, loan or option arrangements, puts or calls, guarantees of profits, division of profits or losses, or the giving or withholding of proxies.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40"/>
        <w:spacing w:after="0" w:line="248" w:lineRule="auto"/>
        <w:rPr>
          <w:sz w:val="20"/>
          <w:szCs w:val="20"/>
          <w:color w:val="auto"/>
        </w:rPr>
      </w:pPr>
      <w:r>
        <w:rPr>
          <w:rFonts w:ascii="Times New Roman" w:cs="Times New Roman" w:eastAsia="Times New Roman" w:hAnsi="Times New Roman"/>
          <w:sz w:val="21"/>
          <w:szCs w:val="21"/>
          <w:color w:val="auto"/>
        </w:rPr>
        <w:t>Exhibit 1: Agreement relating to the filing of the joint acquisition statements as required by Rule 13d-1(k)(1) under the Exchange Act. Exhibit 2: Amended and Restated Investors' Rights Agreement, by and among the Company, General Atlantic (SP), L.P. and certain other shareholders of the Company named therein dated October 18, 2024 (incorporated by reference to Exhibit 4.2 to the Company's Registration Statement on Form S-1 (Registration No. 333-294976) filed with the Securities and Exchange Commission on April 10, 2026). https://www.sec.gov/Archives/edgar/data/2042347/000119312526151211/d73463dex42.htm Exhibit 3: Lock-Up Agreement between the Representatives named therein and General Atlantic (SP), L.P., dated as of April 30, 2026.</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General Atlantic, L.P.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Michael Gosk, Managing Director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General Atlantic (SPV)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sole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General Atlantic Partners 100,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Michael Gosk, Managing Director of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Atlantic, L.P., the general partner of General</w:t>
      </w:r>
    </w:p>
    <w:p>
      <w:pPr>
        <w:ind w:left="6740"/>
        <w:spacing w:after="0"/>
        <w:rPr>
          <w:sz w:val="20"/>
          <w:szCs w:val="20"/>
          <w:color w:val="auto"/>
        </w:rPr>
      </w:pPr>
      <w:r>
        <w:rPr>
          <w:rFonts w:ascii="Times New Roman" w:cs="Times New Roman" w:eastAsia="Times New Roman" w:hAnsi="Times New Roman"/>
          <w:sz w:val="22"/>
          <w:szCs w:val="22"/>
          <w:color w:val="auto"/>
        </w:rPr>
        <w:t>Atlantic GenPar, L.P.,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General Atlantic (SP),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Michael Gosk, Managing Director of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Atlantic, L.P., the sole member of General</w:t>
      </w:r>
    </w:p>
    <w:p>
      <w:pPr>
        <w:ind w:left="6740"/>
        <w:spacing w:after="0"/>
        <w:rPr>
          <w:sz w:val="20"/>
          <w:szCs w:val="20"/>
          <w:color w:val="auto"/>
        </w:rPr>
      </w:pPr>
      <w:r>
        <w:rPr>
          <w:rFonts w:ascii="Times New Roman" w:cs="Times New Roman" w:eastAsia="Times New Roman" w:hAnsi="Times New Roman"/>
          <w:sz w:val="22"/>
          <w:szCs w:val="22"/>
          <w:color w:val="auto"/>
        </w:rPr>
        <w:t>Atlantic (SPV)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General Atlantic Partners (Lux) SCSp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Ingrid van der Hoorn</w:t>
      </w:r>
    </w:p>
    <w:p>
      <w:pPr>
        <w:sectPr>
          <w:pgSz w:w="11900" w:h="16838" w:orient="portrait"/>
          <w:cols w:equalWidth="0" w:num="1">
            <w:col w:w="11140"/>
          </w:cols>
          <w:pgMar w:left="360" w:top="112" w:right="399" w:bottom="0" w:gutter="0" w:footer="0" w:header="0"/>
        </w:sectPr>
      </w:pPr>
    </w:p>
    <w:bookmarkStart w:id="15" w:name="page16"/>
    <w:bookmarkEnd w:id="15"/>
    <w:p>
      <w:pPr>
        <w:spacing w:after="0" w:line="8" w:lineRule="exact"/>
        <w:rPr>
          <w:sz w:val="20"/>
          <w:szCs w:val="20"/>
          <w:color w:val="auto"/>
        </w:rPr>
      </w:pPr>
    </w:p>
    <w:p>
      <w:pPr>
        <w:ind w:left="5660" w:hanging="1093"/>
        <w:spacing w:after="0"/>
        <w:rPr>
          <w:sz w:val="20"/>
          <w:szCs w:val="20"/>
          <w:color w:val="auto"/>
        </w:rPr>
      </w:pPr>
      <w:r>
        <w:rPr>
          <w:rFonts w:ascii="Times New Roman" w:cs="Times New Roman" w:eastAsia="Times New Roman" w:hAnsi="Times New Roman"/>
          <w:sz w:val="22"/>
          <w:szCs w:val="22"/>
          <w:color w:val="auto"/>
        </w:rPr>
        <w:t>Name/Title: Ingrid van der Hoorn, Manager A of General Atlantic (Lux) S.a r.l., the general partner of General Atlantic GenPar (Lux) SCSp, its general partner</w:t>
      </w:r>
    </w:p>
    <w:p>
      <w:pPr>
        <w:spacing w:after="0" w:line="1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Blackwell</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William Blackwell, Manager B of General</w:t>
      </w:r>
    </w:p>
    <w:p>
      <w:pPr>
        <w:spacing w:after="0" w:line="14"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Atlantic (Lux) S.a r.l., the general partner of General Atlantic GenPar (Lux) SCSp, its general</w:t>
      </w: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General Atlantic GenPar,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L.P.,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GAP Coinvestments III,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L.P., its 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GAP Coinvestments IV,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L.P., its 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GAP Coinvestments V,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L.P., its 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GAP Coinvestments CDA,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L.P.,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General Atlantic GenPar (Lux) SCSp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Ingrid van der Hoorn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Ingrid van der Hoorn, Manager A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(Lux) S.a r.l.,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Blackwell</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William Blackwell, Manager B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(Lux) S.a r.l.,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General Atlantic (Lux) S.a r.l.</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Ingrid van der Hoorn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Ingrid van der Hoorn, Manager A</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Blackwell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Blackwell, Manager B</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47" w:orient="portrait"/>
          <w:cols w:equalWidth="0" w:num="1">
            <w:col w:w="9900"/>
          </w:cols>
          <w:pgMar w:left="1440" w:top="112" w:right="559" w:bottom="0" w:gutter="0" w:footer="0" w:header="0"/>
        </w:sectPr>
      </w:pPr>
    </w:p>
    <w:bookmarkStart w:id="16" w:name="page17"/>
    <w:bookmarkEnd w:id="16"/>
    <w:p>
      <w:pPr>
        <w:ind w:left="2680"/>
        <w:spacing w:after="0"/>
        <w:rPr>
          <w:sz w:val="20"/>
          <w:szCs w:val="20"/>
          <w:color w:val="auto"/>
        </w:rPr>
      </w:pPr>
      <w:r>
        <w:rPr>
          <w:rFonts w:ascii="Times New Roman" w:cs="Times New Roman" w:eastAsia="Times New Roman" w:hAnsi="Times New Roman"/>
          <w:sz w:val="22"/>
          <w:szCs w:val="22"/>
          <w:color w:val="auto"/>
        </w:rPr>
        <w:t>General Atlantic GenPar (Bermuda),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Michael Gosk, Managing Director of GAP</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(Bermuda) GP Limited, the general partner of</w:t>
      </w:r>
    </w:p>
    <w:p>
      <w:pPr>
        <w:ind w:left="5660"/>
        <w:spacing w:after="0"/>
        <w:rPr>
          <w:sz w:val="20"/>
          <w:szCs w:val="20"/>
          <w:color w:val="auto"/>
        </w:rPr>
      </w:pPr>
      <w:r>
        <w:rPr>
          <w:rFonts w:ascii="Times New Roman" w:cs="Times New Roman" w:eastAsia="Times New Roman" w:hAnsi="Times New Roman"/>
          <w:sz w:val="22"/>
          <w:szCs w:val="22"/>
          <w:color w:val="auto"/>
        </w:rPr>
        <w:t>GAP (Bermuda) L.P.,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GAP (Bermuda)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jc w:val="right"/>
        <w:ind w:right="2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GAP</w:t>
      </w:r>
    </w:p>
    <w:p>
      <w:pPr>
        <w:spacing w:after="0" w:line="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(Bermuda) GP Limited,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9640"/>
          </w:cols>
          <w:pgMar w:left="1440" w:top="220" w:right="8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Members of the Partnership Committee (as of the date hereof)</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4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298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William E. Ford</w:t>
            </w:r>
          </w:p>
        </w:tc>
        <w:tc>
          <w:tcPr>
            <w:tcW w:w="48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86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shd w:val="clear" w:color="auto" w:fill="C6F4F9"/>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48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1"/>
        </w:trPr>
        <w:tc>
          <w:tcPr>
            <w:tcW w:w="29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Torbjorn Caesar</w:t>
            </w:r>
          </w:p>
        </w:tc>
        <w:tc>
          <w:tcPr>
            <w:tcW w:w="4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Royal Park, 29, Avenue de la Porte-Neuve</w:t>
            </w:r>
          </w:p>
        </w:tc>
        <w:tc>
          <w:tcPr>
            <w:tcW w:w="3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Sweden and United Kingdom</w:t>
            </w: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L-2227 Luxembourg</w:t>
            </w:r>
          </w:p>
        </w:tc>
        <w:tc>
          <w:tcPr>
            <w:tcW w:w="3400" w:type="dxa"/>
            <w:vAlign w:val="bottom"/>
            <w:tcBorders>
              <w:bottom w:val="single" w:sz="8" w:color="auto"/>
              <w:right w:val="single" w:sz="8" w:color="auto"/>
            </w:tcBorders>
          </w:tcPr>
          <w:p>
            <w:pPr>
              <w:spacing w:after="0"/>
              <w:rPr>
                <w:sz w:val="20"/>
                <w:szCs w:val="20"/>
                <w:color w:val="auto"/>
              </w:rPr>
            </w:pPr>
          </w:p>
        </w:tc>
      </w:tr>
      <w:tr>
        <w:trPr>
          <w:trHeight w:val="191"/>
        </w:trPr>
        <w:tc>
          <w:tcPr>
            <w:tcW w:w="298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Gabriel Caillaux</w:t>
            </w:r>
          </w:p>
        </w:tc>
        <w:tc>
          <w:tcPr>
            <w:tcW w:w="48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23 Savile Row</w:t>
            </w:r>
          </w:p>
        </w:tc>
        <w:tc>
          <w:tcPr>
            <w:tcW w:w="340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980" w:type="dxa"/>
            <w:vAlign w:val="bottom"/>
            <w:tcBorders>
              <w:left w:val="single" w:sz="8" w:color="auto"/>
              <w:right w:val="single" w:sz="8" w:color="auto"/>
            </w:tcBorders>
            <w:shd w:val="clear" w:color="auto" w:fill="C6F4F9"/>
          </w:tcPr>
          <w:p>
            <w:pPr>
              <w:spacing w:after="0"/>
              <w:rPr>
                <w:sz w:val="18"/>
                <w:szCs w:val="18"/>
                <w:color w:val="auto"/>
              </w:rPr>
            </w:pPr>
          </w:p>
        </w:tc>
        <w:tc>
          <w:tcPr>
            <w:tcW w:w="486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400" w:type="dxa"/>
            <w:vAlign w:val="bottom"/>
            <w:tcBorders>
              <w:right w:val="single" w:sz="8" w:color="auto"/>
            </w:tcBorders>
            <w:shd w:val="clear" w:color="auto" w:fill="C6F4F9"/>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48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40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1"/>
        </w:trPr>
        <w:tc>
          <w:tcPr>
            <w:tcW w:w="29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Martín Escobari</w:t>
            </w:r>
          </w:p>
        </w:tc>
        <w:tc>
          <w:tcPr>
            <w:tcW w:w="4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 and Brazil</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tcPr>
          <w:p>
            <w:pPr>
              <w:spacing w:after="0"/>
              <w:rPr>
                <w:sz w:val="20"/>
                <w:szCs w:val="20"/>
                <w:color w:val="auto"/>
              </w:rPr>
            </w:pPr>
          </w:p>
        </w:tc>
      </w:tr>
      <w:tr>
        <w:trPr>
          <w:trHeight w:val="191"/>
        </w:trPr>
        <w:tc>
          <w:tcPr>
            <w:tcW w:w="298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Hodgson</w:t>
            </w:r>
          </w:p>
        </w:tc>
        <w:tc>
          <w:tcPr>
            <w:tcW w:w="48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shd w:val="clear" w:color="auto" w:fill="C6F4F9"/>
          </w:tcPr>
          <w:p>
            <w:pPr>
              <w:spacing w:after="0"/>
              <w:rPr>
                <w:sz w:val="18"/>
                <w:szCs w:val="18"/>
                <w:color w:val="auto"/>
              </w:rPr>
            </w:pPr>
          </w:p>
        </w:tc>
        <w:tc>
          <w:tcPr>
            <w:tcW w:w="486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shd w:val="clear" w:color="auto" w:fill="C6F4F9"/>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48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1"/>
        </w:trPr>
        <w:tc>
          <w:tcPr>
            <w:tcW w:w="29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Lanning</w:t>
            </w:r>
          </w:p>
        </w:tc>
        <w:tc>
          <w:tcPr>
            <w:tcW w:w="4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tcPr>
          <w:p>
            <w:pPr>
              <w:spacing w:after="0"/>
              <w:rPr>
                <w:sz w:val="20"/>
                <w:szCs w:val="20"/>
                <w:color w:val="auto"/>
              </w:rPr>
            </w:pPr>
          </w:p>
        </w:tc>
      </w:tr>
      <w:tr>
        <w:trPr>
          <w:trHeight w:val="1189"/>
        </w:trPr>
        <w:tc>
          <w:tcPr>
            <w:tcW w:w="2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ACQUISITION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13D-1(k)(1)</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May 11,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(SPV)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sole member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100,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L.P., its general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(SP),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(SPV) GP, LLC, its general</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L.P., its sole member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120" w:type="dxa"/>
            <w:vAlign w:val="bottom"/>
          </w:tcPr>
          <w:p>
            <w:pPr>
              <w:spacing w:after="0"/>
              <w:rPr>
                <w:sz w:val="20"/>
                <w:szCs w:val="20"/>
                <w:color w:val="auto"/>
              </w:rPr>
            </w:pPr>
          </w:p>
        </w:tc>
      </w:tr>
      <w:tr>
        <w:trPr>
          <w:trHeight w:val="790"/>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8"/>
          <w:szCs w:val="18"/>
          <w:b w:val="1"/>
          <w:bCs w:val="1"/>
          <w:color w:val="auto"/>
        </w:rPr>
        <w:t>GENERAL ATLANTIC PARTNERS (LUX), SCSp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ATLANTIC (LUX)</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S.À R.L., its general partner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ATLANTIC GenPar</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 SCSp,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managing member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0" w:name="page21"/>
    <w:bookmarkEnd w:id="20"/>
    <w:p>
      <w:pPr>
        <w:ind w:left="564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managing member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managing member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sole member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GENPAR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ATLANTIC (LUX)</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S.À R.L.,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8"/>
          <w:szCs w:val="18"/>
          <w:b w:val="1"/>
          <w:bCs w:val="1"/>
          <w:color w:val="auto"/>
        </w:rPr>
        <w:t>GENERAL ATLANTIC (LUX), S.A R.L.</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GENERAL ATLANTIC GENPAR (BERMUDA),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GAP (BERMUDA)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GAP (BERMUDA) GP LIMITED,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Agreed Form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Seaport Therapeutics,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rPr>
          <w:sz w:val="20"/>
          <w:szCs w:val="20"/>
          <w:color w:val="auto"/>
        </w:rPr>
      </w:pPr>
      <w:r>
        <w:rPr>
          <w:rFonts w:ascii="Arial" w:cs="Arial" w:eastAsia="Arial" w:hAnsi="Arial"/>
          <w:sz w:val="18"/>
          <w:szCs w:val="18"/>
          <w:color w:val="auto"/>
        </w:rPr>
        <w:t>Leerink Partners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to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rPr>
          <w:sz w:val="20"/>
          <w:szCs w:val="20"/>
          <w:color w:val="auto"/>
        </w:rPr>
      </w:pPr>
      <w:r>
        <w:rPr>
          <w:rFonts w:ascii="Arial" w:cs="Arial" w:eastAsia="Arial" w:hAnsi="Arial"/>
          <w:sz w:val="18"/>
          <w:szCs w:val="18"/>
          <w:color w:val="auto"/>
        </w:rPr>
        <w:t>New York, NY 10282-2198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rPr>
          <w:sz w:val="20"/>
          <w:szCs w:val="20"/>
          <w:color w:val="auto"/>
        </w:rPr>
      </w:pPr>
      <w:r>
        <w:rPr>
          <w:rFonts w:ascii="Arial" w:cs="Arial" w:eastAsia="Arial" w:hAnsi="Arial"/>
          <w:sz w:val="18"/>
          <w:szCs w:val="18"/>
          <w:color w:val="auto"/>
        </w:rPr>
        <w:t>New York, NY 10017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12th Floor</w:t>
      </w:r>
    </w:p>
    <w:p>
      <w:pPr>
        <w:spacing w:after="0"/>
        <w:rPr>
          <w:sz w:val="20"/>
          <w:szCs w:val="20"/>
          <w:color w:val="auto"/>
        </w:rPr>
      </w:pPr>
      <w:r>
        <w:rPr>
          <w:rFonts w:ascii="Arial" w:cs="Arial" w:eastAsia="Arial" w:hAnsi="Arial"/>
          <w:sz w:val="18"/>
          <w:szCs w:val="18"/>
          <w:color w:val="auto"/>
        </w:rPr>
        <w:t>New York, NY 10019</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Seaport Therapeutics, Inc. - Lock-Up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Seaport Therapeutics, Inc., a Delaware corporation (the “Company”), providing for a public offering (the “Public Offering”) of shares (the “Shares”) of the common stock, par value $0.0001 per share, of the Company (the “Common Stock”) pursuant to a Registration Statement on Form S-1 (the “Registration Statement”) to be filed with the Securities and Exchange Commission (the “SEC”).</w:t>
      </w:r>
    </w:p>
    <w:p>
      <w:pPr>
        <w:spacing w:after="0" w:line="16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39" w:lineRule="auto"/>
        <w:rPr>
          <w:sz w:val="20"/>
          <w:szCs w:val="20"/>
          <w:color w:val="auto"/>
        </w:rPr>
      </w:pPr>
      <w:r>
        <w:rPr>
          <w:rFonts w:ascii="Arial" w:cs="Arial" w:eastAsia="Arial" w:hAnsi="Arial"/>
          <w:sz w:val="18"/>
          <w:szCs w:val="18"/>
          <w:color w:val="auto"/>
        </w:rPr>
        <w:t>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undersigned may:</w:t>
      </w:r>
    </w:p>
    <w:p>
      <w:pPr>
        <w:spacing w:after="0" w:line="198" w:lineRule="exact"/>
        <w:rPr>
          <w:sz w:val="20"/>
          <w:szCs w:val="20"/>
          <w:color w:val="auto"/>
        </w:rPr>
      </w:pPr>
    </w:p>
    <w:p>
      <w:pPr>
        <w:jc w:val="both"/>
        <w:ind w:left="980" w:hanging="324"/>
        <w:spacing w:after="0" w:line="23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transfer the undersigned’s Lock-Up Securities (i) as one or more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gifts or charitable contributions, or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corporation,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trust or other business entity, (A) to another corporation, partnership, limited liability company, trust or other business entity that is a controlled subsidiary or an affiliate (as defined in Rule 405 under the Securities Act of 1933, as amended) of the undersigned, or to any investment fund or other entity which fund or entity is controlled or managed by the undersigned or affiliates of the undersigned (including, for the avoidance of doubt, where the undersigned is a partnership, to its general partner or a successor partnership or fund, or any other funds managed by such partnership), or (B) as part of a disposition, transfer or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(the “Closing Date”),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4" w:name="page25"/>
    <w:bookmarkEnd w:id="24"/>
    <w:p>
      <w:pPr>
        <w:jc w:val="both"/>
        <w:spacing w:after="0" w:line="236" w:lineRule="auto"/>
        <w:rPr>
          <w:sz w:val="20"/>
          <w:szCs w:val="20"/>
          <w:color w:val="auto"/>
        </w:rPr>
      </w:pPr>
      <w:r>
        <w:rPr>
          <w:rFonts w:ascii="Arial" w:cs="Arial" w:eastAsia="Arial" w:hAnsi="Arial"/>
          <w:sz w:val="18"/>
          <w:szCs w:val="18"/>
          <w:color w:val="auto"/>
        </w:rPr>
        <w:t>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(xi) in connection with the pledge, hypothecation or other granting of a security interest in the Lock-Up Securities to one or more unaffiliated commercial banks or regulated financial lending institutions (each, a “Lender”) as collateral for bona fide loans, security for any loan, advance or, extension of credit; provided that (A) no such pledge shall transfer any voting, dispositive, or economic rights during the Lock-Up Period, (B) as a condition to any such pledge, each Lender shall agree in writing to be bound by the transfer restrictions applicable to the Lock-Up Securities, (C) each applicable Lender shall, upon any foreclosure, acceptance of collateral, enforcement of remedies, or other realization upon the pledged securities (however denominated), sign and deliver a lock-up agreement substantially in the form of this Lock-Up Agreement and (D) the undersigned shall provide prompt written notice to the Underwriters of such pledge; or (xii) with the prior written consent of Goldman Sachs &amp; Co. LLC and J.P. Morgan Securities LLC (the “Lock-Up Release Parties”) on behalf of the Underwriters; provided, that, in the case of clause (xii), the Lock-Up Release Parties shall provide immediate notice to the Company of any request for or intention to grant such consent and shall obtain the explicit, written consent of the Company prior to granting any such consent or other release or waiver from any of the terms of this agreement; provided, further, that the consent of the Company provided in response to a request pursuant to this clause (xii) with respect to any one stockholder shall be deemed consent by the Company to the consent, release or waiver of all stockholders, with respect to the same subject matter for which the consent was granted for such stockholder pursuant to this clause (xii) who are subject to such consent, release or waiver by the Lock-Up Release Parties pursuant to this clause (xii); provided, further,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(vii), (viii), (ix) and (xi)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in the form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272415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823" w:right="339" w:bottom="1440" w:gutter="0" w:footer="0" w:header="0"/>
        </w:sectPr>
      </w:pPr>
    </w:p>
    <w:bookmarkStart w:id="25" w:name="page26"/>
    <w:bookmarkEnd w:id="25"/>
    <w:p>
      <w:pPr>
        <w:jc w:val="both"/>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none of the securities subject to such plan may be transferred, sold or otherwise disposed of pursuant to such plan until after the expiration of the Lock-Up Period;</w:t>
      </w:r>
    </w:p>
    <w:p>
      <w:pPr>
        <w:spacing w:after="0" w:line="166"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undersigned may agree to transfer, sell, tender or otherwise dispose of Common Stock or such other securities in connection with a transaction described in clause (i) above; provided that in the event that such tender offer, merger, consolidation or other similar transaction is not completed, the undersigned’s Lock-Up Securities shall remain subject to the provisions of this Lock-Up Agreement;</w:t>
      </w:r>
    </w:p>
    <w:p>
      <w:pPr>
        <w:spacing w:after="0" w:line="152" w:lineRule="exact"/>
        <w:rPr>
          <w:rFonts w:ascii="Arial" w:cs="Arial" w:eastAsia="Arial" w:hAnsi="Arial"/>
          <w:sz w:val="18"/>
          <w:szCs w:val="18"/>
          <w:color w:val="auto"/>
        </w:rPr>
      </w:pPr>
    </w:p>
    <w:p>
      <w:pPr>
        <w:jc w:val="both"/>
        <w:ind w:left="980" w:hanging="324"/>
        <w:spacing w:after="0" w:line="24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the undersigned’s Lock-Up Securities to the Company pursuant to an agreement under which the Company has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and</w:t>
      </w:r>
    </w:p>
    <w:p>
      <w:pPr>
        <w:spacing w:after="0" w:line="162" w:lineRule="exact"/>
        <w:rPr>
          <w:rFonts w:ascii="Arial" w:cs="Arial" w:eastAsia="Arial" w:hAnsi="Arial"/>
          <w:sz w:val="18"/>
          <w:szCs w:val="18"/>
          <w:color w:val="auto"/>
        </w:rPr>
      </w:pPr>
    </w:p>
    <w:p>
      <w:pPr>
        <w:ind w:left="980" w:hanging="324"/>
        <w:spacing w:after="0" w:line="27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convert outstanding preferred stock of the Company into shares of Common Stock, provided that any such shares received upon such conversion shall remain subject to the provisions of this Lock-Up Agreement.</w:t>
      </w:r>
    </w:p>
    <w:p>
      <w:pPr>
        <w:spacing w:after="0" w:line="14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1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the event that, during the Lock-Up Period, the Lock-Up Release Parties release or waive, in full or in part, any prohibition set forth in this Lock-Up Agreement or any similar lock-up agreement (including for, the avoidance of doubt, pursuant to clause (a)(xii)) in respect of securities held by any officer, director or Significant Holder (as defined below) (a “Triggering Release”), the same percentage of securities of the undersigned subject to this Lock-Up Agreement as the percentage of securities being released in the Triggering Release represents with respect to the securities held directly or indirectly by such Significant Holder (calculated as a percentage of the total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6" w:name="page27"/>
    <w:bookmarkEnd w:id="26"/>
    <w:p>
      <w:pPr>
        <w:jc w:val="both"/>
        <w:spacing w:after="0" w:line="237" w:lineRule="auto"/>
        <w:rPr>
          <w:sz w:val="20"/>
          <w:szCs w:val="20"/>
          <w:color w:val="auto"/>
        </w:rPr>
      </w:pPr>
      <w:r>
        <w:rPr>
          <w:rFonts w:ascii="Arial" w:cs="Arial" w:eastAsia="Arial" w:hAnsi="Arial"/>
          <w:sz w:val="18"/>
          <w:szCs w:val="18"/>
          <w:color w:val="auto"/>
        </w:rPr>
        <w:t>securities subject to this Lock-Up Agreement held directly or indirectly by such Significant Holder) at the time of the request of the Triggering Release shall be automatically and concurrently released from this Lock-Up Agreement upon the same terms and conditions. For the purposes of the foregoing, a “Significant Holder” shall mean any person or entity that beneficially owns 1% or more of the total outstanding shares of Common Stock (calculated on an as-converted, fully-diluted basis as of the date of the Prospectus). In the event of a Triggering Release, the Lock-Up Release Parties and the Company shall use commercially reasonable efforts to notify each of the undersigned within two (2) business days of the occurrence of such Triggering Release (provided that the failure to provide such notice shall not give rise to any claim or liability against the Lock-Up Release Parties or the Company). Notwithstanding the foregoing, the provisions of this paragraph will not apply (i) if the Triggering Release (together with all prior Triggering Releases) is effected with respect to up to an aggregate of less than 1% of the outstanding shares of Common Stock (calculated on an as-converted, fully-diluted basis as of the date of the Prospectus); (ii) if the Triggering Release is effected solely to permit a transfer not involving a disposition for value and the transferee agrees in writing to be bound by the same terms described in this Lock-Up Agreement to the extent and for the duration that such terms remain in effect at the time of transfer; or (iii) if the Triggering Release is effected for the purpose of allowing the Triggering Shareholder to sell the Lock-Up Securities as part of an underwritten public offering, whether or not such offering is wholly or partially a secondary offering of the Company's securities (an “Underwritten Sale”), provided that each of the undersigned is offered the opportunity to participate on a pro rata basis in such Underwritten Sale and on pricing terms that are no less favorable than the terms of such Underwritten Sale; and in the event the Underwriters make the determination to cut back the number of securities to be sold by stockholders in such Underwritten Sale, such cut back shall be applied to each of the undersigned on a basis consistent with all stockholders. For the avoidance of doubt, except as described in clause (a)(xi), none of the permitted Transfers listed above will be a Triggering Release. For purposes of determining record or beneficial ownership of a stockholder, all shares of Common Stock held by investment funds affiliated with such stockholder shall be aggregated.</w:t>
      </w:r>
    </w:p>
    <w:p>
      <w:pPr>
        <w:spacing w:after="0" w:line="15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If the undersigned is an officer or director of the Company, (i) each of the Lock-Up Release Parties agrees that, at least three business days before the effective date of any release or waiver of the foregoing restrictions in connection with a transfer of shares of Common Stock, each of the Lock-Up Release Parties will notify the Company of the impending release or waiver, and (ii) the Company has agreed in the Underwriting Agreement to announce the impending release or waiver by press release through a major news service (or such other method approved by the Lock-Up Release Parties that satisfies the requirements of FINRA Rule 5131(d)(2)) at least two business days before the effective date of the release or waiver. Any release or waiver granted by the Lock-Up Release Parties hereunder to any such officer or director shall only be effective two business days after the publication date of such press release.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undersigned now has, and through the Closing Date will have, good and marketable title to the undersigned’s Lock-Up Securities, free and clear of all liens, encumbrances and claims, other than under applicable securities laws.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7" w:name="page28"/>
    <w:bookmarkEnd w:id="27"/>
    <w:p>
      <w:pPr>
        <w:jc w:val="both"/>
        <w:ind w:firstLine="648"/>
        <w:spacing w:after="0" w:line="239" w:lineRule="auto"/>
        <w:rPr>
          <w:sz w:val="20"/>
          <w:szCs w:val="20"/>
          <w:color w:val="auto"/>
        </w:rPr>
      </w:pPr>
      <w:r>
        <w:rPr>
          <w:rFonts w:ascii="Arial" w:cs="Arial" w:eastAsia="Arial" w:hAnsi="Arial"/>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5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June 30, 2026, in the event that the Underwriting Agreement has not been executed by such date (provided, however, that the Company may, by written notice to the undersigned prior to such date, extend such date by a period of up to an additional 90 days).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Notwithstanding anything herein to the contrary, Goldman Sachs &amp; Co. LLC and its affiliates, other than the undersigned, may engage in brokerage, investment advisory, financial advisory, anti-raid advisory, merger advisory, financing, asset management, trading, market making, arbitrage, principal investing and other similar activities conducted in the ordinary course of their affiliates’ business.</w:t>
      </w:r>
    </w:p>
    <w:p>
      <w:pPr>
        <w:spacing w:after="0" w:line="14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9"/>
        </w:trPr>
        <w:tc>
          <w:tcPr>
            <w:tcW w:w="4420" w:type="dxa"/>
            <w:vAlign w:val="bottom"/>
            <w:gridSpan w:val="2"/>
          </w:tcPr>
          <w:p>
            <w:pPr>
              <w:spacing w:after="0"/>
              <w:rPr>
                <w:sz w:val="20"/>
                <w:szCs w:val="20"/>
                <w:color w:val="auto"/>
              </w:rPr>
            </w:pPr>
            <w:r>
              <w:rPr>
                <w:rFonts w:ascii="Arial" w:cs="Arial" w:eastAsia="Arial" w:hAnsi="Arial"/>
                <w:sz w:val="18"/>
                <w:szCs w:val="18"/>
                <w:color w:val="auto"/>
              </w:rPr>
              <w:t>Very truly yours,</w:t>
            </w:r>
          </w:p>
        </w:tc>
        <w:tc>
          <w:tcPr>
            <w:tcW w:w="2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0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IF AN INDIVIDUAL:</w:t>
            </w:r>
          </w:p>
        </w:tc>
        <w:tc>
          <w:tcPr>
            <w:tcW w:w="6100" w:type="dxa"/>
            <w:vAlign w:val="bottom"/>
            <w:gridSpan w:val="2"/>
          </w:tcPr>
          <w:p>
            <w:pPr>
              <w:ind w:left="1640"/>
              <w:spacing w:after="0"/>
              <w:rPr>
                <w:sz w:val="20"/>
                <w:szCs w:val="20"/>
                <w:color w:val="auto"/>
              </w:rPr>
            </w:pPr>
            <w:r>
              <w:rPr>
                <w:rFonts w:ascii="Arial" w:cs="Arial" w:eastAsia="Arial" w:hAnsi="Arial"/>
                <w:sz w:val="18"/>
                <w:szCs w:val="18"/>
                <w:b w:val="1"/>
                <w:bCs w:val="1"/>
                <w:color w:val="auto"/>
              </w:rPr>
              <w:t>IF AN ENTITY:</w:t>
            </w:r>
          </w:p>
        </w:tc>
      </w:tr>
      <w:tr>
        <w:trPr>
          <w:trHeight w:val="420"/>
        </w:trPr>
        <w:tc>
          <w:tcPr>
            <w:tcW w:w="4420" w:type="dxa"/>
            <w:vAlign w:val="bottom"/>
            <w:gridSpan w:val="2"/>
          </w:tcPr>
          <w:p>
            <w:pPr>
              <w:spacing w:after="0"/>
              <w:rPr>
                <w:sz w:val="20"/>
                <w:szCs w:val="20"/>
                <w:color w:val="auto"/>
              </w:rPr>
            </w:pPr>
            <w:r>
              <w:rPr>
                <w:rFonts w:ascii="Arial" w:cs="Arial" w:eastAsia="Arial" w:hAnsi="Arial"/>
                <w:sz w:val="18"/>
                <w:szCs w:val="18"/>
                <w:color w:val="auto"/>
              </w:rPr>
              <w:t>By:</w:t>
            </w:r>
          </w:p>
        </w:tc>
        <w:tc>
          <w:tcPr>
            <w:tcW w:w="6100" w:type="dxa"/>
            <w:vAlign w:val="bottom"/>
            <w:gridSpan w:val="2"/>
          </w:tcPr>
          <w:p>
            <w:pPr>
              <w:ind w:left="1640"/>
              <w:spacing w:after="0"/>
              <w:rPr>
                <w:sz w:val="20"/>
                <w:szCs w:val="20"/>
                <w:color w:val="auto"/>
              </w:rPr>
            </w:pPr>
            <w:r>
              <w:rPr>
                <w:rFonts w:ascii="Arial" w:cs="Arial" w:eastAsia="Arial" w:hAnsi="Arial"/>
                <w:sz w:val="18"/>
                <w:szCs w:val="18"/>
                <w:b w:val="1"/>
                <w:bCs w:val="1"/>
                <w:color w:val="auto"/>
              </w:rPr>
              <w:t>GENERAL ATLANTIC (SP), L.P.</w:t>
            </w:r>
          </w:p>
        </w:tc>
      </w:tr>
      <w:tr>
        <w:trPr>
          <w:trHeight w:val="230"/>
        </w:trPr>
        <w:tc>
          <w:tcPr>
            <w:tcW w:w="54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rPr>
              <w:t>(duly authorized signature)</w:t>
            </w:r>
          </w:p>
        </w:tc>
        <w:tc>
          <w:tcPr>
            <w:tcW w:w="2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91"/>
        </w:trPr>
        <w:tc>
          <w:tcPr>
            <w:tcW w:w="4420" w:type="dxa"/>
            <w:vAlign w:val="bottom"/>
            <w:gridSpan w:val="2"/>
          </w:tcPr>
          <w:p>
            <w:pPr>
              <w:spacing w:after="0"/>
              <w:rPr>
                <w:sz w:val="20"/>
                <w:szCs w:val="20"/>
                <w:color w:val="auto"/>
              </w:rPr>
            </w:pPr>
            <w:r>
              <w:rPr>
                <w:rFonts w:ascii="Arial" w:cs="Arial" w:eastAsia="Arial" w:hAnsi="Arial"/>
                <w:sz w:val="18"/>
                <w:szCs w:val="18"/>
                <w:color w:val="auto"/>
              </w:rPr>
              <w:t>Name:</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Gordon Cruess</w:t>
            </w:r>
          </w:p>
        </w:tc>
      </w:tr>
      <w:tr>
        <w:trPr>
          <w:trHeight w:val="184"/>
        </w:trPr>
        <w:tc>
          <w:tcPr>
            <w:tcW w:w="540" w:type="dxa"/>
            <w:vAlign w:val="bottom"/>
          </w:tcPr>
          <w:p>
            <w:pPr>
              <w:spacing w:after="0"/>
              <w:rPr>
                <w:sz w:val="15"/>
                <w:szCs w:val="15"/>
                <w:color w:val="auto"/>
              </w:rPr>
            </w:pPr>
          </w:p>
        </w:tc>
        <w:tc>
          <w:tcPr>
            <w:tcW w:w="38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8"/>
                <w:szCs w:val="18"/>
                <w:i w:val="1"/>
                <w:iCs w:val="1"/>
                <w:color w:val="auto"/>
                <w:w w:val="99"/>
              </w:rPr>
              <w:t>(please print full name)</w:t>
            </w:r>
          </w:p>
        </w:tc>
        <w:tc>
          <w:tcPr>
            <w:tcW w:w="2200" w:type="dxa"/>
            <w:vAlign w:val="bottom"/>
          </w:tcPr>
          <w:p>
            <w:pPr>
              <w:ind w:left="1640"/>
              <w:spacing w:after="0" w:line="183"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rPr>
              <w:t>Gordon Cruess</w:t>
            </w:r>
          </w:p>
        </w:tc>
      </w:tr>
      <w:tr>
        <w:trPr>
          <w:trHeight w:val="239"/>
        </w:trPr>
        <w:tc>
          <w:tcPr>
            <w:tcW w:w="5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0" w:type="dxa"/>
            <w:vAlign w:val="bottom"/>
          </w:tcPr>
          <w:p>
            <w:pPr>
              <w:ind w:left="1640"/>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c/o General Atlantic Service Company, L.P.</w:t>
      </w:r>
    </w:p>
    <w:p>
      <w:pPr>
        <w:ind w:left="6060"/>
        <w:spacing w:after="0" w:line="191" w:lineRule="auto"/>
        <w:rPr>
          <w:sz w:val="20"/>
          <w:szCs w:val="20"/>
          <w:color w:val="auto"/>
        </w:rPr>
      </w:pPr>
      <w:r>
        <w:rPr>
          <w:rFonts w:ascii="Arial" w:cs="Arial" w:eastAsia="Arial" w:hAnsi="Arial"/>
          <w:sz w:val="17"/>
          <w:szCs w:val="17"/>
          <w:color w:val="auto"/>
        </w:rPr>
        <w:t>55 East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33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New York, New York 10055</w:t>
      </w:r>
    </w:p>
    <w:p>
      <w:pPr>
        <w:ind w:left="6060"/>
        <w:spacing w:after="0" w:line="235" w:lineRule="auto"/>
        <w:rPr>
          <w:sz w:val="20"/>
          <w:szCs w:val="20"/>
          <w:color w:val="auto"/>
        </w:rPr>
      </w:pPr>
      <w:r>
        <w:rPr>
          <w:rFonts w:ascii="Arial" w:cs="Arial" w:eastAsia="Arial" w:hAnsi="Arial"/>
          <w:sz w:val="18"/>
          <w:szCs w:val="18"/>
          <w:color w:val="auto"/>
        </w:rPr>
        <w:t>Attn: Gordon Cruess</w:t>
      </w:r>
    </w:p>
    <w:p>
      <w:pPr>
        <w:ind w:left="6060"/>
        <w:spacing w:after="0"/>
        <w:rPr>
          <w:sz w:val="20"/>
          <w:szCs w:val="20"/>
          <w:color w:val="auto"/>
        </w:rPr>
      </w:pPr>
      <w:r>
        <w:rPr>
          <w:rFonts w:ascii="Arial" w:cs="Arial" w:eastAsia="Arial" w:hAnsi="Arial"/>
          <w:sz w:val="18"/>
          <w:szCs w:val="18"/>
          <w:color w:val="auto"/>
        </w:rPr>
        <w:t>Email: gcruess@generalatlantic.com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40"/>
      </w:cols>
      <w:pgMar w:left="320" w:top="67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2"/>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2"/>
      <w:numFmt w:val="bullet"/>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2"/>
      <w:numFmt w:val="bullet"/>
      <w:start w:val="1"/>
    </w:lvl>
  </w:abstractNum>
  <w:abstractNum w:abstractNumId="5">
    <w:nsid w:val="DED7263"/>
    <w:multiLevelType w:val="hybridMultilevel"/>
    <w:lvl w:ilvl="0">
      <w:lvlJc w:val="left"/>
      <w:lvlText w:val="3"/>
      <w:numFmt w:val="bullet"/>
      <w:start w:val="1"/>
    </w:lvl>
  </w:abstractNum>
  <w:abstractNum w:abstractNumId="6">
    <w:nsid w:val="7FDCC233"/>
    <w:multiLevelType w:val="hybridMultilevel"/>
    <w:lvl w:ilvl="0">
      <w:lvlJc w:val="left"/>
      <w:lvlText w:val="4"/>
      <w:numFmt w:val="bullet"/>
      <w:start w:val="1"/>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lvl w:ilvl="1">
      <w:lvlJc w:val="left"/>
      <w:lvlText w:val="(%2)"/>
      <w:numFmt w:val="lowerRoman"/>
      <w:start w:val="3"/>
    </w:lvl>
  </w:abstractNum>
  <w:abstractNum w:abstractNumId="15">
    <w:nsid w:val="7C83E458"/>
    <w:multiLevelType w:val="hybridMultilevel"/>
    <w:lvl w:ilvl="0">
      <w:lvlJc w:val="left"/>
      <w:lvlText w:val="%1"/>
      <w:numFmt w:val="lowerLetter"/>
      <w:start w:val="1"/>
    </w:lvl>
    <w:lvl w:ilvl="1">
      <w:lvlJc w:val="left"/>
      <w:lvlText w:val="(%2)"/>
      <w:numFmt w:val="lowerRoman"/>
      <w:start w:val="12"/>
    </w:lvl>
  </w:abstractNum>
  <w:abstractNum w:abstractNumId="16">
    <w:nsid w:val="257130A3"/>
    <w:multiLevelType w:val="hybridMultilevel"/>
    <w:lvl w:ilvl="0">
      <w:lvlJc w:val="left"/>
      <w:lvlText w:val="(%1)"/>
      <w:numFmt w:val="lowerLetter"/>
      <w:start w:val="1"/>
    </w:lvl>
    <w:lvl w:ilvl="1">
      <w:lvlJc w:val="left"/>
      <w:lvlText w:val="(%2)"/>
      <w:numFmt w:val="lowerRoman"/>
      <w:start w:val="1"/>
    </w:lvl>
  </w:abstractNum>
  <w:abstractNum w:abstractNumId="17">
    <w:nsid w:val="62BBD95A"/>
    <w:multiLevelType w:val="hybridMultilevel"/>
    <w:lvl w:ilvl="0">
      <w:lvlJc w:val="left"/>
      <w:lvlText w:val="%1"/>
      <w:numFmt w:val="lowerLetter"/>
      <w:start w:val="1"/>
    </w:lvl>
    <w:lvl w:ilvl="1">
      <w:lvlJc w:val="left"/>
      <w:lvlText w:val="(%2)"/>
      <w:numFmt w:val="lowerRoman"/>
      <w:start w:val="4"/>
    </w:lvl>
  </w:abstractNum>
  <w:abstractNum w:abstractNumId="18">
    <w:nsid w:val="436C6125"/>
    <w:multiLevelType w:val="hybridMultilevel"/>
    <w:lvl w:ilvl="0">
      <w:lvlJc w:val="left"/>
      <w:lvlText w:val="(%1)"/>
      <w:numFmt w:val="lowerLetter"/>
      <w:start w:val="1"/>
    </w:lvl>
    <w:lvl w:ilvl="1">
      <w:lvlJc w:val="left"/>
      <w:lvlText w:val="(%2)"/>
      <w:numFmt w:val="lowerRoman"/>
      <w:start w:val="7"/>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2026-05-11T18:56:17Z</dcterms:created>
  <dcterms:modified xsi:type="dcterms:W3CDTF">2026-05-11T18:56:17Z</dcterms:modified>
</cp:coreProperties>
</file>