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0068d8k.htm"/>
      <w:bookmarkStart w:id="1" w:name="ksd15006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May 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SEAPORT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001-43254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99-2235719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Seaport Therapeutics, Inc.</w:t>
      </w:r>
    </w:p>
    <w:p>
      <w:pPr>
        <w:pStyle w:val="TextBody"/>
        <w:bidi w:val="0"/>
        <w:spacing w:before="0" w:after="0"/>
        <w:jc w:val="center"/>
        <w:rPr>
          <w:rFonts w:ascii="Times New Roman" w:hAnsi="Times New Roman"/>
          <w:b/>
          <w:sz w:val="20"/>
        </w:rPr>
      </w:pPr>
      <w:r>
        <w:rPr>
          <w:rFonts w:ascii="Times New Roman" w:hAnsi="Times New Roman"/>
          <w:b/>
          <w:sz w:val="20"/>
        </w:rPr>
        <w:t>101 Seaport Blvd., Floor 12</w:t>
      </w:r>
    </w:p>
    <w:p>
      <w:pPr>
        <w:pStyle w:val="TextBody"/>
        <w:bidi w:val="0"/>
        <w:spacing w:before="0" w:after="0"/>
        <w:jc w:val="center"/>
        <w:rPr>
          <w:rFonts w:ascii="Times New Roman" w:hAnsi="Times New Roman"/>
          <w:b/>
          <w:sz w:val="20"/>
        </w:rPr>
      </w:pPr>
      <w:r>
        <w:rPr>
          <w:rFonts w:ascii="Times New Roman" w:hAnsi="Times New Roman"/>
          <w:b/>
          <w:sz w:val="20"/>
        </w:rPr>
        <w:t>Boston, Massachusetts</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(617) 807-4062</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70" w:type="dxa"/>
        <w:jc w:val="left"/>
        <w:tblInd w:w="0" w:type="dxa"/>
        <w:tblLayout w:type="fixed"/>
        <w:tblCellMar>
          <w:top w:w="0" w:type="dxa"/>
          <w:left w:w="0" w:type="dxa"/>
          <w:bottom w:w="0" w:type="dxa"/>
          <w:right w:w="0" w:type="dxa"/>
        </w:tblCellMar>
      </w:tblPr>
      <w:tblGrid>
        <w:gridCol w:w="4985"/>
        <w:gridCol w:w="60"/>
        <w:gridCol w:w="740"/>
        <w:gridCol w:w="60"/>
        <w:gridCol w:w="2825"/>
      </w:tblGrid>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Trade</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85" w:type="dxa"/>
            <w:tcBorders/>
            <w:vAlign w:val="center"/>
          </w:tcPr>
          <w:p>
            <w:pPr>
              <w:pStyle w:val="TableContents"/>
              <w:bidi w:val="0"/>
              <w:spacing w:before="0" w:after="283"/>
              <w:jc w:val="center"/>
              <w:rPr/>
            </w:pPr>
            <w:r>
              <w:rPr/>
              <w:t>Voting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SPTX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425" w:type="dxa"/>
        <w:jc w:val="left"/>
        <w:tblInd w:w="0" w:type="dxa"/>
        <w:tblLayout w:type="fixed"/>
        <w:tblCellMar>
          <w:top w:w="0" w:type="dxa"/>
          <w:left w:w="0" w:type="dxa"/>
          <w:bottom w:w="0" w:type="dxa"/>
          <w:right w:w="0" w:type="dxa"/>
        </w:tblCellMar>
      </w:tblPr>
      <w:tblGrid>
        <w:gridCol w:w="1025"/>
        <w:gridCol w:w="4400"/>
      </w:tblGrid>
      <w:tr>
        <w:trPr/>
        <w:tc>
          <w:tcPr>
            <w:tcW w:w="1025" w:type="dxa"/>
            <w:tcBorders/>
            <w:vAlign w:val="center"/>
          </w:tcPr>
          <w:p>
            <w:pPr>
              <w:pStyle w:val="TableContents"/>
              <w:bidi w:val="0"/>
              <w:spacing w:before="0" w:after="283"/>
              <w:jc w:val="left"/>
              <w:rPr>
                <w:b/>
              </w:rPr>
            </w:pPr>
            <w:r>
              <w:rPr>
                <w:b/>
              </w:rPr>
              <w:t>Item 5.03.</w:t>
            </w:r>
          </w:p>
        </w:tc>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Amendments to Articles of Incorporation or Bylaws</w:t>
            </w:r>
          </w:p>
        </w:tc>
      </w:tr>
    </w:tbl>
    <w:p>
      <w:pPr>
        <w:pStyle w:val="TextBody"/>
        <w:bidi w:val="0"/>
        <w:spacing w:before="120" w:after="0"/>
        <w:jc w:val="left"/>
        <w:rPr>
          <w:rFonts w:ascii="Times New Roman" w:hAnsi="Times New Roman"/>
          <w:sz w:val="20"/>
        </w:rPr>
      </w:pPr>
      <w:r>
        <w:rPr>
          <w:rFonts w:ascii="Times New Roman" w:hAnsi="Times New Roman"/>
          <w:sz w:val="20"/>
        </w:rPr>
        <w:t>As previously disclosed in the Registration Statement on Form S-1, as amended (File No. 333-294976) (the “Registration Statement”) of Seaport Therapeutics, Inc. (the “Company”) and in connection with the consummation of the initial public offering of the Company’s common stock (the “IPO”), the Company filed an amended and restated certificate of incorporation (the “Restated Certificate”) with the Secretary of State of the State of Delaware. The Company’s board of directors (the “Board”) and the Company’s stockholders previously approved the Restated Certificate to be filed in connection with, and to be effective immediately prior to, the consummation of the IPO. The Restated Certificate amends and restates the Company’s existing amended and restated certificate of incorporation, as amended, in its entirety to, among other things: (i) authorize 700,000,000 shares of common stock, including 500,000,000 shares of voting common stock and 200,000,000 shares of non-voting common stock; (ii) eliminate all references to the previously-existing series of preferred stock; and (iii) authorize 10,000,000 shares of undesignated preferred stock that may be issued from time to time by the Board in one or more series.</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Restated Certificate is qualified by reference to the Restated Certificate, a copy of which is attached hereto as Exhibit 3.1 and is incorporated herein by reference.</w:t>
      </w:r>
    </w:p>
    <w:p>
      <w:pPr>
        <w:pStyle w:val="TextBody"/>
        <w:bidi w:val="0"/>
        <w:spacing w:before="240" w:after="0"/>
        <w:jc w:val="left"/>
        <w:rPr>
          <w:rFonts w:ascii="Times New Roman" w:hAnsi="Times New Roman"/>
          <w:sz w:val="20"/>
        </w:rPr>
      </w:pPr>
      <w:r>
        <w:rPr>
          <w:rFonts w:ascii="Times New Roman" w:hAnsi="Times New Roman"/>
          <w:sz w:val="20"/>
        </w:rPr>
        <w:t>In addition, as previously disclosed in the Registration Statement and in connection with the consummation of the IPO, the amended and restated bylaws of the Company (the “Amended and Restated Bylaws”), previously approved by the Board and the Company’s stockholders to become effective immediately upon effectiveness of the Registration Statement, became effective. The Amended and Restated Bylaws amend and restate the Company’s bylaws in their entirety to, among other things: (i) establish procedures for the Company’s stockholders to take formal actions at meetings of stockholders; (ii) establish an advance notice procedure for stockholder proposals to be brought before an annual meeting of our stockholders, including proposed nominations of persons for election to our Board; (iii) establish procedures relating to the nomination of directors; and (iv) conform to the amended provisions of the Restated Certificate.</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Amended and Restated Bylaws is qualified by reference to the Amended and Restated Bylaws, a copy of which is attached hereto as Exhibit 3.2 and is incorporated herein by reference.</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455"/>
        <w:gridCol w:w="120"/>
        <w:gridCol w:w="771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1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283"/>
              <w:jc w:val="left"/>
              <w:rPr/>
            </w:pPr>
            <w:hyperlink w:anchor="d150068dex31.htm">
              <w:r>
                <w:rPr>
                  <w:rStyle w:val="InternetLink"/>
                </w:rPr>
                <w:t xml:space="preserve">Amended and Restated Certificate of Incorporation of Seaport Therapeutics, Inc.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83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283"/>
              <w:jc w:val="left"/>
              <w:rPr/>
            </w:pPr>
            <w:hyperlink w:anchor="d150068dex32.htm">
              <w:r>
                <w:rPr>
                  <w:rStyle w:val="InternetLink"/>
                </w:rPr>
                <w:t xml:space="preserve">Amended and Restated Bylaws of Seaport Therapeutics, Inc.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83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4898" w:type="dxa"/>
        <w:jc w:val="left"/>
        <w:tblInd w:w="0" w:type="dxa"/>
        <w:tblLayout w:type="fixed"/>
        <w:tblCellMar>
          <w:top w:w="0" w:type="dxa"/>
          <w:left w:w="0" w:type="dxa"/>
          <w:bottom w:w="0" w:type="dxa"/>
          <w:right w:w="0" w:type="dxa"/>
        </w:tblCellMar>
      </w:tblPr>
      <w:tblGrid>
        <w:gridCol w:w="1820"/>
        <w:gridCol w:w="60"/>
        <w:gridCol w:w="23"/>
        <w:gridCol w:w="60"/>
        <w:gridCol w:w="365"/>
        <w:gridCol w:w="60"/>
        <w:gridCol w:w="2510"/>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Seaport Therapeutics, Inc.</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570"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May 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Daphne Zohar</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Daphne Zohar</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50068dex31.htm"/>
      <w:bookmarkStart w:id="3" w:name="ksd150068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SEAPORT THERAPEUTICS, INC. </w:t>
      </w:r>
    </w:p>
    <w:p>
      <w:pPr>
        <w:pStyle w:val="TextBody"/>
        <w:bidi w:val="0"/>
        <w:spacing w:before="120" w:after="0"/>
        <w:jc w:val="left"/>
        <w:rPr>
          <w:rFonts w:ascii="Times New Roman" w:hAnsi="Times New Roman"/>
          <w:sz w:val="20"/>
        </w:rPr>
      </w:pPr>
      <w:r>
        <w:rPr>
          <w:rFonts w:ascii="Times New Roman" w:hAnsi="Times New Roman"/>
          <w:sz w:val="20"/>
        </w:rPr>
        <w:t xml:space="preserve">Seaport Therapeutics, Inc., a corporation organized and existing under the laws of the State of Delaware (the “Corporation”), hereby certifies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The name of the Corporation is Seaport Therapeutics, Inc. The date of the filing of its original Certificate of Incorporation with the Secretary of State of the State of Delaware was April 1, 2024 (the “Original Certificate”). The name under which the Corporation filed the Original Certificate was SP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2. The Original Certificate was amended by that certain Amended and Restated Certificate of Incorporation dated April 8, 2024 and by that certain Amended and Restated Certificate of Incorporation dated October 17, 2024, as amended by a Certificate of Amendment dated April 24, 2026 (the “Amended and Restated Certificate of Incorporation”). This Amended and Restated Certificate of Incorporation (the “Certificate”) amends, restates and integrates the provisions of the Amended and Restated Certificate of Incorporation, and was duly adopted in accordance with the provisions of Sections 228, 242 and 245 of the General Corporation Law of the State of Delaware (the “DGCL”). </w:t>
      </w:r>
    </w:p>
    <w:p>
      <w:pPr>
        <w:pStyle w:val="TextBody"/>
        <w:bidi w:val="0"/>
        <w:spacing w:before="240" w:after="0"/>
        <w:jc w:val="left"/>
        <w:rPr>
          <w:rFonts w:ascii="Times New Roman" w:hAnsi="Times New Roman"/>
          <w:sz w:val="20"/>
        </w:rPr>
      </w:pPr>
      <w:r>
        <w:rPr>
          <w:rFonts w:ascii="Times New Roman" w:hAnsi="Times New Roman"/>
          <w:sz w:val="20"/>
        </w:rPr>
        <w:t xml:space="preserve">3. The text of the Amended and Restated Certificate is hereby amended, restated and integrated in its entirety to provide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Corporation is Seaport Therapeutics, Inc.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1209 Orange Street, in the City of Wilmington, County of New Castle, 19801. The name of its registered agent at such address is The Corporation Trust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Corporation is to engage in any lawful act or activity for which corporations may be organized under the DGCL.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total number of shares of capital stock which the Corporation shall have authority to issue is Seven Hundred and Ten Million (710,000,000), of which (i) Seven Hundred Million (700,000,000) shares shall be a class designated as common stock, par value $0.0001 per share (the “Common Stock”), which class of Common Stock shall be subdivided into two series consisting of (a) Five Hundred Million (500,000,000) shares designated as voting Common Stock (the “Voting Common Stock”) and (b) Two Hundred Million (200,000,000) shares designated as non-voting Common Stock (the “Non-Voting Common Stock”) and (ii) Ten Million (10,000,000) shares shall be a class designated as undesignated preferred stock, par value $0.0001 per share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any certificate of designation of any series of Preferred Stock, the number of authorized shares of the class of Common Stock or Preferred Stock may be increased or decreased (but not below the number of shares of such class then outstanding) by the requisite vote of the holders of the outstanding shares of capital stock of the Corporation entitled to vote thereon irrespective of the provisions of Section 242(b)(2) of the DGCL, and no vote of the holders of any of the Common Stock or the Preferred Stock voting separately as a class shall be required therefor. For the avoidance of doubt, the elimination and reduction of the stockholder voting requirements otherwise applicable under Section 242(b) of the DGCL, as permitted by Section 242(d) of the DGCL, shall apply to any amendments to the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powers, preferences and rights of, and the qualifications, limitations and restrictions upon, each class or series of stock shall be determined in accordance with, or as set forth below in, this Article IV. </w:t>
      </w:r>
    </w:p>
    <w:p>
      <w:pPr>
        <w:pStyle w:val="TextBody"/>
        <w:bidi w:val="0"/>
        <w:spacing w:before="480" w:after="0"/>
        <w:jc w:val="center"/>
        <w:rPr>
          <w:rFonts w:ascii="Times New Roman" w:hAnsi="Times New Roman"/>
          <w:sz w:val="20"/>
        </w:rPr>
      </w:pPr>
      <w:r>
        <w:rPr>
          <w:rFonts w:ascii="Times New Roman" w:hAnsi="Times New Roman"/>
          <w:sz w:val="20"/>
        </w:rPr>
        <w:t xml:space="preserve">A.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all the rights, powers and preferences of the Preferred Stock and except as provided by law or in this Certificate (including any certificate of designation of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1. the holders of the Voting Common Stock shall have the exclusive right to vote for the election of directors of the Corporation (the “Directors”) and on all other matters requiring stockholder action, each outstanding share of Voting Common Stock entitling the holder thereof to one vote on each matter properly submitted to the stockholders of the Corporation for their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otherwise required by law, holders of Voting Common Stock, as such, shall not be entitled to vote on any amendment to this Certificate (including any amendment to a certificate of designation of any series of Preferred Stock) that alters or changes the number of shares,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this Certificate (including any certificate of designation of any series of Preferred Stock) or pursuant to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Non-Voting Common Stock shall be non-voting shares, and the holders thereof shall have no right to vote for the election of Directors or on any other matters requiring stockholder action,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3. shares of Voting Common Stock and Non-Voting Common Stock shall be treated equally, identically and ratably, on a per share basis, with respect to any dividends or other distributions of cash, property or shares of capital stock of the Corporation (each, a “Distribution”), as may be declared and paid or set apart for payment upon the shares of Common Stock out of any assets or funds of the Corporation legally available therefor, when, as and if declared by the Board of Directors of the Corporation (the “Board”) or any authorized committee thereof; in the event that such Distribution is paid in the form of shares of Common Stock (or rights to acquire, or securities convertible or exchangeable for shares of Common Stock), holders of Voting Common Stock shall be entitled to receive only shares of Voting Common Stock (or rights to acquire, or securities convertible into or exchangeable for, such shares, as the case may be) and holders of Non-Voting Common Stock shall be entitled to receive only shares of Non-Voting Common Stock (or rights to acquire, or securities convertible into or exchangeable for, such shares, as the case may be); notwithstanding the foregoing, the Board may treat the holders of Voting Common Stock or Non-Voting Common Stock differently with respect to Distributions (including by only paying a Distribution on one such class or paying a different or disparate Distribution to each such class including with respect to the amount of such Distribution payable per share, the form in which such Distribution is payable, the timing of the payment, or otherwise) if such disparate treatment is approved by (i) a majority of the disinterested directors, as such term is defined in Section 144(e)(4) of the DGCL, then in office, or (ii) any committee of the Board expressly delegated the authority to oversee the treatment of such distributions); </w:t>
      </w:r>
    </w:p>
    <w:p>
      <w:pPr>
        <w:pStyle w:val="TextBody"/>
        <w:bidi w:val="0"/>
        <w:spacing w:before="240" w:after="0"/>
        <w:jc w:val="left"/>
        <w:rPr>
          <w:rFonts w:ascii="Times New Roman" w:hAnsi="Times New Roman"/>
          <w:sz w:val="20"/>
        </w:rPr>
      </w:pPr>
      <w:r>
        <w:rPr>
          <w:rFonts w:ascii="Times New Roman" w:hAnsi="Times New Roman"/>
          <w:sz w:val="20"/>
        </w:rPr>
        <w:t xml:space="preserve">4. upon the voluntary or involuntary liquidation, dissolution or winding up of the Corporation, the assets of the Corporation available for distribution to stockholders shall be distributed pro rata to the holders of the Voting Common Stock and Non-Voting Common Stock, treated equally and identically; </w:t>
      </w:r>
    </w:p>
    <w:p>
      <w:pPr>
        <w:pStyle w:val="TextBody"/>
        <w:bidi w:val="0"/>
        <w:spacing w:before="240" w:after="0"/>
        <w:jc w:val="left"/>
        <w:rPr>
          <w:rFonts w:ascii="Times New Roman" w:hAnsi="Times New Roman"/>
          <w:sz w:val="20"/>
        </w:rPr>
      </w:pPr>
      <w:r>
        <w:rPr>
          <w:rFonts w:ascii="Times New Roman" w:hAnsi="Times New Roman"/>
          <w:sz w:val="20"/>
        </w:rPr>
        <w:t xml:space="preserve">5. in connection with any merger or consolidation of the Corporation with or into any other entity or any conversion, domestication, transfer or continuance of the Corporation, shares of Voting Common Stock and shares of Non-Voting Common Stock shall be treated equally, identically and ratably, on a per share basis, with respect to any consideration into which such shares are converted or any other consideration paid or otherwise distributed to stockholders of the Corporation in the merger, consolidation, conversion, domestication, transfer or continuance (any such consideration, “Change of Control Consideration”), unless (i) such consideration consists, in whole or in part, of shares of capital stock of, or other equity interests in, the Corporation or any other corporation, partnership, limited liability company or other entity, and the powers, designations, preferences and relative, optional or other special rights and qualifications, limitations and restrictions of such shares of capital stock or other equity interests received in respect of the shares of Voting Common Stock and Non-Voting Common Stock differ solely to the extent that the powers, designations, preferences and relative, optional or other special rights and qualifications, limitations and restrictions of the Voting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Non-Voting Common Stock differ as described in this </w:t>
      </w:r>
      <w:r>
        <w:rPr>
          <w:rFonts w:ascii="Times New Roman" w:hAnsi="Times New Roman"/>
          <w:sz w:val="20"/>
          <w:u w:val="single"/>
        </w:rPr>
        <w:t>Article IV</w:t>
      </w:r>
      <w:r>
        <w:rPr>
          <w:rFonts w:ascii="Times New Roman" w:hAnsi="Times New Roman"/>
          <w:sz w:val="20"/>
        </w:rPr>
        <w:t xml:space="preserve">, then the powers, designations, preferences and relative, optional or other special rights and qualifications, limitations and restrictions of such shares of capital stock or other equity interests received in respect of the shares of Voting Common Stock and Non-Voting Common Stock may differ to the extent that the powers, designations, preferences and relative, optional or other special rights and qualifications, limitations and restrictions of the Voting Common Stock and the Non-Voting Common Stock differ as provided herein (including, without limitation, with respect to the voting rights and conversion provisions hereof), provided, however, that, if the holders of any series of Common Stock are granted the right to elect to receive one of two or more alternative forms of consideration, the foregoing provisions shall be deemed satisfied if holders of the other series of Common Stock are granted corresponding election rights, or (ii) different treatment of the shares of each such series in connection with such merger, consolidation, conversion, domestication, transfer or continuance is approved by the affirmative vote of the holders of a majority of the outstanding shares of Voting Common Stock; provided further, for the avoidance of doubt, Change of Control Consideration shall not be deemed to include any consideration or other distribution paid to or received by a person who is a holder of Voting Common Stock and/or Non-Voting Common Stock, as applicable, pursuant to (x) any employment, consulting, severance or other compensatory arrangement (including, without limitation, any equity-based or cash compensatory award or payment) whether or not entered into in connection with such merger, consolidation, conversion, domestication, transfer or continuance or (y) a negotiated agreement between a holder of Voting Common Stock and/or Non-Voting Common Stock, as applicable, with any counterparty (or affiliate thereof) to a merger or consolidation wherein such holder is contributing, selling, transferring, exchanging or otherwise disposing of shares of the Corporation’s capital stock to such counterparty (or affiliate thereof) as part of a “rollover” or similar transaction that is approved by (i) a majority of the disinterested directors, as such term is defined in Section 144(e)(4) of the DGCL, then in office, or (ii) any committee of the Board expressly delegated the authority to negotiate (or oversee the negotiation of) and to reject such merger or consolidation, and that is in connection with such merger or consolidation or any such conversion, domestication, transfer or continuance; and </w:t>
      </w:r>
    </w:p>
    <w:p>
      <w:pPr>
        <w:pStyle w:val="TextBody"/>
        <w:bidi w:val="0"/>
        <w:spacing w:before="240" w:after="0"/>
        <w:jc w:val="left"/>
        <w:rPr>
          <w:rFonts w:ascii="Times New Roman" w:hAnsi="Times New Roman"/>
          <w:sz w:val="20"/>
        </w:rPr>
      </w:pPr>
      <w:r>
        <w:rPr>
          <w:rFonts w:ascii="Times New Roman" w:hAnsi="Times New Roman"/>
          <w:sz w:val="20"/>
        </w:rPr>
        <w:t xml:space="preserve">6. Shares of Voting Common Stock or Non-Voting Common Stock may not be subdivided, combined or reclassified unless the shares of such other series are concurrently therewith proportionately subdivided, combined or reclassified in a manner that maintains the same proportionate equity ownership among the holders of the outstanding Voting Common Stock and Non-Voting Common Stock on the record date for such subdivision, combination or reclassification; provided, however, that shares of one such series may be treated differently if such treatment is approved by the affirmative vote of the holders of a majority of the outstanding shares of Voting Common Stock. </w:t>
      </w:r>
    </w:p>
    <w:p>
      <w:pPr>
        <w:pStyle w:val="TextBody"/>
        <w:bidi w:val="0"/>
        <w:spacing w:before="480" w:after="0"/>
        <w:jc w:val="center"/>
        <w:rPr>
          <w:rFonts w:ascii="Times New Roman" w:hAnsi="Times New Roman"/>
          <w:sz w:val="20"/>
        </w:rPr>
      </w:pPr>
      <w:r>
        <w:rPr>
          <w:rFonts w:ascii="Times New Roman" w:hAnsi="Times New Roman"/>
          <w:sz w:val="20"/>
        </w:rPr>
        <w:t xml:space="preserve">B. </w:t>
      </w:r>
      <w:r>
        <w:rPr>
          <w:rFonts w:ascii="Times New Roman" w:hAnsi="Times New Roman"/>
          <w:sz w:val="20"/>
          <w:u w:val="single"/>
        </w:rPr>
        <w:t>CONVERSION OF NON-VOTING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Each holder of shares of Non-Voting Common Stock shall have the right to convert each share of Non-Voting Common Stock held by such holder into one share of Voting Common Stock at such holder’s election, which shall be made upon written notice to the Corporation delivered, provided that, the shares of Non-Voting Common Stock may only be converted into shares of Voting Common Stock during such time or times as immediately prior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or as a result of such conversion would not result in the holder(s) thereof beneficially owning (for purposes of Section 13(d) of the Securities Exchange Act of 1934, as amended, and the rules and regulations promulgated thereunder (collectively, the “Exchange Act”)), when aggregated with affiliates with whom such holder is required to aggregate beneficial ownership for purposes of Section 13(d) of the Exchange Act, in excess of the Beneficial Ownership Limitation. The “Beneficial Ownership Limitation” means initially 9.99% of any class of securities of the Corporation registered under the Exchange Act, which percentage may be increased or decreased by a holder of outstanding shares of Non-Voting Common Stock to such other percentage not in excess of 19.99% at the time of purchase of shares of Non-Voting Common Stock without advance notice to the Corporation or, after the time of purchase, as such holder may designate in writing upon 61 days’ notice to the Corporation, provided, however, that, in each case, such increase or decrease shall only be applicable to such holder. </w:t>
      </w:r>
    </w:p>
    <w:p>
      <w:pPr>
        <w:pStyle w:val="TextBody"/>
        <w:bidi w:val="0"/>
        <w:spacing w:before="240" w:after="0"/>
        <w:jc w:val="left"/>
        <w:rPr>
          <w:rFonts w:ascii="Times New Roman" w:hAnsi="Times New Roman"/>
          <w:sz w:val="20"/>
        </w:rPr>
      </w:pPr>
      <w:r>
        <w:rPr>
          <w:rFonts w:ascii="Times New Roman" w:hAnsi="Times New Roman"/>
          <w:sz w:val="20"/>
        </w:rPr>
        <w:t xml:space="preserve">2. Before any holder of Non-Voting Common Stock shall be entitled to convert any shares of Non-Voting Common Stock into shares of Voting Common Stock pursuant to Subsection 1 of Part B of Article IV, such holder shall surrender the certificate or certificates therefor (if any), duly endorsed, at the principal corporate office of the Corporation or of any transfer agent of the Corporation, and shall provide written notice to the Corporation and any such transfer agent, of such conversion election and shall state therein the number of shares of Non-Voting Common Stock elected to be converted, the name or names (i) in which the certificate or certificates representing the shares of Voting Common Stock into which the shares of Non-Voting Common Stock are so converted are to be issued (if such shares of Voting Common Stock will be certificated) or (ii) in which such shares of Voting Common Stock are to be registered in book-entry form (if such shares of Voting Common Stock are uncertificated). If the shares of Voting Common Stock into which the shares of Non-Voting Common Stock are to be converted are to be issued in a name or names other than the name of the holder of the shares of Non-Voting Common Stock being converted, such notice shall be accompanied by a written instrument or instruments of transfer, in form satisfactory to the Corporation, duly executed by the holder. The Corporation shall, as soon as practicable thereafter, issue and deliver to such holder, or to the nominee or nominees of such holder, (i) a certificate or certificates representing the number of shares of Voting Common Stock to which such holder shall be entitled upon such conversion (if such shares of Voting Common Stock are certificated) or shall register such shares of Voting Common Stock in book-entry form (if such shares of Voting Common Stock are uncertificated) and (ii) if applicable, a certificate or certificates representing the number of shares of Non-Voting Common Stock for the number of shares (including any fractional share) of Non-Voting Common Stock represented by the certificate or certificates delivered to the Corporation for conversion but otherwise not elected to be converted pursuant to the written election (if such shares of Non-Voting Common Stock are certificated), or shall register such shares of Non-Voting Common Stock in book-entry form (if such shares of Non-Voting Common Stock are uncertificated). Such conversion shall be deemed to be effective immediately prior to the close of business (i) with respect to certificated shares, on the date of such surrender of the certificate or certificates representing the shares of Non-Voting Common Stock to be converted or (ii) with respect to shares that are uncertificated, immediately prior to the close of business on the date that the holder delivers notice of such conversion election as required by this Subsection 2(a) of Part B of Article IV to the Corporation and the Corporation’s transfer agent, and, in each case, the shares of Voting Common Stock issuable upon such conversion shall be deemed to be outstanding as of such time, and the person or persons entitled to receive the shares of Voting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 Stock issuable upon such conversion shall be deemed to be the record holder or holders of such shares of Voting Common Stock as of such time. Notwithstanding anything herein to the contrary, shares of Non-Voting Common Stock represented by a lost, stolen or destroyed stock certificate may be converted pursuant to Subsection 1 of Part B of Article IV if the holder thereof notifies the Corporation or its transfer agent that such certificate has been lost, stolen or destroyed and provides an affidavit of that fact acceptable to the Corporation and executes an agreement acceptable to the Corporation to indemnify the Corporation from any loss incurred by it in connection with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3. The one-to-one conversion ratio for the conversion of the Non-Voting Common Stock into Voting Common Stock shall in all events be equitably adjusted in the event of any reclassification of the Voting Common Stock or Non-Voting Common Stock (including any split or combination thereof), any Distribution on the Voting Common Stock or Non-Voting Common Stock, or in the event of any merger or consolidation of the Corporation, any recapitalization or reorganization of the Corporation, or any other similar event. </w:t>
      </w:r>
    </w:p>
    <w:p>
      <w:pPr>
        <w:pStyle w:val="TextBody"/>
        <w:bidi w:val="0"/>
        <w:spacing w:before="240" w:after="0"/>
        <w:jc w:val="left"/>
        <w:rPr>
          <w:rFonts w:ascii="Times New Roman" w:hAnsi="Times New Roman"/>
          <w:sz w:val="20"/>
        </w:rPr>
      </w:pPr>
      <w:r>
        <w:rPr>
          <w:rFonts w:ascii="Times New Roman" w:hAnsi="Times New Roman"/>
          <w:sz w:val="20"/>
        </w:rPr>
        <w:t xml:space="preserve">4. The Corporation shall at all times reserve and keep available out of its authorized but unissued shares of Voting Common Stock, solely for the purpose of effecting the conversion of the shares of Non-Voting Common Stock, such number of its shares of Voting Common Stock as shall from time to time be sufficient to effect the conversion of all outstanding shares of Non-Voting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5. If any shares of Non-Voting Common Stock shall be converted pursuant to this Article IV.B., the shares so converted shall be retired and restored to the status of authorized but unissued shares of Non-Voting Common Stock. </w:t>
      </w:r>
    </w:p>
    <w:p>
      <w:pPr>
        <w:pStyle w:val="TextBody"/>
        <w:bidi w:val="0"/>
        <w:spacing w:before="480" w:after="0"/>
        <w:jc w:val="center"/>
        <w:rPr>
          <w:rFonts w:ascii="Times New Roman" w:hAnsi="Times New Roman"/>
          <w:sz w:val="20"/>
        </w:rPr>
      </w:pPr>
      <w:r>
        <w:rPr>
          <w:rFonts w:ascii="Times New Roman" w:hAnsi="Times New Roman"/>
          <w:sz w:val="20"/>
        </w:rPr>
        <w:t xml:space="preserve">C.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or any authorized committee thereof is expressly authorized to provide by resolution or resolutions for, out of the unissued shares of Preferred Stock, the issuance of the shares of Preferred Stock in one or more series of such stock, and by filing a certificate of designation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STOCKHOLDER ACTION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Action without Meeting</w:t>
      </w:r>
      <w:r>
        <w:rPr>
          <w:rFonts w:ascii="Times New Roman" w:hAnsi="Times New Roman"/>
          <w:sz w:val="20"/>
        </w:rPr>
        <w:t xml:space="preserve">. Any action required or permitted to be taken by the stockholders of the Corporation at any annual or special meeting of stockholders of the Corporation must be effected at a duly called annual or special meeting of stockholders and may not be taken or effected by a consent of stockholders in lieu thereof; </w:t>
      </w:r>
      <w:r>
        <w:rPr>
          <w:rFonts w:ascii="Times New Roman" w:hAnsi="Times New Roman"/>
          <w:i/>
          <w:sz w:val="20"/>
        </w:rPr>
        <w:t>provided, however</w:t>
      </w:r>
      <w:r>
        <w:rPr>
          <w:rFonts w:ascii="Times New Roman" w:hAnsi="Times New Roman"/>
          <w:sz w:val="20"/>
        </w:rPr>
        <w:t xml:space="preserve">, that any action required or permitted to be taken, to the extent expressly permitted by the certificate of designation relating to one or more series of Preferred Stock, by the holders of such series of Preferred Stock, voting separately as a series or separately as a class with one or more other such series, may be taken by consent in lieu of a meeting, without prior notice and without a vote, if a consent or consents,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Special Meetings</w:t>
      </w:r>
      <w:r>
        <w:rPr>
          <w:rFonts w:ascii="Times New Roman" w:hAnsi="Times New Roman"/>
          <w:sz w:val="20"/>
        </w:rPr>
        <w:t xml:space="preserve">. Except as otherwise required by statute and subject to the rights, if any, of the holders of shares of any series of Preferred Stock, special meetings of the stockholders of the Corporation may be called only by the Board of Directors and may not be called by any other person or persons. Only those matters set forth in the notice of the special meeting may be considered or acted upon at a special meeting of stockholders of the Corporation.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General</w:t>
      </w:r>
      <w:r>
        <w:rPr>
          <w:rFonts w:ascii="Times New Roman" w:hAnsi="Times New Roman"/>
          <w:sz w:val="20"/>
        </w:rPr>
        <w:t xml:space="preserve">. The business and affairs of the Corporation shall be managed by or under the direction of the Board of Directors except as otherwise provided herein or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Number of Directors; Term of Office</w:t>
      </w:r>
      <w:r>
        <w:rPr>
          <w:rFonts w:ascii="Times New Roman" w:hAnsi="Times New Roman"/>
          <w:sz w:val="20"/>
        </w:rPr>
        <w:t xml:space="preserve">.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number of directors of the Corporation (the “Directors”) shall be fixed solely and exclusively by resolution duly adopted from time to time by the Board of Directors. The Directors, other than those who may be elected by the holders of any series of Preferred Stock, shall be classified, with respect to the term for which they severally hold office, into three classes. The term of office of the initial Class I Directors shall expire at the first annual meeting of stockholders following the closing of the Corporation’s sale of a class of its capital stock to the public pursuant to a registration statement on Form S-1 under the Securities Act (the “IPO Time”). The term of office of the initial Class II Directors shall expire at the second annual meeting of stockholders following the IPO Time. The term of office of the initial Class III Directors shall expire at the third annual meeting of stockholders following the IPO Time. The Board of Directors is authorized to assign members of the Board of Directors already in office to such classes at the time the classification of the Board of Directors becomes effective. At each annual meeting of stockholders, Directors elected to succeed those Directors whose terms expire shall be elected for a term of office to expire at the third succeeding annual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meeting of stockholders after their election. Notwithstanding the foregoing, the Directors elected to each class shall hold office until their successors are duly elected and qualified or until their earlier resignation, death, disqualification or removal. No decrease in the number of Directors shall shorten the term of any incumbent Director. There shall be no cumulative voting in the election of Directors. Election of Directors need not be by written ballot unless the Bylaws of the Corporation so provide.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whenever, pursuant to the provisions of Article IV of this Certificate, the holders of any one or more series of Preferred Stock shall have the right, voting separately as a series or together with holders of other such series, to elect additional Directors, the election, term of office, filling of vacancies and other features of such directorships shall be governed by the terms of this Certificate, including any certificate of designation applicable to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such Director’s earlier death, resignation, retirement, disqualification or removal. Notwithstanding any other provision of this Certificate of Incorporation,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shall thereupon cease to be qualified as, and shall cease to be, a Director) and the total authorized number of Directors shall automatically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Vacancies and Newly Created Directorships</w:t>
      </w:r>
      <w:r>
        <w:rPr>
          <w:rFonts w:ascii="Times New Roman" w:hAnsi="Times New Roman"/>
          <w:sz w:val="20"/>
        </w:rPr>
        <w:t xml:space="preserve">. Subject to the rights, if any, of the holders of any series of Preferred Stock to elect Directors and to fill vacancies in the Board of Directors and newly created directorships relating thereto, any and all vacancies and newly created directorships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or by a sole remaining Director,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such Director’s earlier resignation, disqualification, death or removal. Subject to the rights, if any, of the holders of any series of Preferred Stock to elect Directors, when the number of Directors is increased or decreased, the Board of Directors shall, subject to Article VI.3 hereof, determine the class or classes to which the increased or decreased number of Directors shall be apportioned.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Removal</w:t>
      </w:r>
      <w:r>
        <w:rPr>
          <w:rFonts w:ascii="Times New Roman" w:hAnsi="Times New Roman"/>
          <w:sz w:val="20"/>
        </w:rPr>
        <w:t xml:space="preserve">. Subject to the rights, if any, of any series of Preferred Stock to elect Directors and to remove any Director whom the holders of any such series have the right to elect, any Director may be removed from office (i) only for cause and (ii) only by the affirmative vote of the holders of not less than two-thirds (2/3) of the voting power of the outstanding shares of capital stock entitled to vote thereon.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LIMITATION OF LIABILITY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the DGCL, as the same exists or may hereafter be amended from time to time, a Director or officer of the Corporation shall not be personally liable to the Corporation or its stockholders for monetary damages for breach of such Director’s fiduciary duty as a Director or officer of the Corporation. If the DGCL is amended after the effective date of this Certificate to authorize corporate action further eliminating or limiting the personal liability of Directors or officers of the Corporation, then the liability of a Director or officer of the Corporation shall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this Article VII shall not adversely affect any right or protection of any Director or officer of the Corporation existing at the time of such amendment, repeal or modification with respect to any acts or omissions by such Director or officer occurring before such amendment, repeal or modification.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AMENDMENT OF BYLAWS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 by Directors</w:t>
      </w:r>
      <w:r>
        <w:rPr>
          <w:rFonts w:ascii="Times New Roman" w:hAnsi="Times New Roman"/>
          <w:sz w:val="20"/>
        </w:rPr>
        <w:t xml:space="preserve">. Except as otherwise provided by law, the Board of Directors shall have the power to alter, amend or repeal the Bylaws of the Corporation or to adopt new bylaws.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 by Stockholders</w:t>
      </w:r>
      <w:r>
        <w:rPr>
          <w:rFonts w:ascii="Times New Roman" w:hAnsi="Times New Roman"/>
          <w:sz w:val="20"/>
        </w:rPr>
        <w:t xml:space="preserve">. Except as otherwise provided therein, the Bylaws of the Corporation may be amended or repealed by the stockholders by the affirmative vote of the holders of at least two-thirds (2/3) of the voting power of the outstanding shares of capital stock entitled to vote on such amendment or repeal, voting together as a single class; provided, however, that if the Board of Directors recommends that stockholders approve such amendment or repeal, such amendment or repeal by the stockholders shall only require the affirmative vote of the holders of a majority of the voting power of the outstanding shares of capital stock entitled to vote on such amendment or repeal, voting together as a single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IX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AMENDMENT OF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reserves the right to amend or repeal this Certificate in the manner now or hereafter prescribed by statute and this Certificate, and all rights conferred upon stockholders herein are granted subject to this reservation. For the avoidance of doubt, the provisions of Sections 242(d)(1) and (d)(2) of the DGCL shall apply to the Corporation. </w:t>
      </w:r>
    </w:p>
    <w:p>
      <w:pPr>
        <w:pStyle w:val="TextBody"/>
        <w:bidi w:val="0"/>
        <w:spacing w:before="240" w:after="0"/>
        <w:jc w:val="center"/>
        <w:rPr>
          <w:rFonts w:ascii="Times New Roman" w:hAnsi="Times New Roman"/>
          <w:sz w:val="20"/>
        </w:rPr>
      </w:pPr>
      <w:r>
        <w:rPr>
          <w:rFonts w:ascii="Times New Roman" w:hAnsi="Times New Roman"/>
          <w:sz w:val="20"/>
        </w:rPr>
        <w:t xml:space="preserve">[End of Text]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AMENDED AND RESTATED CERTIFICATE OF INCORPORATION is executed as of this 4th of May,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SEAPORT THERAPEUTICS, INC.</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2" w:type="dxa"/>
            <w:tcBorders>
              <w:bottom w:val="single" w:sz="2" w:space="0" w:color="000000"/>
            </w:tcBorders>
            <w:tcMar>
              <w:bottom w:w="28" w:type="dxa"/>
            </w:tcMar>
          </w:tcPr>
          <w:p>
            <w:pPr>
              <w:pStyle w:val="TableContents"/>
              <w:bidi w:val="0"/>
              <w:spacing w:before="0" w:after="283"/>
              <w:jc w:val="left"/>
              <w:rPr/>
            </w:pPr>
            <w:r>
              <w:rPr/>
              <w:t>/s/ Daphne Zohar</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Daphne Zohar</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4" w:name="d150068dex32.htm"/>
      <w:bookmarkStart w:id="5" w:name="ksd150068dex32"/>
      <w:bookmarkEnd w:id="4"/>
      <w:bookmarkEnd w:id="5"/>
      <w:r>
        <w:rPr>
          <w:rFonts w:ascii="Times New Roman" w:hAnsi="Times New Roman"/>
          <w:b/>
          <w:sz w:val="20"/>
        </w:rPr>
        <w:t xml:space="preserve">Exhibit 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120" w:after="0"/>
        <w:jc w:val="center"/>
        <w:rPr>
          <w:rFonts w:ascii="Times New Roman" w:hAnsi="Times New Roman"/>
          <w:b/>
          <w:sz w:val="20"/>
        </w:rPr>
      </w:pPr>
      <w:r>
        <w:rPr>
          <w:rFonts w:ascii="Times New Roman" w:hAnsi="Times New Roman"/>
          <w:b/>
          <w:sz w:val="20"/>
        </w:rPr>
        <w:t xml:space="preserve">BYLAWS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SEAPORT THERAPEUTICS, INC. </w:t>
      </w:r>
    </w:p>
    <w:p>
      <w:pPr>
        <w:pStyle w:val="TextBody"/>
        <w:bidi w:val="0"/>
        <w:spacing w:before="120" w:after="0"/>
        <w:jc w:val="center"/>
        <w:rPr>
          <w:rFonts w:ascii="Times New Roman" w:hAnsi="Times New Roman"/>
          <w:sz w:val="20"/>
        </w:rPr>
      </w:pPr>
      <w:r>
        <w:rPr>
          <w:rFonts w:ascii="Times New Roman" w:hAnsi="Times New Roman"/>
          <w:sz w:val="20"/>
        </w:rPr>
        <w:t xml:space="preserve">(the “Corporation”)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ARTICLE 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Annual Meeting</w:t>
      </w:r>
      <w:r>
        <w:rPr>
          <w:rFonts w:ascii="Times New Roman" w:hAnsi="Times New Roman"/>
          <w:sz w:val="20"/>
        </w:rPr>
        <w:t xml:space="preserve">. The annual meeting of stockholders (any such meeting being referred to in these Bylaws as an “Annual Meeting”) shall be held at the hour, date and place within or without the United States that is fixed by or in the manner determined by the Board of Directors and stated in the notice of the meeting,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“DGCL”). In the absence of any such designation or determination, stockholders’ meetings shall be held at the Corporation’s principal executive office.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 Notice of Stockholder Business and Nominations.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Meetings of Stockholders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Nominations of persons for election to the Board of Directors of the Corporation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of the Annual Meeting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(3) and (4)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must be received by the Secretary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5:00 p.m. Eastern time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 or include: </w:t>
      </w:r>
    </w:p>
    <w:p>
      <w:pPr>
        <w:pStyle w:val="TextBody"/>
        <w:bidi w:val="0"/>
        <w:spacing w:before="120" w:after="0"/>
        <w:jc w:val="left"/>
        <w:rPr>
          <w:rFonts w:ascii="Times New Roman" w:hAnsi="Times New Roman"/>
          <w:sz w:val="20"/>
        </w:rPr>
      </w:pPr>
      <w:r>
        <w:rPr>
          <w:rFonts w:ascii="Times New Roman" w:hAnsi="Times New Roman"/>
          <w:sz w:val="20"/>
        </w:rPr>
        <w:t xml:space="preserve">(A) 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its Affiliates or Associates (each as defined below) and any Synthetic Equity Interest (as defined below) held or beneficially owned by the nominee or its Affiliates or Associates, (iv) a description of all agreements,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 a questionnaire with respect to the background and qualifications of the nominee completed by the nominee in the form provided by the Corporation (which questionnaire shall be provided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Secretary upon written request of any stockholder of record identified by name within five (5) business days of such written request), (vi) a representation and agreement in the form provided by the Corporation (which form shall be provided by the Secretary upon written request of any stockholder of record identified by name within five (5) business days of such written request) that: (a) such proposed nominee is not and will not become party to any agreement, arrangement or understanding with any person or entity as to how such proposed nominee, if elected as a director of the Corporation, will act or vote on any issue or question (a “Voting Commitment”) that has not been disclosed to the Corporation in the questionnaire described in clause (v) herein;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the questionnaire described in clause (v) herein;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and (e) such proposed nominee will promptly provide to the Corporation such other information as it may reasonably request to determine the eligibility of such proposed nominee to serve on any committee or sub-committee of the Board of Directors under any applicable stock exchange listing requirements or applicable law, or that the Board of Directors reasonably determines could be material to a reasonable stockholder’s understanding of the background, qualifications, experience, independence, or lack thereof, of such proposed nominee; and (vii) any other information relating to such proposed nominee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 </w:t>
      </w:r>
    </w:p>
    <w:p>
      <w:pPr>
        <w:pStyle w:val="TextBody"/>
        <w:bidi w:val="0"/>
        <w:spacing w:before="120" w:after="0"/>
        <w:jc w:val="left"/>
        <w:rPr>
          <w:rFonts w:ascii="Times New Roman" w:hAnsi="Times New Roman"/>
          <w:sz w:val="20"/>
        </w:rPr>
      </w:pPr>
      <w:r>
        <w:rPr>
          <w:rFonts w:ascii="Times New Roman" w:hAnsi="Times New Roman"/>
          <w:sz w:val="20"/>
        </w:rPr>
        <w:t xml:space="preserve">(B) 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that are, directly or indirectly, owned beneficially or of record by such Proposing Person or any of its Affiliates or Associates,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(1) whether or not such Synthetic Equity Interest conveys any voting rights, directly or indirectly, in such shares to such Proposing Person or any of its Affiliates or Associates and (2) whether or not such Synthetic Equity Interest is required to be, or is capable of being, settled through delivery of such shares, (c) any proxy (other than a revocable proxy given in response to a public proxy solicitation made pursuant to, and in accordance with, the Exchange Act), agreement, arrangement, understanding or relationship pursuant to which such Proposing Person or any of its Affiliates or Associates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or Associates that are separated or separable from the underlying shares of the Corporation, (e) if such Proposing Person is not a natural person, the identity of the natural person or persons responsible for making voting and investment decisions (including director nominations and any other business that the stockholder proposes to bring before a meeting) on behalf of the Proposing Person (irrespective of whether such person or persons have “beneficial ownership” for purposes of Rule 13d-3 of the Exchange Act of any securities owned of record or beneficially by the Proposing Person) (such person or persons, the “Responsible Person”), (f) any pending or threatened litigation in which such Proposing Person or any of its Affiliates or Associates or any Responsible Person is a party involving the Corporation or any of its officers or directors, or any Affiliate of the Corporation, and (g) any other information relating to such Proposing Person or any of its Affiliates or Associates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collectively, as “Material Ownership Interests”);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 a description of all agreements, arrangements or understandings to which any Proposing Person or any of its Affiliates or Associates is a party (whether the counterparty or counterparties are a Proposing Person or any Affiliate or Associate thereof, on the one hand, or one or more other third parties, on the other hand, (including any proposed nominee(s)) (a) pertaining to the nomination(s)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be providing financial support or meaningful assistance in furtherance of the nomination(s) or other business proposed to be brought before the meeting of stockholders and, to the extent known, the class and number of all shares of the Corporation’s capital stock owned beneficially or of record by such other stockholder(s) or other beneficial owner(s); and </w:t>
      </w:r>
    </w:p>
    <w:p>
      <w:pPr>
        <w:pStyle w:val="TextBody"/>
        <w:bidi w:val="0"/>
        <w:spacing w:before="120" w:after="0"/>
        <w:jc w:val="left"/>
        <w:rPr>
          <w:rFonts w:ascii="Times New Roman" w:hAnsi="Times New Roman"/>
          <w:sz w:val="20"/>
        </w:rPr>
      </w:pPr>
      <w:r>
        <w:rPr>
          <w:rFonts w:ascii="Times New Roman" w:hAnsi="Times New Roman"/>
          <w:sz w:val="20"/>
        </w:rPr>
        <w:t xml:space="preserve">(E) a statement (i) that the stockholder is a holder of record of capital stock of the Corporation entitled to vote at such meeting, a representation that such stockholder intends to appear in person or by proxy at the meeting to propose such business or nominees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“Solicitation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Article I,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each of the terms “Affiliates” and “Associates” shall have the meaning attributed to such term in Rule 12b-2 under the Exchange Act. For purposes of this Section 2, the term “Synthetic Equity Interest” shall mean any transaction, agreement or arrangement (or series of transactions, agreements or arrangements), including, without limitation, any derivative, swap, hedge, repurchase or so-called “stock borrowing” or securities lending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or (c) increase or decrease the voting power of any person or entity with respect to any shares of any class or series of capital stock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(3) 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5:00 p.m. Eastern time on the fifth (5th) business day after the record date for the Annual Meeting (in the case of the update and supplement required to be made as of the record date), and not later than 5:00 p.m. Eastern time on the eighth (8th) business day prior to the date of the Annual Meeting (in the case of the update and supplement required to be made as of ten (10) business days prior to the meeting). For the avoidance of doubt, the obligation to update as set forth in this Section 2(a)(3)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 Section 2(a)(2)(E), such Proposing Person shall 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 Section 2(a)(2)(C)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 Section 2(a)(2)(C).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Notwithstanding anything in the second sentence of Article I, Section 2(a)(2) of this Bylaw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5:00 p.m. Eastern time on the tenth (10th) day following the day on which such public announcement is first made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General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chair of the meeting (as defined in Section 9 of this Article I) shall have the power and duty to determine whether the stockholder proposal or nomination was made in accordance with the provisions of this Bylaw. If the Board of Directors or a designated committee thereof or the chair of the meeting, as applicable, determines that any stockholder proposal or nomination was not made in accordance with the provisions of this Bylaw, such proposal or nomination shall be disregarded and shall not be presented for action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(2) 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chair of the meeting at the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(4) 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(5) Notwithstanding the foregoing provisions of this Bylaw, a stockholder shall also comply with all applicable requirements of the 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 </w:t>
      </w:r>
    </w:p>
    <w:p>
      <w:pPr>
        <w:pStyle w:val="TextBody"/>
        <w:bidi w:val="0"/>
        <w:spacing w:before="120" w:after="0"/>
        <w:jc w:val="left"/>
        <w:rPr>
          <w:rFonts w:ascii="Times New Roman" w:hAnsi="Times New Roman"/>
          <w:sz w:val="20"/>
        </w:rPr>
      </w:pPr>
      <w:r>
        <w:rPr>
          <w:rFonts w:ascii="Times New Roman" w:hAnsi="Times New Roman"/>
          <w:sz w:val="20"/>
        </w:rPr>
        <w:t xml:space="preserve">(6) Further notwithstanding the foregoing provisions of this Bylaw, unless otherwise required by law, (i) 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Proposing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these By-laws (and such notice contains all of the information, representations, questionnaires and certifications with respect to such substitute nominee(s) that are required by the By-laws with respect to nominees for director).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Special Meetings</w:t>
      </w:r>
      <w:r>
        <w:rPr>
          <w:rFonts w:ascii="Times New Roman" w:hAnsi="Times New Roman"/>
          <w:sz w:val="20"/>
        </w:rPr>
        <w:t xml:space="preserve">. Except as otherwise required by statute and subject to the rights, if any, of the holders of any series of Preferred Stock, special meetings of the stockholders of the Corporation may be called only by or at the direction of the Board of Directors.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4. Notice of Meetings; Adjournments. </w:t>
      </w:r>
    </w:p>
    <w:p>
      <w:pPr>
        <w:pStyle w:val="TextBody"/>
        <w:bidi w:val="0"/>
        <w:spacing w:before="240" w:after="0"/>
        <w:jc w:val="left"/>
        <w:rPr>
          <w:rFonts w:ascii="Times New Roman" w:hAnsi="Times New Roman"/>
          <w:sz w:val="20"/>
        </w:rPr>
      </w:pPr>
      <w:r>
        <w:rPr>
          <w:rFonts w:ascii="Times New Roman" w:hAnsi="Times New Roman"/>
          <w:sz w:val="20"/>
        </w:rPr>
        <w:t xml:space="preserve">(a) A notice of each Annual Meeting stating the hour, date and place, if any, of such Annual Meeting,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 </w:t>
      </w:r>
    </w:p>
    <w:p>
      <w:pPr>
        <w:pStyle w:val="TextBody"/>
        <w:bidi w:val="0"/>
        <w:spacing w:before="240" w:after="0"/>
        <w:jc w:val="left"/>
        <w:rPr>
          <w:rFonts w:ascii="Times New Roman" w:hAnsi="Times New Roman"/>
          <w:sz w:val="20"/>
        </w:rPr>
      </w:pPr>
      <w:r>
        <w:rPr>
          <w:rFonts w:ascii="Times New Roman" w:hAnsi="Times New Roman"/>
          <w:sz w:val="20"/>
        </w:rPr>
        <w:t xml:space="preserve">(b) Notice of all special meetings of stockholders shall be given in the same manner as provided for Annual Meetings, except that the notice of all special meetings shall also state the purpose or purposes for which the meeting has been called. </w:t>
      </w:r>
    </w:p>
    <w:p>
      <w:pPr>
        <w:pStyle w:val="TextBody"/>
        <w:bidi w:val="0"/>
        <w:spacing w:before="240" w:after="0"/>
        <w:jc w:val="left"/>
        <w:rPr>
          <w:rFonts w:ascii="Times New Roman" w:hAnsi="Times New Roman"/>
          <w:sz w:val="20"/>
        </w:rPr>
      </w:pPr>
      <w:r>
        <w:rPr>
          <w:rFonts w:ascii="Times New Roman" w:hAnsi="Times New Roman"/>
          <w:sz w:val="20"/>
        </w:rPr>
        <w:t xml:space="preserve">(c) 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Board of Directors may postpone and reschedule or cancel any previously scheduled Annual Meeting or special meeting of stockholders and any record date with respect thereto, regardless of whether any notice or public disclosure with respect to any such meeting has been sent or made pursuant to Section 2 of this Article I or otherwise. In no event shall the public announcement of an adjournment, postponement or rescheduling of any previously scheduled meeting of stockholders commence a new time period for the giving of a stockholder’s notice under this Article I. </w:t>
      </w:r>
    </w:p>
    <w:p>
      <w:pPr>
        <w:pStyle w:val="TextBody"/>
        <w:bidi w:val="0"/>
        <w:spacing w:before="240" w:after="0"/>
        <w:jc w:val="left"/>
        <w:rPr>
          <w:rFonts w:ascii="Times New Roman" w:hAnsi="Times New Roman"/>
          <w:sz w:val="20"/>
        </w:rPr>
      </w:pPr>
      <w:r>
        <w:rPr>
          <w:rFonts w:ascii="Times New Roman" w:hAnsi="Times New Roman"/>
          <w:sz w:val="20"/>
        </w:rPr>
        <w:t xml:space="preserve">(e) When any meeting is convened, the chair of the meeting or the stockholders present or represented by proxy at such meeting may adjourn the meeting from time to time for any reason, regardless of whether a quorum is present, to reconvene at any other time and at any place at which a meeting of stockholders may be held under these Bylaws. When any Annual Meeting or special meeting of stockholders is adjourned to another hour, date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this Section 4;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Quorum</w:t>
      </w:r>
      <w:r>
        <w:rPr>
          <w:rFonts w:ascii="Times New Roman" w:hAnsi="Times New Roman"/>
          <w:sz w:val="20"/>
        </w:rPr>
        <w:t xml:space="preserve">. Except as otherwise provided by law, the certificate of incorporation or these Bylaws, at each meeting of stockholders, the presence in person or by remote communication, if applicable, or represented by proxy, of the holders of a majority in voting power of the outstanding shares of stock entitled to vote at the meeting shall be necessary and sufficient to constitute a quorum. If less than a quorum is present at a meeting, the chair of the meeting or the holders of voting stock, by the affirmative vote of a majority of the voting power present in person or by proxy and entitled to vote thereon, may adjourn the meeting from time to time, and the meeting may be held as adjourned without further notice, except as otherwise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 </w:t>
      </w:r>
    </w:p>
    <w:p>
      <w:pPr>
        <w:pStyle w:val="TextBody"/>
        <w:bidi w:val="0"/>
        <w:spacing w:before="240" w:after="0"/>
        <w:jc w:val="left"/>
        <w:rPr>
          <w:rFonts w:ascii="Times New Roman" w:hAnsi="Times New Roman"/>
          <w:sz w:val="20"/>
        </w:rPr>
      </w:pPr>
      <w:r>
        <w:rPr>
          <w:rFonts w:ascii="Times New Roman" w:hAnsi="Times New Roman"/>
          <w:sz w:val="20"/>
        </w:rPr>
        <w:t xml:space="preserve">SECTION 6. Voting and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stockholders entitled to vote at any meeting of stockholders shall be determined in accordance with the provisions of Article IV, Section 4 of these Bylaws, subject to Section 217 (relating to voting rights of fiduciaries, pledgors and joint owners of stock) and Section 218 (relating to voting trusts and other voting agreements) of the DGCL.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A proxy with respect to stock held in the name of two or more persons 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 </w:t>
      </w:r>
    </w:p>
    <w:p>
      <w:pPr>
        <w:pStyle w:val="TextBody"/>
        <w:bidi w:val="0"/>
        <w:spacing w:before="240" w:after="0"/>
        <w:jc w:val="left"/>
        <w:rPr>
          <w:rFonts w:ascii="Times New Roman" w:hAnsi="Times New Roman"/>
          <w:sz w:val="20"/>
        </w:rPr>
      </w:pPr>
      <w:r>
        <w:rPr>
          <w:rFonts w:ascii="Times New Roman" w:hAnsi="Times New Roman"/>
          <w:sz w:val="20"/>
        </w:rPr>
        <w:t xml:space="preserve">(b) Any stockholder directly or indirectly soliciting proxies from other stockholders must use a proxy card color other than white, which shall be reserved for the exclusive use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Action at Meeting</w:t>
      </w:r>
      <w:r>
        <w:rPr>
          <w:rFonts w:ascii="Times New Roman" w:hAnsi="Times New Roman"/>
          <w:sz w:val="20"/>
        </w:rPr>
        <w:t xml:space="preserve">.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Stockholder Lists</w:t>
      </w:r>
      <w:r>
        <w:rPr>
          <w:rFonts w:ascii="Times New Roman" w:hAnsi="Times New Roman"/>
          <w:sz w:val="20"/>
        </w:rPr>
        <w:t xml:space="preserve">. The Corporation shall prepare, no later than the tenth (10th) day before each Annual Meeting or special meeting of 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meeting date, the list shall reflect the stockholders entitled to vote as of the tenth (10th) day before the meeting date. Such list shall be open to the examination of any stockholder for any purpose germane to the meeting for a period of ten (10) days ending on the day before the meeting date in the manner provided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Conduct of Meeting</w:t>
      </w:r>
      <w:r>
        <w:rPr>
          <w:rFonts w:ascii="Times New Roman" w:hAnsi="Times New Roman"/>
          <w:sz w:val="20"/>
        </w:rPr>
        <w:t xml:space="preserve">. The Board of Directors may adopt by resolution such rules, regulations and procedures for the conduct of any meeting of stockholders as it shall deem appropriate. Except to the extent inconsistent with rules, regulations and procedures adopted by the Board of Directors, the chair of the meeting shall have the right to prescribe such rules, regulations and procedures and to do all such acts, as, in the judgment of such chair, are necessary, appropriate or convenient for the proper conduct of the meeting. Such rules, regulations or procedures, whether adopted by the Board of 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 The chair of the meeting shall be: (i) such person as the Board of Directors shall have designated to preside over all meetings of the stockholders; (ii) if the Board of Directors has not so designated such a chair of the meeting or if the chair of the meeting is unable to so preside or is absent, then the Chairperson of the Board, if one is elected; (iii) if the Board of Directors has not so designated a chair of the meeting and there is no Chairperson of the Board, or if the chair of the meeting or the Chairperson of the Board is unable to so preside or is absent, then the Chief Executive Officer, if one is elected; or (iv) in the absence or inability to serve of any of the aforementioned persons, the President of the Corporation. Unless and to the extent determined by the Board of Directors or the chair of the meeting, the chair of the meeting shall not be obligated to adopt or follow any technical, formal or parliamentary rules or principles of procedure. In the absence of the Secretary of the Corporation, the secretary of the meeting shall be such person as the chair of the meeting appoints.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Inspectors of Elections</w:t>
      </w:r>
      <w:r>
        <w:rPr>
          <w:rFonts w:ascii="Times New Roman" w:hAnsi="Times New Roman"/>
          <w:sz w:val="20"/>
        </w:rPr>
        <w:t xml:space="preserve">. The Corporation shall, in advance of any meeting of stockholders, appoint one or three inspectors to act at the meeting and make a written report thereof. The Corporation may designate one or more persons as alternate inspectors to replace any inspector who fails to act. If no inspector or alternate is able to act at a meeting of stockholders, the chair of the meeting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chair of the meeting may review all determinations made by the inspectors, and in so doing the chair of the meeting shall be entitled to exercise his or her sole judgment and discretion and he or she shall not be bound by any determinations made by the inspectors. All determinations by the inspectors and, if applicable, the chair of the meeting, shall be subject to further review by any court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Powers</w:t>
      </w:r>
      <w:r>
        <w:rPr>
          <w:rFonts w:ascii="Times New Roman" w:hAnsi="Times New Roman"/>
          <w:sz w:val="20"/>
        </w:rPr>
        <w:t xml:space="preserve">. The business and affairs of the Corporation shall be managed by or under the direction of the Board of Directors, except as otherwise provided by the Certificate or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Number and Terms</w:t>
      </w:r>
      <w:r>
        <w:rPr>
          <w:rFonts w:ascii="Times New Roman" w:hAnsi="Times New Roman"/>
          <w:sz w:val="20"/>
        </w:rPr>
        <w:t xml:space="preserve">. The number of directors of the Corporation shall be fixed solely and exclusively by resolution duly adopted from time to time by the Board of Directors, provided the Board of Directors shall consist of at least one (1) member. The directors shall hold office in the manner provided in the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Qualification</w:t>
      </w:r>
      <w:r>
        <w:rPr>
          <w:rFonts w:ascii="Times New Roman" w:hAnsi="Times New Roman"/>
          <w:sz w:val="20"/>
        </w:rPr>
        <w:t xml:space="preserve">. No director need be a stockholder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Vacancies</w:t>
      </w:r>
      <w:r>
        <w:rPr>
          <w:rFonts w:ascii="Times New Roman" w:hAnsi="Times New Roman"/>
          <w:sz w:val="20"/>
        </w:rPr>
        <w:t xml:space="preserve">. Vacancies in the Board of Directors shall be filled in the manner provided in the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Removal</w:t>
      </w:r>
      <w:r>
        <w:rPr>
          <w:rFonts w:ascii="Times New Roman" w:hAnsi="Times New Roman"/>
          <w:sz w:val="20"/>
        </w:rPr>
        <w:t xml:space="preserve">. Directors may be removed from office only in the manner provided in the Certificate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Resignation</w:t>
      </w:r>
      <w:r>
        <w:rPr>
          <w:rFonts w:ascii="Times New Roman" w:hAnsi="Times New Roman"/>
          <w:sz w:val="20"/>
        </w:rPr>
        <w:t xml:space="preserve">. A director may resign at any time by electronic transmission or by giving written notice to the Chairperson of the Board, if one is elected, the President or the Secretary. A resignation shall be effective upon receipt, unless the resignation otherwise provides.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Regular Meetings</w:t>
      </w:r>
      <w:r>
        <w:rPr>
          <w:rFonts w:ascii="Times New Roman" w:hAnsi="Times New Roman"/>
          <w:sz w:val="20"/>
        </w:rPr>
        <w:t xml:space="preserve">. Regular meetings of the Board of Directors may be held at such hour, date and place (if any) as the Board of Directors may from time to time determine and publicize by means of reasonable notice given to any director who is not present when such determination is made.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Special Meetings</w:t>
      </w:r>
      <w:r>
        <w:rPr>
          <w:rFonts w:ascii="Times New Roman" w:hAnsi="Times New Roman"/>
          <w:sz w:val="20"/>
        </w:rPr>
        <w:t xml:space="preserve">.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(if any) thereof. Notice thereof shall be given to each director as provided in Section 9 of this Article II.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Notice of Meetings</w:t>
      </w:r>
      <w:r>
        <w:rPr>
          <w:rFonts w:ascii="Times New Roman" w:hAnsi="Times New Roman"/>
          <w:sz w:val="20"/>
        </w:rPr>
        <w:t xml:space="preserve">. Notice of the hour, date and place (if any) of all special meetings of the Board of Directors shall be given to each director by the Secretary or an Assistant Secretary, or in case of the death, absence, incapacity or refusal of such persons, by the Chairperson of the Board, if one is elected, the President or such other officer designated by the Chairperson of the Board, if one is elected, or any one of the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calling the meeting.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provided, however, that if the person or persons calling the meeting determine that it is otherwise necessary or advisable to hold the meeting sooner, then such person or persons may prescribe a shorter time period for notice to be given personally or by telephone, facsimile, electronic mail or other similar means of communication. Such notice shall be deemed to be delivered when hand-delivered to such address; read to such director by telephone; deposited in the mail so addressed, with postage thereon prepaid, if mailed; or dispatched or transmitted if sent by facsimile transmission or by electronic mail or other form of electronic communication.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Quorum</w:t>
      </w:r>
      <w:r>
        <w:rPr>
          <w:rFonts w:ascii="Times New Roman" w:hAnsi="Times New Roman"/>
          <w:sz w:val="20"/>
        </w:rPr>
        <w:t xml:space="preserve">.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that might have been transacted at the meeting as originally noticed may be transacted at such adjourned meeting at which a quorum is present. For purposes of this Article II, the total number of directors includes any unfilled vacancies on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Action at Meeting</w:t>
      </w:r>
      <w:r>
        <w:rPr>
          <w:rFonts w:ascii="Times New Roman" w:hAnsi="Times New Roman"/>
          <w:sz w:val="20"/>
        </w:rPr>
        <w:t xml:space="preserve">. At any meeting of the Board of Directors at which a quorum is present, the affirmative vote of a majority of the directors present shall constitute action by the Board of Directors, unless otherwise required by law, by the Certificate or by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Action by Consent</w:t>
      </w:r>
      <w:r>
        <w:rPr>
          <w:rFonts w:ascii="Times New Roman" w:hAnsi="Times New Roman"/>
          <w:sz w:val="20"/>
        </w:rPr>
        <w:t xml:space="preserve">. Any action required or permitted to be taken at any meeting of the Board of Directors may be taken without a meeting if all members of the Board of Directors consent thereto in writing or by electronic transmission. After such action is taken, the writing or writings or electronic transmission or transmissions shall be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Manner of Participation</w:t>
      </w:r>
      <w:r>
        <w:rPr>
          <w:rFonts w:ascii="Times New Roman" w:hAnsi="Times New Roman"/>
          <w:sz w:val="20"/>
        </w:rPr>
        <w:t xml:space="preserve">. Directors may participate in meetings of the Board of Directors by means of video conference, conference telephone or other communications equipment by means of which all directors participating in the meeting can hear each other, and participation in a meeting in accordance herewith shall constitute presence in person at such meeting for purposes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Presiding Director</w:t>
      </w:r>
      <w:r>
        <w:rPr>
          <w:rFonts w:ascii="Times New Roman" w:hAnsi="Times New Roman"/>
          <w:sz w:val="20"/>
        </w:rPr>
        <w:t xml:space="preserve">.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Committees</w:t>
      </w:r>
      <w:r>
        <w:rPr>
          <w:rFonts w:ascii="Times New Roman" w:hAnsi="Times New Roman"/>
          <w:sz w:val="20"/>
        </w:rPr>
        <w:t xml:space="preserve">. The Board of Directors may designate one or more committees, including, without limitation, a Compensation Committee, a Nominating &amp; Corporate Governance Committee and an Audit Committee, and may delegate thereto some or all of its powers to such committee(s)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Compensation of Directors</w:t>
      </w:r>
      <w:r>
        <w:rPr>
          <w:rFonts w:ascii="Times New Roman" w:hAnsi="Times New Roman"/>
          <w:sz w:val="20"/>
        </w:rPr>
        <w:t xml:space="preserve">. Directors shall receive such compensation for their services as shall be determined by the Board of Directors, or a designated committee thereof, provided that directors who are serving the Corporation as employees shall not receive any salary or other compensation for their services as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Emergency By-laws</w:t>
      </w:r>
      <w:r>
        <w:rPr>
          <w:rFonts w:ascii="Times New Roman" w:hAnsi="Times New Roman"/>
          <w:sz w:val="20"/>
        </w:rPr>
        <w:t xml:space="preserve">. In the event of any emergency, disaster, catastrophe or other similar emergency condition of a type described in Section 110(a) of the DGCL (an “Emergency”), notwithstanding any different or conflicting provisions in the DGCL, the Certificate or these By-laws, during such Emergency: </w:t>
      </w:r>
    </w:p>
    <w:p>
      <w:pPr>
        <w:pStyle w:val="TextBody"/>
        <w:bidi w:val="0"/>
        <w:spacing w:before="240" w:after="0"/>
        <w:jc w:val="left"/>
        <w:rPr>
          <w:rFonts w:ascii="Times New Roman" w:hAnsi="Times New Roman"/>
          <w:sz w:val="20"/>
        </w:rPr>
      </w:pPr>
      <w:r>
        <w:rPr>
          <w:rFonts w:ascii="Times New Roman" w:hAnsi="Times New Roman"/>
          <w:sz w:val="20"/>
        </w:rPr>
        <w:t xml:space="preserve">(a) A meeting of the Board of Directors or a committee thereof may be called by any director, the Chairperson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director or directors in attendance at a meeting called in accordance with Section 17(a) of this Article II shall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(c) No officer, director or employee acting in accordance with this Section 17 shall be liable except for willful misconduct. No amendment, repeal or change to this Section 17 shall modify the prior sentence with regard to actions taken prior to the time of such amendment, repeal or change.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Enumeration</w:t>
      </w:r>
      <w:r>
        <w:rPr>
          <w:rFonts w:ascii="Times New Roman" w:hAnsi="Times New Roman"/>
          <w:sz w:val="20"/>
        </w:rPr>
        <w:t xml:space="preserve">. The officers of the Corporation shall consist of a President, a Treasurer, a Secretary and such other officers, including, without limitation, a Chairperson of the Board, a Chief Executive Officer and one or more Vice Presidents (including Executive Vice Presidents or Senior Vice Presidents), Assistant Vice Presidents, Assistant Treasurers and Assistant Secretaries, as the Board of Directors may determine. Any number of offices may be held by the same person. The salaries and other compensation of the officers of the Corporation will be fixed by or in the manner designated by the Board of Directors or a committee thereof to which the Board of Directors has delegated such responsibility.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Election</w:t>
      </w:r>
      <w:r>
        <w:rPr>
          <w:rFonts w:ascii="Times New Roman" w:hAnsi="Times New Roman"/>
          <w:sz w:val="20"/>
        </w:rPr>
        <w:t xml:space="preserve">. The Board of Directors shall elect the President, the Treasurer and the Secretary. Other officers may be elected by the Board of Directors or by such officers delegated such authority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Qualification</w:t>
      </w:r>
      <w:r>
        <w:rPr>
          <w:rFonts w:ascii="Times New Roman" w:hAnsi="Times New Roman"/>
          <w:sz w:val="20"/>
        </w:rPr>
        <w:t xml:space="preserve">. No officer need be a stockholder or a director.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Tenure</w:t>
      </w:r>
      <w:r>
        <w:rPr>
          <w:rFonts w:ascii="Times New Roman" w:hAnsi="Times New Roman"/>
          <w:sz w:val="20"/>
        </w:rPr>
        <w:t xml:space="preserve">. Except as otherwise provided by the Certificate or by these Bylaws, each of the officers of the Corporation shall hold office until his or her successor is elected and qualified or until his or her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Resignation and Removal</w:t>
      </w:r>
      <w:r>
        <w:rPr>
          <w:rFonts w:ascii="Times New Roman" w:hAnsi="Times New Roman"/>
          <w:sz w:val="20"/>
        </w:rPr>
        <w:t xml:space="preserve">. Any officer may resign by delivering his or her written or electronically transmitted resignation to the Corporation addressed to the President or the Secretary, and such resignation shall be effective upon receipt, unless the resignation otherwise provides. Any resignation is without prejudice to the rights, if any, of the Corporation under any contract to which the officer is a party. Except as otherwise provided by law or by resolution of the Board of Directors, the Board of Directors may remove any officer. 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Absence or Disability</w:t>
      </w:r>
      <w:r>
        <w:rPr>
          <w:rFonts w:ascii="Times New Roman" w:hAnsi="Times New Roman"/>
          <w:sz w:val="20"/>
        </w:rPr>
        <w:t xml:space="preserve">. In the event of the absence or disability of any officer, the Board of Directors may designate another officer to act temporarily in place of such absent or disabled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Vacancies</w:t>
      </w:r>
      <w:r>
        <w:rPr>
          <w:rFonts w:ascii="Times New Roman" w:hAnsi="Times New Roman"/>
          <w:sz w:val="20"/>
        </w:rPr>
        <w:t xml:space="preserve">. Any vacancy in any office may be filled for the unexpired portion of the term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President</w:t>
      </w:r>
      <w:r>
        <w:rPr>
          <w:rFonts w:ascii="Times New Roman" w:hAnsi="Times New Roman"/>
          <w:sz w:val="20"/>
        </w:rPr>
        <w:t xml:space="preserve">. The President shall, subject to the direction of the Board of Directors, have such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Chairperson of the Board</w:t>
      </w:r>
      <w:r>
        <w:rPr>
          <w:rFonts w:ascii="Times New Roman" w:hAnsi="Times New Roman"/>
          <w:sz w:val="20"/>
        </w:rPr>
        <w:t xml:space="preserve">. The Chairperson of the Board, if one is elected, shall have such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Chief Executive Officer</w:t>
      </w:r>
      <w:r>
        <w:rPr>
          <w:rFonts w:ascii="Times New Roman" w:hAnsi="Times New Roman"/>
          <w:sz w:val="20"/>
        </w:rPr>
        <w:t xml:space="preserve">. The Chief Executive Officer, if one is elected, shall have such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Vice Presidents and Assistant Vice Presidents</w:t>
      </w:r>
      <w:r>
        <w:rPr>
          <w:rFonts w:ascii="Times New Roman" w:hAnsi="Times New Roman"/>
          <w:sz w:val="20"/>
        </w:rPr>
        <w:t xml:space="preserve">. Any Vice President (including any Executive Vice President or Senior Vice President) and any Assistant Vice President shall have such powers and shall perform such duties as the Board of Directors or the Chief Executive Officer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Treasurer and Assistant Treasurers</w:t>
      </w:r>
      <w:r>
        <w:rPr>
          <w:rFonts w:ascii="Times New Roman" w:hAnsi="Times New Roman"/>
          <w:sz w:val="20"/>
        </w:rPr>
        <w:t xml:space="preserve">.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Secretary and Assistant Secretaries</w:t>
      </w:r>
      <w:r>
        <w:rPr>
          <w:rFonts w:ascii="Times New Roman" w:hAnsi="Times New Roman"/>
          <w:sz w:val="20"/>
        </w:rPr>
        <w:t xml:space="preserve">.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Other Powers and Duties</w:t>
      </w:r>
      <w:r>
        <w:rPr>
          <w:rFonts w:ascii="Times New Roman" w:hAnsi="Times New Roman"/>
          <w:sz w:val="20"/>
        </w:rPr>
        <w:t xml:space="preserve">.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Representation of Shares of Other Corporations</w:t>
      </w:r>
      <w:r>
        <w:rPr>
          <w:rFonts w:ascii="Times New Roman" w:hAnsi="Times New Roman"/>
          <w:sz w:val="20"/>
        </w:rPr>
        <w:t xml:space="preserve">. The Chairperson of the Board,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Bonded Officers</w:t>
      </w:r>
      <w:r>
        <w:rPr>
          <w:rFonts w:ascii="Times New Roman" w:hAnsi="Times New Roman"/>
          <w:sz w:val="20"/>
        </w:rPr>
        <w:t xml:space="preserve">. The Board of Directors may require any officer to give the Corporation a bond in such sum and with such surety or sureties as shall be satisfactory to the Board of Directors upon such terms and conditions as the Board of Directors may specify, including, without limitation, a bond for the faithful performance of his or her duties and for the restoration to the Corporation of all property in his or her possession or under his or her control belonging to the Corporation.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Certificates of Stock</w:t>
      </w:r>
      <w:r>
        <w:rPr>
          <w:rFonts w:ascii="Times New Roman" w:hAnsi="Times New Roman"/>
          <w:sz w:val="20"/>
        </w:rPr>
        <w:t xml:space="preserve">.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Transfers</w:t>
      </w:r>
      <w:r>
        <w:rPr>
          <w:rFonts w:ascii="Times New Roman" w:hAnsi="Times New Roman"/>
          <w:sz w:val="20"/>
        </w:rPr>
        <w:t xml:space="preserve">.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Stock Transfer Agreements</w:t>
      </w:r>
      <w:r>
        <w:rPr>
          <w:rFonts w:ascii="Times New Roman" w:hAnsi="Times New Roman"/>
          <w:sz w:val="20"/>
        </w:rPr>
        <w:t xml:space="preserve">.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Record Holders</w:t>
      </w:r>
      <w:r>
        <w:rPr>
          <w:rFonts w:ascii="Times New Roman" w:hAnsi="Times New Roman"/>
          <w:sz w:val="20"/>
        </w:rPr>
        <w:t xml:space="preserve">.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Record Date</w:t>
      </w:r>
      <w:r>
        <w:rPr>
          <w:rFonts w:ascii="Times New Roman" w:hAnsi="Times New Roman"/>
          <w:sz w:val="20"/>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and (ii) the record date for determining stockholders for any other purpose shall be 5:00 p.m. Eastern time on the day on which the Board of Directors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Replacement of Certificates</w:t>
      </w:r>
      <w:r>
        <w:rPr>
          <w:rFonts w:ascii="Times New Roman" w:hAnsi="Times New Roman"/>
          <w:sz w:val="20"/>
        </w:rPr>
        <w:t xml:space="preserve">. In case of the alleged loss, destruction or mutilation of a certificate of stock of the Corporation, a duplicate certificate may be issued in place thereof, upon such terms as the Board of Directors may prescribe.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w:t>
      </w:r>
      <w:r>
        <w:rPr>
          <w:rFonts w:ascii="Times New Roman" w:hAnsi="Times New Roman"/>
          <w:sz w:val="20"/>
        </w:rPr>
        <w:t xml:space="preserve">. For purposes of this Article V: </w:t>
      </w:r>
    </w:p>
    <w:p>
      <w:pPr>
        <w:pStyle w:val="TextBody"/>
        <w:bidi w:val="0"/>
        <w:spacing w:before="120" w:after="0"/>
        <w:jc w:val="left"/>
        <w:rPr>
          <w:rFonts w:ascii="Times New Roman" w:hAnsi="Times New Roman"/>
          <w:sz w:val="20"/>
        </w:rPr>
      </w:pPr>
      <w:r>
        <w:rPr>
          <w:rFonts w:ascii="Times New Roman" w:hAnsi="Times New Roman"/>
          <w:sz w:val="20"/>
        </w:rPr>
        <w:t xml:space="preserve">(a) “Corporate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“Director” means any person who serves or has served the Corporation as a director on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“Disinterested Director” means, with respect to each Proceeding in respect of which indemnification is sought hereunder, a Director of the Corporation who is not and was not a party to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(d) “Expenses”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 </w:t>
      </w:r>
    </w:p>
    <w:p>
      <w:pPr>
        <w:pStyle w:val="TextBody"/>
        <w:bidi w:val="0"/>
        <w:spacing w:before="240" w:after="0"/>
        <w:jc w:val="left"/>
        <w:rPr>
          <w:rFonts w:ascii="Times New Roman" w:hAnsi="Times New Roman"/>
          <w:sz w:val="20"/>
        </w:rPr>
      </w:pPr>
      <w:r>
        <w:rPr>
          <w:rFonts w:ascii="Times New Roman" w:hAnsi="Times New Roman"/>
          <w:sz w:val="20"/>
        </w:rPr>
        <w:t xml:space="preserve">(e) “Liabilities” means judgments, damages, liabilities, losses, penalties, excise taxes, fines and amounts paid in settlement; </w:t>
      </w:r>
    </w:p>
    <w:p>
      <w:pPr>
        <w:pStyle w:val="TextBody"/>
        <w:bidi w:val="0"/>
        <w:spacing w:before="240" w:after="0"/>
        <w:jc w:val="left"/>
        <w:rPr>
          <w:rFonts w:ascii="Times New Roman" w:hAnsi="Times New Roman"/>
          <w:sz w:val="20"/>
        </w:rPr>
      </w:pPr>
      <w:r>
        <w:rPr>
          <w:rFonts w:ascii="Times New Roman" w:hAnsi="Times New Roman"/>
          <w:sz w:val="20"/>
        </w:rPr>
        <w:t xml:space="preserve">(f) “Non-Officer Employee” means any person who serves or has served as an employee or agent of the Corporation, but who is not or was not a Director or Officer; </w:t>
      </w:r>
    </w:p>
    <w:p>
      <w:pPr>
        <w:pStyle w:val="TextBody"/>
        <w:bidi w:val="0"/>
        <w:spacing w:before="240" w:after="0"/>
        <w:jc w:val="left"/>
        <w:rPr>
          <w:rFonts w:ascii="Times New Roman" w:hAnsi="Times New Roman"/>
          <w:sz w:val="20"/>
        </w:rPr>
      </w:pPr>
      <w:r>
        <w:rPr>
          <w:rFonts w:ascii="Times New Roman" w:hAnsi="Times New Roman"/>
          <w:sz w:val="20"/>
        </w:rPr>
        <w:t xml:space="preserve">(g) “Officer” means any person who serves or has served the Corporation as an officer of the Corporation appointed by the Board of Directors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“Proceeding” means any threatened, pending or completed action, suit, arbitration, alternate dispute resolution mechanism, inquiry, investigation, administrative hearing or other proceeding, whether civil, criminal, administrative, arbitrative or investigative; and </w:t>
      </w:r>
    </w:p>
    <w:p>
      <w:pPr>
        <w:pStyle w:val="TextBody"/>
        <w:bidi w:val="0"/>
        <w:spacing w:before="240" w:after="0"/>
        <w:jc w:val="left"/>
        <w:rPr>
          <w:rFonts w:ascii="Times New Roman" w:hAnsi="Times New Roman"/>
          <w:sz w:val="20"/>
        </w:rPr>
      </w:pPr>
      <w:r>
        <w:rPr>
          <w:rFonts w:ascii="Times New Roman" w:hAnsi="Times New Roman"/>
          <w:sz w:val="20"/>
        </w:rPr>
        <w:t xml:space="preserve">(i) “Subsidiary” means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2. Indemnification of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operation of Section 4 of this Article V,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Actions, Suits and Proceedings Other than By or In the Right of the Corporation</w:t>
      </w:r>
      <w:r>
        <w:rPr>
          <w:rFonts w:ascii="Times New Roman" w:hAnsi="Times New Roman"/>
          <w:sz w:val="20"/>
        </w:rPr>
        <w:t xml:space="preserve">.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Actions, Suits and Proceedings By or In the Right of the Corporation</w:t>
      </w:r>
      <w:r>
        <w:rPr>
          <w:rFonts w:ascii="Times New Roman" w:hAnsi="Times New Roman"/>
          <w:sz w:val="20"/>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Survival of Rights</w:t>
      </w:r>
      <w:r>
        <w:rPr>
          <w:rFonts w:ascii="Times New Roman" w:hAnsi="Times New Roman"/>
          <w:sz w:val="20"/>
        </w:rPr>
        <w:t xml:space="preserve">. The rights of indemnification provided by this Section 2 shall continue as to a Director or Officer after he or she has ceased to be a Director or Officer and shall inure to the benefit of his or her heirs, executors, administrators and personal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Actions by Directors or Officers</w:t>
      </w:r>
      <w:r>
        <w:rPr>
          <w:rFonts w:ascii="Times New Roman" w:hAnsi="Times New Roman"/>
          <w:sz w:val="20"/>
        </w:rPr>
        <w:t xml:space="preserve">.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Indemnification of Non-Officer Employees</w:t>
      </w:r>
      <w:r>
        <w:rPr>
          <w:rFonts w:ascii="Times New Roman" w:hAnsi="Times New Roman"/>
          <w:sz w:val="20"/>
        </w:rPr>
        <w:t xml:space="preserve">. Subject to the operation of Section 4 of this Article V,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Determination</w:t>
      </w:r>
      <w:r>
        <w:rPr>
          <w:rFonts w:ascii="Times New Roman" w:hAnsi="Times New Roman"/>
          <w:sz w:val="20"/>
        </w:rPr>
        <w:t xml:space="preserve">.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 Advancement of Expenses to Directors Prior to Final Disposition. </w:t>
      </w:r>
    </w:p>
    <w:p>
      <w:pPr>
        <w:pStyle w:val="TextBody"/>
        <w:bidi w:val="0"/>
        <w:spacing w:before="240" w:after="0"/>
        <w:jc w:val="left"/>
        <w:rPr>
          <w:rFonts w:ascii="Times New Roman" w:hAnsi="Times New Roman"/>
          <w:sz w:val="20"/>
        </w:rPr>
      </w:pPr>
      <w:r>
        <w:rPr>
          <w:rFonts w:ascii="Times New Roman" w:hAnsi="Times New Roman"/>
          <w:sz w:val="20"/>
        </w:rPr>
        <w:t xml:space="preserve">(a) 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 </w:t>
      </w:r>
    </w:p>
    <w:p>
      <w:pPr>
        <w:pStyle w:val="TextBody"/>
        <w:bidi w:val="0"/>
        <w:spacing w:before="240" w:after="0"/>
        <w:jc w:val="left"/>
        <w:rPr>
          <w:rFonts w:ascii="Times New Roman" w:hAnsi="Times New Roman"/>
          <w:sz w:val="20"/>
        </w:rPr>
      </w:pPr>
      <w:r>
        <w:rPr>
          <w:rFonts w:ascii="Times New Roman" w:hAnsi="Times New Roman"/>
          <w:sz w:val="20"/>
        </w:rPr>
        <w:t xml:space="preserve">(b) 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6. Advancement of Expenses to Officers and Non-Officer Employees Prior to Final Disposition. </w:t>
      </w:r>
    </w:p>
    <w:p>
      <w:pPr>
        <w:pStyle w:val="TextBody"/>
        <w:bidi w:val="0"/>
        <w:spacing w:before="240" w:after="0"/>
        <w:jc w:val="left"/>
        <w:rPr>
          <w:rFonts w:ascii="Times New Roman" w:hAnsi="Times New Roman"/>
          <w:sz w:val="20"/>
        </w:rPr>
      </w:pPr>
      <w:r>
        <w:rPr>
          <w:rFonts w:ascii="Times New Roman" w:hAnsi="Times New Roman"/>
          <w:sz w:val="20"/>
        </w:rPr>
        <w:t xml:space="preserve">(a) 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7. Contractual Nature of Rights.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distributees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(b) 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In any suit brought by a Director or Officer to enforce a right to indemnification hereunder, it shall be a defense that such Director or Officer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Non-Exclusivity of Rights</w:t>
      </w:r>
      <w:r>
        <w:rPr>
          <w:rFonts w:ascii="Times New Roman" w:hAnsi="Times New Roman"/>
          <w:sz w:val="20"/>
        </w:rPr>
        <w:t xml:space="preserve">. The rights to indemnification and to advancement of Expenses set forth in this Article V shall not be exclusive of any other right that any Director, Officer or Non-Officer Employee may have or hereafter acquire under any statute, provision of the Certificate or these Bylaws, agreement, vote of stockholders or Disinterested Directors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Insurance</w:t>
      </w:r>
      <w:r>
        <w:rPr>
          <w:rFonts w:ascii="Times New Roman" w:hAnsi="Times New Roman"/>
          <w:sz w:val="20"/>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Other Indemnification</w:t>
      </w:r>
      <w:r>
        <w:rPr>
          <w:rFonts w:ascii="Times New Roman" w:hAnsi="Times New Roman"/>
          <w:sz w:val="20"/>
        </w:rPr>
        <w:t xml:space="preserve">.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Savings Clause</w:t>
      </w:r>
      <w:r>
        <w:rPr>
          <w:rFonts w:ascii="Times New Roman" w:hAnsi="Times New Roman"/>
          <w:sz w:val="20"/>
        </w:rPr>
        <w:t xml:space="preserve">. If this Article V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V that shall not have been invalidated and to the fullest extent permitted by applicable law.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Fiscal Year</w:t>
      </w:r>
      <w:r>
        <w:rPr>
          <w:rFonts w:ascii="Times New Roman" w:hAnsi="Times New Roman"/>
          <w:sz w:val="20"/>
        </w:rPr>
        <w:t xml:space="preserve">. The fiscal year of the Corporation shall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Seal</w:t>
      </w:r>
      <w:r>
        <w:rPr>
          <w:rFonts w:ascii="Times New Roman" w:hAnsi="Times New Roman"/>
          <w:sz w:val="20"/>
        </w:rPr>
        <w:t xml:space="preserve">. The Board of Directors shall have power to adopt and alter the seal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Execution of Instruments</w:t>
      </w:r>
      <w:r>
        <w:rPr>
          <w:rFonts w:ascii="Times New Roman" w:hAnsi="Times New Roman"/>
          <w:sz w:val="20"/>
        </w:rPr>
        <w:t xml:space="preserve">. All deeds, leases, transfers, contracts, bonds, notes and other obligations to be entered into by the Corporation in the ordinary course of its business without director action may be executed on behalf of the Corporation by the Chairperson of the Board, if one is elected, the President or the Treasurer or any other officer, employee or agent of the Corporation as the Board of Directors or an executive committee of the Board of Directors may authorize or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Voting of Securities</w:t>
      </w:r>
      <w:r>
        <w:rPr>
          <w:rFonts w:ascii="Times New Roman" w:hAnsi="Times New Roman"/>
          <w:sz w:val="20"/>
        </w:rPr>
        <w:t xml:space="preserve">.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stockholders of any other corporation or organization, any of whose securities are held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Resident Agent</w:t>
      </w:r>
      <w:r>
        <w:rPr>
          <w:rFonts w:ascii="Times New Roman" w:hAnsi="Times New Roman"/>
          <w:sz w:val="20"/>
        </w:rPr>
        <w:t xml:space="preserve">. The Board of Directors may appoint a resident agent upon whom legal process may be served in any action or proceeding against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Corporate Records</w:t>
      </w:r>
      <w:r>
        <w:rPr>
          <w:rFonts w:ascii="Times New Roman" w:hAnsi="Times New Roman"/>
          <w:sz w:val="20"/>
        </w:rPr>
        <w:t xml:space="preserve">.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in such manner as may be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Certificate</w:t>
      </w:r>
      <w:r>
        <w:rPr>
          <w:rFonts w:ascii="Times New Roman" w:hAnsi="Times New Roman"/>
          <w:sz w:val="20"/>
        </w:rPr>
        <w:t xml:space="preserve">. All references in these Bylaws to the Certificate shall be deemed to refer to the Certificate, as amended and/or restated and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Exclusive Jurisdiction of Delaware Courts or the United States Federal District Courts</w:t>
      </w:r>
      <w:r>
        <w:rPr>
          <w:rFonts w:ascii="Times New Roman" w:hAnsi="Times New Roman"/>
          <w:sz w:val="20"/>
        </w:rPr>
        <w:t xml:space="preserve">.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 or enforceability thereof) or as to which the DGCL confers jurisdiction on the Court of Chancery of the State of Delaware or (iv) any action asserting a claim governed by the internal affairs doctrine; provided, however, that this sentence will not apply to any causes of action arising under the Securities Act of 1933, as amended,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Amendment of Bylaws.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 by Directors</w:t>
      </w:r>
      <w:r>
        <w:rPr>
          <w:rFonts w:ascii="Times New Roman" w:hAnsi="Times New Roman"/>
          <w:sz w:val="20"/>
        </w:rPr>
        <w:t xml:space="preserve">. Except as otherwise required by law, these Bylaws may be amended or repealed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 by Stockholders</w:t>
      </w:r>
      <w:r>
        <w:rPr>
          <w:rFonts w:ascii="Times New Roman" w:hAnsi="Times New Roman"/>
          <w:sz w:val="20"/>
        </w:rPr>
        <w:t xml:space="preserve">. Except as otherwise provided herein, the Bylaws of the Corporation may be amended or repealed at any annual meeting of stockholders, or at any special meeting of stockholders called for such purpose, by the affirmative vote of the holders of not less than two-thirds (2/3) of the voting power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outstanding shares of capital stock entitled to vote on such amendment or repeal,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Notices</w:t>
      </w:r>
      <w:r>
        <w:rPr>
          <w:rFonts w:ascii="Times New Roman" w:hAnsi="Times New Roman"/>
          <w:sz w:val="20"/>
        </w:rPr>
        <w:t xml:space="preserve">.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Waivers</w:t>
      </w:r>
      <w:r>
        <w:rPr>
          <w:rFonts w:ascii="Times New Roman" w:hAnsi="Times New Roman"/>
          <w:sz w:val="20"/>
        </w:rPr>
        <w:t xml:space="preserve">.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 </w:t>
      </w:r>
    </w:p>
    <w:p>
      <w:pPr>
        <w:pStyle w:val="TextBody"/>
        <w:bidi w:val="0"/>
        <w:spacing w:before="240" w:after="0"/>
        <w:jc w:val="left"/>
        <w:rPr>
          <w:rFonts w:ascii="Times New Roman" w:hAnsi="Times New Roman"/>
          <w:sz w:val="20"/>
        </w:rPr>
      </w:pPr>
      <w:r>
        <w:rPr>
          <w:rFonts w:ascii="Times New Roman" w:hAnsi="Times New Roman"/>
          <w:sz w:val="20"/>
        </w:rPr>
        <w:t xml:space="preserve">Adopted April 7, 2026, effective upon the effectiveness of the S-1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20516</Words>
  <Characters>105688</Characters>
  <CharactersWithSpaces>126219</CharactersWithSpaces>
  <Paragraphs>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dc:title>
</cp:coreProperties>
</file>