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tx-20260630.htm"/>
      <w:bookmarkStart w:id="1" w:name="kssptx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______________________ to ______________________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001-43254</w:t>
      </w:r>
    </w:p>
    <w:p>
      <w:pPr>
        <w:pStyle w:val="TextBody"/>
        <w:pBdr>
          <w:bottom w:val="single" w:sz="4" w:space="1" w:color="000000"/>
        </w:pBdr>
        <w:bidi w:val="0"/>
        <w:spacing w:before="40" w:after="10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Seaport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ind w:left="4320" w:right="4320" w:hanging="0"/>
        <w:jc w:val="center"/>
        <w:rPr/>
      </w:pPr>
      <w:r>
        <w:rPr/>
        <w:t> </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2461"/>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99-2235719</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101 Seaport Blvd., Floor 12</w:t>
            </w:r>
          </w:p>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Boston, Massachusetts</w:t>
            </w:r>
          </w:p>
        </w:tc>
        <w:tc>
          <w:tcPr>
            <w:tcW w:w="124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02210</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807-4062</w:t>
      </w:r>
    </w:p>
    <w:p>
      <w:pPr>
        <w:pStyle w:val="TextBody"/>
        <w:pBdr>
          <w:bottom w:val="single" w:sz="4" w:space="1" w:color="000000"/>
        </w:pBdr>
        <w:bidi w:val="0"/>
        <w:spacing w:before="40" w:after="283"/>
        <w:ind w:left="4320" w:right="4320" w:hanging="0"/>
        <w:jc w:val="center"/>
        <w:rPr/>
      </w:pPr>
      <w:r>
        <w:rPr/>
        <w:t> </w:t>
      </w:r>
    </w:p>
    <w:p>
      <w:pPr>
        <w:pStyle w:val="TextBody"/>
        <w:bidi w:val="0"/>
        <w:spacing w:before="60" w:after="283"/>
        <w:ind w:left="0" w:right="0" w:firstLine="49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Voting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ind w:left="0" w:right="0" w:firstLine="49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18"/>
        </w:rPr>
        <w:t>As of July 27, 2026, the registrant had 53,530,550</w:t>
      </w:r>
      <w:r>
        <w:rPr>
          <w:rFonts w:ascii="Times New Roman" w:hAnsi="Times New Roman"/>
          <w:color w:val="000000"/>
          <w:sz w:val="20"/>
        </w:rPr>
        <w:t xml:space="preserve"> </w:t>
      </w:r>
      <w:r>
        <w:rPr>
          <w:rFonts w:ascii="Times New Roman" w:hAnsi="Times New Roman"/>
          <w:color w:val="000000"/>
          <w:sz w:val="18"/>
        </w:rPr>
        <w:t>shares of voting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3"/>
        <w:gridCol w:w="8460"/>
        <w:gridCol w:w="712"/>
      </w:tblGrid>
      <w:tr>
        <w:trPr/>
        <w:tc>
          <w:tcPr>
            <w:tcW w:w="1033" w:type="dxa"/>
            <w:tcBorders/>
            <w:vAlign w:val="center"/>
          </w:tcPr>
          <w:p>
            <w:pPr>
              <w:pStyle w:val="TableContents"/>
              <w:bidi w:val="0"/>
              <w:spacing w:before="0" w:after="283"/>
              <w:jc w:val="left"/>
              <w:rPr>
                <w:sz w:val="4"/>
                <w:szCs w:val="4"/>
              </w:rPr>
            </w:pPr>
            <w:r>
              <w:rPr>
                <w:sz w:val="4"/>
                <w:szCs w:val="4"/>
              </w:rPr>
            </w:r>
          </w:p>
        </w:tc>
        <w:tc>
          <w:tcPr>
            <w:tcW w:w="846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both"/>
              <w:rPr/>
            </w:pPr>
            <w:hyperlink w:anchor="part_i_financial_information">
              <w:r>
                <w:rPr>
                  <w:rStyle w:val="InternetLink"/>
                  <w:rFonts w:ascii="Times New Roman" w:hAnsi="Times New Roman"/>
                  <w:color w:val="0000FF"/>
                  <w:sz w:val="20"/>
                  <w:u w:val="single"/>
                </w:rPr>
                <w:t>FINANCIAL INFORMATION</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both"/>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financial_statements">
              <w:r>
                <w:rPr>
                  <w:rStyle w:val="InternetLink"/>
                  <w:rFonts w:ascii="Times New Roman" w:hAnsi="Times New Roman"/>
                  <w:color w:val="0000FF"/>
                  <w:sz w:val="20"/>
                  <w:u w:val="single"/>
                </w:rPr>
                <w:t>Financial Statements (Unaudited)</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balance_sheets">
              <w:r>
                <w:rPr>
                  <w:rStyle w:val="InternetLink"/>
                  <w:rFonts w:ascii="Times New Roman" w:hAnsi="Times New Roman"/>
                  <w:color w:val="000080"/>
                  <w:sz w:val="20"/>
                  <w:u w:val="single"/>
                </w:rPr>
                <w:t>Condensed Consolidated Balance Sheets</w:t>
              </w:r>
            </w:hyperlink>
            <w:r>
              <w:rPr>
                <w:rFonts w:ascii="Times New Roman" w:hAnsi="Times New Roman"/>
                <w:color w:val="0000FF"/>
                <w:sz w:val="20"/>
                <w:u w:val="single"/>
              </w:rPr>
              <w:t> as of June 30, 2026 and December 31, 2025</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stmt_oper_comp_loss">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statements_of_stockholders">
              <w:r>
                <w:rPr>
                  <w:rStyle w:val="InternetLink"/>
                  <w:rFonts w:ascii="Times New Roman" w:hAnsi="Times New Roman"/>
                  <w:color w:val="000080"/>
                  <w:sz w:val="20"/>
                  <w:u w:val="single"/>
                </w:rPr>
                <w:t>Condensed Consolidated Statements of Convertible Preferred Stock and Stockholders’ Equity (Deficit)</w:t>
              </w:r>
            </w:hyperlink>
            <w:r>
              <w:rPr>
                <w:rFonts w:ascii="Times New Roman" w:hAnsi="Times New Roman"/>
                <w:color w:val="0000FF"/>
                <w:sz w:val="20"/>
                <w:u w:val="single"/>
              </w:rPr>
              <w:t> for the Three and Six Months Ended June 30, 2026 and 2025</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statements_of_cash_flows">
              <w:r>
                <w:rPr>
                  <w:rStyle w:val="InternetLink"/>
                  <w:rFonts w:ascii="Times New Roman" w:hAnsi="Times New Roman"/>
                  <w:color w:val="000080"/>
                  <w:sz w:val="20"/>
                  <w:u w:val="single"/>
                </w:rPr>
                <w:t>Condensed Consolidated Statements of Cash Flows</w:t>
              </w:r>
            </w:hyperlink>
            <w:r>
              <w:rPr>
                <w:rFonts w:ascii="Times New Roman" w:hAnsi="Times New Roman"/>
                <w:color w:val="0000FF"/>
                <w:sz w:val="20"/>
                <w:u w:val="single"/>
              </w:rPr>
              <w:t> for the Six Months Ended June 30, 2026 and 2025</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notes_to_consolidated_financial_stmt">
              <w:r>
                <w:rPr>
                  <w:rStyle w:val="InternetLink"/>
                  <w:rFonts w:ascii="Times New Roman" w:hAnsi="Times New Roman"/>
                  <w:color w:val="0000FF"/>
                  <w:sz w:val="20"/>
                  <w:u w:val="single"/>
                </w:rPr>
                <w:t>Notes to Unaudited Condensed Consolidated Financial Statements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m_2_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4_controls_and_procedures">
              <w:r>
                <w:rPr>
                  <w:rStyle w:val="InternetLink"/>
                  <w:rFonts w:ascii="Times New Roman" w:hAnsi="Times New Roman"/>
                  <w:color w:val="0000FF"/>
                  <w:sz w:val="20"/>
                  <w:u w:val="single"/>
                </w:rPr>
                <w:t>Controls and Procedures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II.</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part_ii_other_information">
              <w:r>
                <w:rPr>
                  <w:rStyle w:val="InternetLink"/>
                  <w:rFonts w:ascii="Times New Roman" w:hAnsi="Times New Roman"/>
                  <w:color w:val="0000FF"/>
                  <w:sz w:val="20"/>
                  <w:u w:val="single"/>
                </w:rPr>
                <w:t>OTHER INFORMATION</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color w:val="0000FF"/>
                  <w:sz w:val="20"/>
                  <w:u w:val="single"/>
                </w:rPr>
                <w:t>Legal Proceedings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a_risk_factors">
              <w:r>
                <w:rPr>
                  <w:rStyle w:val="InternetLink"/>
                  <w:rFonts w:ascii="Times New Roman" w:hAnsi="Times New Roman"/>
                  <w:color w:val="0000FF"/>
                  <w:sz w:val="20"/>
                  <w:u w:val="single"/>
                </w:rPr>
                <w:t>Risk Factors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1033"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460"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6_exhibits">
              <w:r>
                <w:rPr>
                  <w:rStyle w:val="InternetLink"/>
                  <w:rFonts w:ascii="Times New Roman" w:hAnsi="Times New Roman"/>
                  <w:color w:val="0000FF"/>
                  <w:sz w:val="20"/>
                  <w:u w:val="single"/>
                </w:rPr>
                <w:t>Exhibits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102</w:t>
            </w:r>
          </w:p>
        </w:tc>
      </w:tr>
      <w:tr>
        <w:trPr/>
        <w:tc>
          <w:tcPr>
            <w:tcW w:w="9493" w:type="dxa"/>
            <w:gridSpan w:val="2"/>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signatures">
              <w:r>
                <w:rPr>
                  <w:rStyle w:val="InternetLink"/>
                  <w:rFonts w:ascii="Times New Roman" w:hAnsi="Times New Roman"/>
                  <w:color w:val="0000FF"/>
                  <w:sz w:val="20"/>
                  <w:u w:val="single"/>
                </w:rPr>
                <w:t>Signatures</w:t>
              </w:r>
            </w:hyperlink>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on Form 10-Q include, but are not limited to, statements about: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initiation, timing, progress and results of our current and future clinical trials, preclinical studies, and research and development programs;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timing of announcement of results from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successfully complete our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advance other product candidates that we may identify and successfully complete any clinical studies, including the manufacture of any such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quickly leverage programs within our initial target indications and to progress additional programs to further develop our pipeline;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prevalence of certain disorders we intend to treat and the size of the market opportunity for our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estimates of the number of patients with certain disorders we intend to treat and the number of patients that we will enroll in our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likelihood of our clinical trials demonstrating safety and efficacy of our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timing of our investigational new drug applications, or INDs, submissions;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implementation of our strategic plans for our business, platform, and our programs;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scope of protection we are able to establish and maintain for intellectual property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developments related to our competitors and our industry;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success of competing therapies that are or may become available;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leverage the clinical, regulatory, and manufacturing advancements to accelerate our clinical trials and approval of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meet future regulatory standards with respect to our product candidates, if approved;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maintain our existing license agreements and identify and enter into future license agreements and collaborations;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reliance on third parties to conduct clinical trials of our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reliance on third parties for the manufacture of our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developments related to our platform;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regulatory developments in the United States and foreign countries;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commercialization, marketing, and manufacturing capabilities;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expectations regarding the period during which we will qualify as an emerging growth company under the JOBS Act or a smaller reporting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attract and retain key scientific and management personnel;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anticipated cash runway, our financial performance, estimates of our expenses, capital requirements, and needs for additional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w:t>
      </w:r>
      <w:r>
        <w:rPr>
          <w:rFonts w:ascii="Times New Roman" w:hAnsi="Times New Roman"/>
          <w:i/>
          <w:color w:val="000000"/>
          <w:sz w:val="20"/>
        </w:rPr>
        <w:t>Risk Factor Summary,"</w:t>
      </w:r>
      <w:r>
        <w:rPr>
          <w:rFonts w:ascii="Times New Roman" w:hAnsi="Times New Roman"/>
          <w:color w:val="000000"/>
          <w:sz w:val="20"/>
        </w:rPr>
        <w:t xml:space="preserve"> “</w:t>
      </w:r>
      <w:r>
        <w:rPr>
          <w:rFonts w:ascii="Times New Roman" w:hAnsi="Times New Roman"/>
          <w:i/>
          <w:color w:val="000000"/>
          <w:sz w:val="20"/>
        </w:rPr>
        <w:t>Risk Factors</w:t>
      </w:r>
      <w:r>
        <w:rPr>
          <w:rFonts w:ascii="Times New Roman" w:hAnsi="Times New Roman"/>
          <w:color w:val="000000"/>
          <w:sz w:val="20"/>
        </w:rPr>
        <w:t>” and elsewhere in this Quarterly Report on Form 10-Q. Because forward-looking statements are inherently subject to risks and uncertainties, some of which cannot be predicted or quantified, you should not rely on these forward 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on Form 10-Q, whether as a result of any new information, future events, or otherwise. Our forward-looking statements do not reflect the potential impact of any future acquisitions, mergers, dispositions, collaborations, joint ventures, or investments that we may make or enter into.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may include industry and market data, which we may obtain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such studies and publications are reliable, we have not independently verified market and industry data from third</w:t>
        <w:noBreakHyphen/>
        <w:t>party sources.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Website and Social Media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use our website (www.seaporttx.com), investor and media relations website (investors.seaporttx.com), LinkedIn page (http://www.linkedin.com/company/seaport-therapeutics), Bluesky (https://bsky.app/profile/seaporttx.bsky.social), and X feed (https://x.com/SeaportTx) as channels for the distribution of information. The information we post through these channels may be deemed material. Accordingly, investors should monitor these channels, in addition to following our press releases and subscribing to our email alerts, Securities and Exchange Commission filings and public conference calls and webcasts. The contents of our website and social media channels are not, however, a part of this report.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 our securities involves risk. You should carefully consider the following summary of what we believe to be the principal risks facing our business, in addition to the risks described more fully in Part II. Item 1A, “Risk Factors” in this Quarterly Report on Form 10-Q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therapeutics company, have no history of generating commercial revenue, have a history of operating losses and may never achieve or maintain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management has obtained and continues to pursue additional financing to support future operations, however such funding may not be available on acceptable terms or at all.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in pre-clinical studies or early clinical trials may not be indicative of results obtained in later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research and development efforts on the treatment of disorders of the brain and central nervous system, a field that faces certain challenges in drug development.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conduct clinical trials for our product candidates outside of the United States and the FDA may not accept data from such trials, in which case our development plans may be delayed, which could materially harm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identify additional drug product candidates. We must prioritize the development of certain drug product candidates, and these decisions may prove to be wrong and may adversely affect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expand our organization, and as a result, we may encounter difficulties in managing our growth, and our future growth depends on attracting, hiring and retaining our key personnel and recruiting additional qualified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assist in conducting our clinical trials and preclinical studies, manufacture our product candidates and seek to establish collaborations on product development and commercialization plans.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on our ability to obtain, maintain, enforce, and otherwise protect our intellectual property and proprietary technology.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and a “smaller reporting company” and have elected to take advantage of the reduced reporting requirements applicable to emerging growth companies and smaller reporting companies, and we will continue to incur significant costs associated with operating as a public company.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 xml:space="preserve">(In thousands, except share and per share amounts) </w:t>
      </w: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3"/>
        <w:gridCol w:w="852"/>
        <w:gridCol w:w="413"/>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Series A-1 convertible preferred stock, par value $0.0001; zero and 40,000,000 shares authorized</w:t>
              <w:br/>
              <w:t>as of June 30, 2026 and December 31, 2025, respectively; zero and 40,000,000 shares issued and</w:t>
              <w:br/>
              <w:t>outstanding as of June 30, 2026 and December 31, 2025, respectively; liquidation preference of</w:t>
              <w:br/>
              <w:t>zero and $4,000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Series A-2 convertible preferred stock, par value $0.0001; zero and 26,342,102 shares </w:t>
              <w:br/>
              <w:t>authorized as of June 30, 2026 and December 31, 2025, respectively; zero and 26,342,102 shares</w:t>
              <w:br/>
              <w:t>issued and outstanding as of June 30, 2026 and December 31, 2025, respectively; liquidation</w:t>
              <w:br/>
              <w:t>preference of zero and $100,100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Series B convertible preferred stock, par value $0.0001; zero and 47,578,938 shares </w:t>
              <w:br/>
              <w:t>authorized as of June 30, 2026 and December 31, 2025, respectively; zero and 47,578,934 shares</w:t>
              <w:br/>
              <w:t>issued and outstanding as of June 30, 2026 and December 31, 2025, respectively; liquidation</w:t>
              <w:br/>
              <w:t>preference of zero and $226,000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225,571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Undesignated preferred stock, $0.0001 par value; 10,000,000 and zero shares authorized at June 30, 2026 and December 31, 2025, respectively; zero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Common stock, par value $0.0001; 700,000,000 and 159,070,000 shares authorized </w:t>
              <w:br/>
              <w:t>as of June 30, 2026 and December 31, 2025, respectively; 53,530,550 and 2,595,342 shares</w:t>
              <w:br/>
              <w:t>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(114,109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bookmarkStart w:id="5" w:name="consolidated_stmt_oper_comp_los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0"/>
        <w:gridCol w:w="211"/>
        <w:gridCol w:w="1036"/>
        <w:gridCol w:w="466"/>
        <w:gridCol w:w="446"/>
        <w:gridCol w:w="211"/>
        <w:gridCol w:w="931"/>
        <w:gridCol w:w="166"/>
        <w:gridCol w:w="146"/>
        <w:gridCol w:w="211"/>
        <w:gridCol w:w="1036"/>
        <w:gridCol w:w="466"/>
        <w:gridCol w:w="446"/>
        <w:gridCol w:w="211"/>
        <w:gridCol w:w="931"/>
        <w:gridCol w:w="411"/>
      </w:tblGrid>
      <w:tr>
        <w:trPr/>
        <w:tc>
          <w:tcPr>
            <w:tcW w:w="2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(including non-cash stock-based compensation expense of $0.9 million and $0.6 million for three months ended June 30, 2026 and 2025, respectively and $1.8 million and $1.1 million for six months ended June 30, 2026 and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46,049</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(including non-cash stock-based compensation expense of $36.0 million and $1.2 million for three months ended June 30, 2026 and 2025, respectively and $37.6 million and $2.3 million for six months ended June 30, 2026 and 2025, respectively)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tax credit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(62,349</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(62,600</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(63,139</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(88,784</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35,236,214</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19,118,049</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2,340,431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bookmarkStart w:id="6" w:name="consolidated_statements_of_stockholders"/>
      <w:bookmarkEnd w:id="6"/>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r>
        <w:rPr>
          <w:rFonts w:ascii="Times New Roman" w:hAnsi="Times New Roman"/>
          <w:b/>
          <w:i/>
          <w:color w:val="000000"/>
          <w:sz w:val="20"/>
        </w:rPr>
        <w:t>(Unaudited)</w:t>
      </w:r>
    </w:p>
    <w:tbl>
      <w:tblPr>
        <w:tblW w:w="13425" w:type="dxa"/>
        <w:jc w:val="left"/>
        <w:tblInd w:w="0" w:type="dxa"/>
        <w:tblLayout w:type="fixed"/>
        <w:tblCellMar>
          <w:top w:w="28" w:type="dxa"/>
          <w:left w:w="28" w:type="dxa"/>
          <w:bottom w:w="28" w:type="dxa"/>
          <w:right w:w="28" w:type="dxa"/>
        </w:tblCellMar>
      </w:tblPr>
      <w:tblGrid>
        <w:gridCol w:w="796"/>
        <w:gridCol w:w="146"/>
        <w:gridCol w:w="146"/>
        <w:gridCol w:w="691"/>
        <w:gridCol w:w="151"/>
        <w:gridCol w:w="146"/>
        <w:gridCol w:w="170"/>
        <w:gridCol w:w="356"/>
        <w:gridCol w:w="146"/>
        <w:gridCol w:w="146"/>
        <w:gridCol w:w="146"/>
        <w:gridCol w:w="691"/>
        <w:gridCol w:w="151"/>
        <w:gridCol w:w="146"/>
        <w:gridCol w:w="166"/>
        <w:gridCol w:w="481"/>
        <w:gridCol w:w="151"/>
        <w:gridCol w:w="146"/>
        <w:gridCol w:w="146"/>
        <w:gridCol w:w="691"/>
        <w:gridCol w:w="151"/>
        <w:gridCol w:w="146"/>
        <w:gridCol w:w="166"/>
        <w:gridCol w:w="541"/>
        <w:gridCol w:w="151"/>
        <w:gridCol w:w="146"/>
        <w:gridCol w:w="146"/>
        <w:gridCol w:w="146"/>
        <w:gridCol w:w="646"/>
        <w:gridCol w:w="146"/>
        <w:gridCol w:w="146"/>
        <w:gridCol w:w="170"/>
        <w:gridCol w:w="356"/>
        <w:gridCol w:w="146"/>
        <w:gridCol w:w="146"/>
        <w:gridCol w:w="166"/>
        <w:gridCol w:w="496"/>
        <w:gridCol w:w="146"/>
        <w:gridCol w:w="146"/>
        <w:gridCol w:w="186"/>
        <w:gridCol w:w="610"/>
        <w:gridCol w:w="151"/>
        <w:gridCol w:w="146"/>
        <w:gridCol w:w="296"/>
        <w:gridCol w:w="620"/>
        <w:gridCol w:w="151"/>
        <w:gridCol w:w="146"/>
        <w:gridCol w:w="213"/>
        <w:gridCol w:w="598"/>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A-2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2,595,342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21,262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(114,109</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(92,545</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investments, net of tax</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(25,408</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(25,408</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2,595,342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(115,621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convertible preferred stock to common stock upon closing of the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36,272,475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325,328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Issuance of common stock from initial public offering, net of issuance costs of $21.7</w:t>
            </w:r>
            <w:r>
              <w:rPr>
                <w:rFonts w:ascii="Times New Roman" w:hAnsi="Times New Roman"/>
                <w:color w:val="000000"/>
                <w:sz w:val="20"/>
              </w:rPr>
              <w:t> </w:t>
            </w:r>
            <w:r>
              <w:rPr>
                <w:rFonts w:ascii="Times New Roman" w:hAnsi="Times New Roman"/>
                <w:color w:val="000000"/>
                <w:sz w:val="12"/>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14,446,658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238,364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investments, net of tax</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(62,600</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(62,600</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53,530,550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(202,117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422,602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A-1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A-2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2,594,960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(39,228</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(24,849</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gain on investments, net of tax</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March 31, 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2,594,960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15,997</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(52,353</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5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(36,163</w:t>
            </w:r>
          </w:p>
        </w:tc>
        <w:tc>
          <w:tcPr>
            <w:tcW w:w="1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Unrealized loss on investments, net of tax</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5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AEEFB"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(15,077</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(15,077</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26,342,102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47,578,934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2,594,960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(49,546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bookmarkStart w:id="7" w:name="consolidated_statements_of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0"/>
        </w:rPr>
        <w:t xml:space="preserve">(In thousands) </w:t>
      </w:r>
      <w:r>
        <w:rPr>
          <w:rFonts w:ascii="Times New Roman" w:hAnsi="Times New Roman"/>
          <w:b/>
          <w:i/>
          <w:color w:val="000000"/>
          <w:sz w:val="20"/>
        </w:rPr>
        <w:t>(Unaudited)</w:t>
      </w:r>
    </w:p>
    <w:p>
      <w:pPr>
        <w:pStyle w:val="TextBody"/>
        <w:bidi w:val="0"/>
        <w:jc w:val="left"/>
        <w:rPr/>
      </w:pPr>
      <w:r>
        <w:rPr/>
        <w:t> </w:t>
      </w:r>
    </w:p>
    <w:tbl>
      <w:tblPr>
        <w:tblW w:w="9399" w:type="dxa"/>
        <w:jc w:val="left"/>
        <w:tblInd w:w="0" w:type="dxa"/>
        <w:tblLayout w:type="fixed"/>
        <w:tblCellMar>
          <w:top w:w="28" w:type="dxa"/>
          <w:left w:w="28" w:type="dxa"/>
          <w:bottom w:w="28" w:type="dxa"/>
          <w:right w:w="28" w:type="dxa"/>
        </w:tblCellMar>
      </w:tblPr>
      <w:tblGrid>
        <w:gridCol w:w="6226"/>
        <w:gridCol w:w="146"/>
        <w:gridCol w:w="211"/>
        <w:gridCol w:w="841"/>
        <w:gridCol w:w="166"/>
        <w:gridCol w:w="146"/>
        <w:gridCol w:w="211"/>
        <w:gridCol w:w="841"/>
        <w:gridCol w:w="6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amortization of premiums and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initial public offering, net of underwriting discounts and</w:t>
              <w:br/>
              <w:t>   commissions and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AEEFB"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cash and 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46,496</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309,553</w:t>
            </w:r>
          </w:p>
        </w:tc>
        <w:tc>
          <w:tcPr>
            <w:tcW w:w="6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financing, and investing</w:t>
              <w:br/>
              <w:t>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obtained in exchange for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6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Seaport Therapeutics, Inc.</w:t>
      </w:r>
    </w:p>
    <w:p>
      <w:pPr>
        <w:pStyle w:val="TextBody"/>
        <w:bidi w:val="0"/>
        <w:jc w:val="center"/>
        <w:rPr>
          <w:rFonts w:ascii="Times New Roman" w:hAnsi="Times New Roman"/>
          <w:b/>
          <w:color w:val="000000"/>
          <w:sz w:val="20"/>
        </w:rPr>
      </w:pPr>
      <w:bookmarkStart w:id="8" w:name="notes_to_consolidated_financial_stmt"/>
      <w:bookmarkEnd w:id="8"/>
      <w:r>
        <w:rPr>
          <w:rFonts w:ascii="Times New Roman" w:hAnsi="Times New Roman"/>
          <w:b/>
          <w:color w:val="000000"/>
          <w:sz w:val="20"/>
        </w:rPr>
        <w:t>Notes to Condensed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1. NATURE OF BUSINESS AND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Background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pStyle w:val="TextBody"/>
        <w:bidi w:val="0"/>
        <w:spacing w:before="120" w:after="160"/>
        <w:ind w:left="0" w:right="0" w:firstLine="490"/>
        <w:jc w:val="both"/>
        <w:rPr>
          <w:rFonts w:ascii="Times New Roman" w:hAnsi="Times New Roman"/>
          <w:color w:val="000000"/>
          <w:sz w:val="20"/>
        </w:rPr>
      </w:pPr>
      <w:r>
        <w:rPr>
          <w:rFonts w:ascii="Times New Roman" w:hAnsi="Times New Roman"/>
          <w:color w:val="000000"/>
          <w:sz w:val="20"/>
        </w:rPr>
        <w:t xml:space="preserve">The Company's lead product candidate, GlyphAllo ("Glyph Allopregnanolone"), is a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Company's second product candidate, GlyphAgo ("Glyph Agomelatine"), is a Glyphed oral prodrug of agomelatine, a clinically validated anxiolytic and antidepressant that is approved for the treatment of generalized anxiety disorder, or GAD, in Australia and MDD in Australia and the European Union, or EU.</w:t>
      </w:r>
    </w:p>
    <w:p>
      <w:pPr>
        <w:pStyle w:val="TextBody"/>
        <w:bidi w:val="0"/>
        <w:spacing w:before="120" w:after="160"/>
        <w:ind w:left="0" w:right="0" w:firstLine="490"/>
        <w:jc w:val="both"/>
        <w:rPr>
          <w:rFonts w:ascii="Times New Roman" w:hAnsi="Times New Roman"/>
          <w:color w:val="000000"/>
          <w:sz w:val="20"/>
        </w:rPr>
      </w:pPr>
      <w:r>
        <w:rPr>
          <w:rFonts w:ascii="Times New Roman" w:hAnsi="Times New Roman"/>
          <w:color w:val="000000"/>
          <w:sz w:val="20"/>
        </w:rPr>
        <w:t>The Company is also advancing Glyph2BLSD (Glyph 2-bromo-LSD), a Glyphed oral prodrug of the non-hallucinogenic LSD analog 2-bromo-LSD, in preclinical studies for neuropsychiatric and headache disorders with significant unmet need.</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April 24, 2026, in anticipation of the Company's initial public offering ("IPO"), the Company effected a 1-for-3.1407 reverse stock split of its issued and outstanding shares of common stock and a proportional adjustment to the existing conversion ratios of each series of the Company’s convertible preferred stock. The par value and authorized number of shares of common stock and convertible preferred stock were not adjusted as a result. All share and per share amounts for all periods presented in these condensed consolidated financial statements and notes have been adjusted retroactively, where applicable, to reflect the effect of the reverse stock split.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the second quarter of 2026, the Company completed its IPO, in which the Company sold an aggregate of 14,446,658 shares of its common stock at a public offering price of $18.00 per share resulting in aggregate net proceeds of approximately $238.4 million, after deducting underwriting discounts, commissions and other offering expenses.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Immediately prior to the closing of the IPO, the Company's outstanding convertible preferred stock automatically converted into 36,272,475 shares of common stock. Following the closing of the IPO, no shares of convertible preferred stock were outstanding. In connection with the closing of the IPO, the Company's certificate of incorporation was amended and restated to authorize 700,000,000 shares of common stock, including 500,000,000 shares of voting common stock and 200,000,000 shares of non-voting common stock, par value $0.0001 per share and 10,000,000 shares of undesignated preferred stock, par value $0.0001 per share.</w:t>
      </w:r>
      <w:r>
        <w:rPr>
          <w:rFonts w:ascii="Times New Roman" w:hAnsi="Times New Roman"/>
          <w:color w:val="000000"/>
          <w:sz w:val="24"/>
        </w:rPr>
        <w:br/>
      </w:r>
      <w:r>
        <w:rPr>
          <w:rFonts w:ascii="Times New Roman" w:hAnsi="Times New Roman"/>
          <w:color w:val="000000"/>
          <w:sz w:val="20"/>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accordance with Accounting Standards Update (“ASU”) 2014-15, Disclosure of Uncertainties About an Entity’s Ability to Continue as a Going Concern (Subtopic 205-40), the Company has evaluated whether there are conditions and events that raise substantial doubt about the Company’s ability to continue as a going concern within one year after the date the condensed consolidated financial statements are issued. The accompanying condensed consolidated financial statements have been prepared on a going-concern basis, which contemplates the realization of assets and satisfaction of liabilities in the normal course of business.</w:t>
      </w:r>
    </w:p>
    <w:p>
      <w:pPr>
        <w:pStyle w:val="TextBody"/>
        <w:bidi w:val="0"/>
        <w:spacing w:before="120" w:after="283"/>
        <w:jc w:val="both"/>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Since inception, the Company has incurred significant operating losses. During the six months ended June 30, 2026 and 2025, the Company had a net loss of $88.0 million and $28.2 million, respectively. As of June 30, 2026, the Company had an accumulated deficit of $202.1 million. The Company has not generated any revenue from product sales and does not expect to generate revenue from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products in the near term, if at all. The Company expects to incur significant expenses and operating losses for the foreseeable future as it advances its product candidates into and through clinical development and continues to develop additional product candidates. As such, the Company expects research and development and general and administrative costs to continue to increase significantly,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Prior to the Company's initial public offering, the Company funded its operations with the aggregate gross proceeds of $326.1 million from the Series A and Series B Financings. The Company believes that its existing cash, cash equivalents and investments of $427.3 million as of June 30, 2026, will be sufficient to allow the Company to fund operations at least twelve months from the date these condensed consolidated financial statements are issued.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or GAAP. These condensed consolidated financial statements include the accounts of Seaport Therapeutics, Inc. and its wholly owned subsidiaries. All intercompany transactions and balances have been eliminated in consolidation.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160"/>
        <w:ind w:left="0" w:right="0" w:firstLine="490"/>
        <w:jc w:val="both"/>
        <w:rPr>
          <w:rFonts w:ascii="Times New Roman" w:hAnsi="Times New Roman"/>
          <w:color w:val="000000"/>
          <w:sz w:val="20"/>
        </w:rPr>
      </w:pPr>
      <w:r>
        <w:rPr>
          <w:rFonts w:ascii="Times New Roman" w:hAnsi="Times New Roman"/>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IPO final prospectus filed pursuant to Rule 424(b)(4) under the Securities Act with the SEC on May 1,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accompanying condensed consolidated balance sheet as of June 30, 2026, the condensed consolidated statements of operations and comprehensive loss, and condensed consolidated statements of convertible preferred stock and stockholders' deficit and condensed for the three and six months ended June 30, 2026 and 2025, and the condensed consolidated statements of cash flows for the six months ended June 30, 2026 and 2025 are unaudited. The condensed consolidated interim financial statements have been prepared on the same basis as the December 31, 2025 and 2024 audited financial statements and, in the opinion of management, reflect all adjustments, which include only normal recurring adjustments necessary for the fair statement of the Company's condensed consolidated financial statements as of June 30, 2026. The results for the six months ended June 30, 2026 are not necessarily indicative of results to be expected for the year ending December 31, 2026, or for any other subsequent period.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condensed consolidated balance sheet within other non-current assets and includes amounts held as a security deposit for a letter of credit in connection with leased facilities and its corporate card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the Company’s cash, cash equivalents, and restricted cash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21"/>
        <w:gridCol w:w="146"/>
        <w:gridCol w:w="211"/>
        <w:gridCol w:w="676"/>
        <w:gridCol w:w="146"/>
        <w:gridCol w:w="146"/>
        <w:gridCol w:w="253"/>
        <w:gridCol w:w="814"/>
        <w:gridCol w:w="192"/>
      </w:tblGrid>
      <w:tr>
        <w:trPr/>
        <w:tc>
          <w:tcPr>
            <w:tcW w:w="7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within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per the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or delayed the deferred offering costs would be expensed immediately as a charge to operating expenses in the condensed consolidated statements of operations and comprehensive loss. Upon closing of the Company’s IPO in May 2026, capitalized deferred offering costs of $3.5 million were reclassified within stockholders' equity (deficit) and recorded against the proceeds from the offering. The Company recorded deferred offering costs of zero and $1.2 million within other non-current assets as of June 30, 2026 and December 31, 2025.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Government Grants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accounts for government awards under ASC 832, Government Assistance. For awards related to income, the Company recognizes grant income when it is probable that the conditions attached to the grant will be satisfied and the grant will be received. The Company elects an accounting policy for the presentation of grant income based on the nature of the underlying government assistance, which it applies consistently to grants of a similar nature.</w:t>
      </w:r>
    </w:p>
    <w:p>
      <w:pPr>
        <w:pStyle w:val="TextBody"/>
        <w:bidi w:val="0"/>
        <w:spacing w:before="360" w:after="283"/>
        <w:jc w:val="both"/>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prior to conversion upon the Company's IPO, to be participating securities as, in the event a dividend was paid on common stock, the holders of convertible preferred stock would have been entitled to receive dividends on a basis consistent with the common stockholders. There is no allocation required under the two-class method during periods of loss since the participating securities do not have a contractual obligation to share in the losses.</w:t>
      </w:r>
    </w:p>
    <w:p>
      <w:pPr>
        <w:pStyle w:val="TextBody"/>
        <w:bidi w:val="0"/>
        <w:ind w:left="0" w:right="0" w:firstLine="72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Basic net loss per share is computed by dividing the net loss in each period by the weighted average number of shares of common stock outstanding during such period, excluding potentially dilutive common shares. 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60" w:after="283"/>
        <w:ind w:left="0" w:right="0" w:firstLine="480"/>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which adds guidance to ASC 832 on the recognition, measurement, and presentation of government grants. In developing the ASU’s recognition and measurement framework, the FASB largely leveraged the guidance in IAS 20, to which many for-profit entities that apply U.S. GAAP have historically analogized when accounting for government grants. The ASU is effective for fiscal years beginning after December 15, 2028, including interim periods within those fiscal years. Early adoption is permitted. The Company early adopted ASU 2025-10 prospectively on January 1, 2026. There was not a material impact on the Company’s condensed consolidated financial statements as a result of this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Recently Issued Accounting Standards Updates Not Yet Adopted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or ASU 2024-03, which is intended to 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7217" w:type="dxa"/>
        <w:jc w:val="left"/>
        <w:tblInd w:w="0" w:type="dxa"/>
        <w:tblLayout w:type="fixed"/>
        <w:tblCellMar>
          <w:top w:w="28" w:type="dxa"/>
          <w:left w:w="28" w:type="dxa"/>
          <w:bottom w:w="28" w:type="dxa"/>
          <w:right w:w="28" w:type="dxa"/>
        </w:tblCellMar>
      </w:tblPr>
      <w:tblGrid>
        <w:gridCol w:w="4711"/>
        <w:gridCol w:w="146"/>
        <w:gridCol w:w="211"/>
        <w:gridCol w:w="571"/>
        <w:gridCol w:w="146"/>
        <w:gridCol w:w="146"/>
        <w:gridCol w:w="294"/>
        <w:gridCol w:w="801"/>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 research and development tax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financial assets, and liabilities carried at fair value on a recurring basis (in thousands):</w:t>
      </w:r>
    </w:p>
    <w:p>
      <w:pPr>
        <w:pStyle w:val="TextBody"/>
        <w:bidi w:val="0"/>
        <w:spacing w:before="120" w:after="283"/>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2363"/>
        <w:gridCol w:w="146"/>
        <w:gridCol w:w="211"/>
        <w:gridCol w:w="781"/>
        <w:gridCol w:w="146"/>
        <w:gridCol w:w="146"/>
        <w:gridCol w:w="501"/>
        <w:gridCol w:w="1606"/>
        <w:gridCol w:w="146"/>
        <w:gridCol w:w="146"/>
        <w:gridCol w:w="379"/>
        <w:gridCol w:w="1404"/>
        <w:gridCol w:w="146"/>
        <w:gridCol w:w="146"/>
        <w:gridCol w:w="659"/>
        <w:gridCol w:w="1085"/>
        <w:gridCol w:w="194"/>
      </w:tblGrid>
      <w:tr>
        <w:trPr/>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2107"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783"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treasuries with original maturities less than 90 days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363,037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363,037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2107"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783"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744" w:type="dxa"/>
            <w:gridSpan w:val="2"/>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44"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3"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233,321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As of June 30, 2026 and December 31, 2025, the Company’s cash equivalents consisted of money market funds which are classified as Level 1 financial assets, as these assets are valued using quoted market prices in active markets without any valuation adjustment and United States treasuries with original maturities less than 90 days, which are classified as Level 2 financial assets. </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As of June 30, 2026 and December 31, 2025, the Company's investments consisted of United States treasuries, which are classified as Level 2 financial assets. The Company estimates the fair value of the investments by taking into consideration valuations obtained from third-party pricing sources. As of June 30, 2026 and December 31, 2025, the Company had no financial liabilities that required fair value measurement. As of June 30, 2026, there were no securities in an unrealized loss position for more than twelve months.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During the three and six months ended June 30, 2026 and 2025, there were no transfers or reclassifications between fair value measurement levels of assets. The carrying amounts reflected in the condensed consolidated balance sheets for prepaid expenses and other current assets, accounts payable, accrued expenses, and other current liabilities approximate fair value due to their short-term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sz w:val="20"/>
        </w:rPr>
      </w:pPr>
      <w:r>
        <w:rPr>
          <w:rFonts w:ascii="Times New Roman" w:hAnsi="Times New Roman"/>
          <w:b/>
          <w:color w:val="000000"/>
          <w:sz w:val="20"/>
        </w:rPr>
        <w:t>5. INVESTMENTS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the Company’s investments held (in thousands):</w:t>
      </w:r>
    </w:p>
    <w:p>
      <w:pPr>
        <w:pStyle w:val="TextBody"/>
        <w:bidi w:val="0"/>
        <w:spacing w:before="120" w:after="283"/>
        <w:ind w:left="0" w:right="0" w:firstLine="490"/>
        <w:jc w:val="both"/>
        <w:rPr/>
      </w:pPr>
      <w:r>
        <w:rPr/>
        <w:t> </w:t>
      </w:r>
    </w:p>
    <w:tbl>
      <w:tblPr>
        <w:tblW w:w="8438" w:type="dxa"/>
        <w:jc w:val="left"/>
        <w:tblInd w:w="0" w:type="dxa"/>
        <w:tblLayout w:type="fixed"/>
        <w:tblCellMar>
          <w:top w:w="28" w:type="dxa"/>
          <w:left w:w="28" w:type="dxa"/>
          <w:bottom w:w="28" w:type="dxa"/>
          <w:right w:w="28" w:type="dxa"/>
        </w:tblCellMar>
      </w:tblPr>
      <w:tblGrid>
        <w:gridCol w:w="2191"/>
        <w:gridCol w:w="146"/>
        <w:gridCol w:w="211"/>
        <w:gridCol w:w="781"/>
        <w:gridCol w:w="146"/>
        <w:gridCol w:w="146"/>
        <w:gridCol w:w="504"/>
        <w:gridCol w:w="1011"/>
        <w:gridCol w:w="146"/>
        <w:gridCol w:w="146"/>
        <w:gridCol w:w="461"/>
        <w:gridCol w:w="1054"/>
        <w:gridCol w:w="166"/>
        <w:gridCol w:w="146"/>
        <w:gridCol w:w="211"/>
        <w:gridCol w:w="781"/>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378,816</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378,006</w:t>
            </w:r>
          </w:p>
        </w:tc>
        <w:tc>
          <w:tcPr>
            <w:tcW w:w="1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515"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187,301</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187,611</w:t>
            </w:r>
          </w:p>
        </w:tc>
        <w:tc>
          <w:tcPr>
            <w:tcW w:w="1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As of June 30, 2026, the Company’s investments were in net unrealized loss position of $0.8 million. These amounts are included in other comprehensive income (loss) in the condensed consolidated statements of operations and comprehensive loss. The Company determined that there was no material credit risk associated with its investments as of June 30, 2026. As of June 30, 2026, the Company’s investments had remaining maturities of two years or less. </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the Company’s investments were in net unrealized gain position of $0.3 million. These amounts are included in other comprehensive income (loss) in the condensed consolidated statements of operations and comprehensive loss. As of December 31, 2025, there were no investments in an unrealized loss position. The Company determined that there was no material credit risk associated with its investments as of December 31, 2025. As a result, the Company did not record any charges for credit-related impairments for its investments during the year ended December 31, 2025. As of December 31, 2025, the Company’s investments had remaining maturities of two years or less. </w:t>
      </w:r>
    </w:p>
    <w:p>
      <w:pPr>
        <w:pStyle w:val="TextBody"/>
        <w:bidi w:val="0"/>
        <w:spacing w:before="360" w:after="283"/>
        <w:jc w:val="both"/>
        <w:rPr>
          <w:rFonts w:ascii="Times New Roman" w:hAnsi="Times New Roman"/>
          <w:sz w:val="20"/>
        </w:rPr>
      </w:pPr>
      <w:r>
        <w:rPr>
          <w:rFonts w:ascii="Times New Roman" w:hAnsi="Times New Roman"/>
          <w:b/>
          <w:color w:val="000000"/>
          <w:sz w:val="20"/>
        </w:rPr>
        <w:t>6. PROPERTY AND EQUIPMENT, NET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5337" w:type="dxa"/>
        <w:jc w:val="left"/>
        <w:tblInd w:w="0" w:type="dxa"/>
        <w:tblLayout w:type="fixed"/>
        <w:tblCellMar>
          <w:top w:w="28" w:type="dxa"/>
          <w:left w:w="28" w:type="dxa"/>
          <w:bottom w:w="28" w:type="dxa"/>
          <w:right w:w="28" w:type="dxa"/>
        </w:tblCellMar>
      </w:tblPr>
      <w:tblGrid>
        <w:gridCol w:w="2731"/>
        <w:gridCol w:w="146"/>
        <w:gridCol w:w="211"/>
        <w:gridCol w:w="631"/>
        <w:gridCol w:w="166"/>
        <w:gridCol w:w="146"/>
        <w:gridCol w:w="294"/>
        <w:gridCol w:w="80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Depreciation expense was $52 thousand and $77 thousand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ACCRUED EXPENSES AND OTHER CURRENT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6332" w:type="dxa"/>
        <w:jc w:val="left"/>
        <w:tblInd w:w="0" w:type="dxa"/>
        <w:tblLayout w:type="fixed"/>
        <w:tblCellMar>
          <w:top w:w="28" w:type="dxa"/>
          <w:left w:w="28" w:type="dxa"/>
          <w:bottom w:w="28" w:type="dxa"/>
          <w:right w:w="28" w:type="dxa"/>
        </w:tblCellMar>
      </w:tblPr>
      <w:tblGrid>
        <w:gridCol w:w="3826"/>
        <w:gridCol w:w="146"/>
        <w:gridCol w:w="211"/>
        <w:gridCol w:w="571"/>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and bonus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aps/>
          <w:color w:val="000000"/>
          <w:sz w:val="20"/>
        </w:rPr>
      </w:pPr>
      <w:r>
        <w:rPr>
          <w:rFonts w:ascii="Times New Roman" w:hAnsi="Times New Roman"/>
          <w:b/>
          <w:caps/>
          <w:color w:val="000000"/>
          <w:sz w:val="20"/>
        </w:rPr>
        <w:t>8. LICENSE and collaboration AGREEMENTS</w:t>
      </w:r>
    </w:p>
    <w:p>
      <w:pPr>
        <w:pStyle w:val="TextBody"/>
        <w:bidi w:val="0"/>
        <w:spacing w:before="120" w:after="283"/>
        <w:ind w:left="0" w:right="0" w:firstLine="490"/>
        <w:jc w:val="both"/>
        <w:rPr>
          <w:rFonts w:ascii="Times New Roman" w:hAnsi="Times New Roman"/>
          <w:i/>
          <w:color w:val="000000"/>
          <w:sz w:val="20"/>
        </w:rPr>
      </w:pPr>
      <w:r>
        <w:rPr>
          <w:rFonts w:ascii="Times New Roman" w:hAnsi="Times New Roman"/>
          <w:i/>
          <w:color w:val="000000"/>
          <w:sz w:val="20"/>
        </w:rPr>
        <w:t>Monash License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April 2024, PureTech Health exclusively assigned to the Company, and the Company assumed all rights and obligations under a license agreement between PureTech Health and Monash University entered into in August 2017, or the Original License Agreement. In March 2025, the Company entered into an amended and restated license agreement with Monash University, which amended and restated the Original License Agreement, or the Monash License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As consideration for the licenses granted by Monash University, the Company is required to pay Monash University: (i) </w:t>
      </w:r>
      <w:r>
        <w:rPr>
          <w:rFonts w:ascii="Times New Roman" w:hAnsi="Times New Roman"/>
          <w:color w:val="231F20"/>
          <w:sz w:val="20"/>
        </w:rPr>
        <w:t>between 3% and 5%</w:t>
      </w:r>
      <w:r>
        <w:rPr>
          <w:rFonts w:ascii="Times New Roman" w:hAnsi="Times New Roman"/>
          <w:color w:val="000000"/>
          <w:sz w:val="20"/>
        </w:rPr>
        <w:t xml:space="preserve"> on net sales per calendar year (subject to certain reductions); (ii) a low-double digit percentage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The Company is</w:t>
      </w:r>
      <w:r>
        <w:rPr>
          <w:rFonts w:ascii="Times New Roman" w:hAnsi="Times New Roman"/>
          <w:color w:val="231F20"/>
          <w:sz w:val="20"/>
        </w:rPr>
        <w:t xml:space="preserv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 </w:t>
      </w:r>
    </w:p>
    <w:p>
      <w:pPr>
        <w:pStyle w:val="TextBody"/>
        <w:bidi w:val="0"/>
        <w:spacing w:before="240" w:after="283"/>
        <w:ind w:left="0" w:right="0" w:firstLine="490"/>
        <w:jc w:val="both"/>
        <w:rPr>
          <w:rFonts w:ascii="Times New Roman" w:hAnsi="Times New Roman"/>
          <w:color w:val="231F20"/>
          <w:sz w:val="20"/>
        </w:rPr>
      </w:pPr>
      <w:r>
        <w:rPr>
          <w:rFonts w:ascii="Times New Roman" w:hAnsi="Times New Roman"/>
          <w:color w:val="231F20"/>
          <w:sz w:val="20"/>
        </w:rPr>
        <w:t xml:space="preserve">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Prior to the formation of the Company, PureTech paid $0.2 million in development milestones under the Monash License Agreement. Since the formation of the Company, the Company paid $0.1 million in development milestones under the agreement. No milestones were paid by the Company under the Monash License Agreement during the three and six months ended June 30, 2026 and 2025.</w:t>
      </w:r>
    </w:p>
    <w:p>
      <w:pPr>
        <w:pStyle w:val="TextBody"/>
        <w:bidi w:val="0"/>
        <w:spacing w:before="120" w:after="283"/>
        <w:ind w:left="0" w:right="0" w:firstLine="490"/>
        <w:jc w:val="both"/>
        <w:rPr>
          <w:rFonts w:ascii="Times New Roman" w:hAnsi="Times New Roman"/>
          <w:i/>
          <w:color w:val="000000"/>
          <w:sz w:val="20"/>
        </w:rPr>
      </w:pPr>
      <w:r>
        <w:rPr>
          <w:rFonts w:ascii="Times New Roman" w:hAnsi="Times New Roman"/>
          <w:i/>
          <w:color w:val="000000"/>
          <w:sz w:val="20"/>
        </w:rPr>
        <w:t>Monash Collaboration Agreement and ARPA-H Award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March 2026, the Advanced Research Projects Agency for Health (“ARPA-H”) granted the Company and Monash University an award for research under the Groundbreaking Lymphatic Interventions and Drug Exploration (“GLIDE”) program (the "Award Agreement"). The Award Agreement provides for total funding of up to $15.2 million, which includes committed funding of $3.5 million for the first phase of research under the award and uncommitted funding of up to $11.7 million for the second phase of the research plan under the award. The funding for the second phase is not currently committed and is subject to mutual agreement by the parties; if exercised, the parties will execute a contract modification at that time. The initial term of the Agreement is 48 months. The Agreement may be terminated by either party upon 60 days’ written notice, in which case the parties are required to negotiate in good faith to resolve any outstanding matters.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Payments under the Award Agreement are fixed and are earned upon the achievement of defined milestones. As of June 30, 2026, the Company earned $22 thousand on milestone achievement. During the three and six months ended June 30, 2026, the Company recognized $0.1 million under the Award Agreement as a reduction of research and development expense and recorded an unbilled receivable of $0.1 million in prepaid expenses and other current assets on the Company’s condensed consolidated balance sheets.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9. CONVERTIBLE 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Immediately prior to the closing of the Company’s IPO on May 1, 2026, pursuant to the reverse stock split and a proportional adjustment to the existing conversion ratios of each series of the Company’s preferred stock as discussed further below, all of the Company’s outstanding shares of convertible preferred stock were converted into an aggregate of 36,272,475 shares of common 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connection with the closing of the IPO, the Company's certificate of incorporation was amended and restated to authorize 10,000,000 undesignated shares of preferred stock, par value $0.0001 per share. There are no shares of undesignated preferred stock outstanding.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Series A-1 and Series A-2 Preferred Stock</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w:t>
      </w:r>
      <w:r>
        <w:rPr>
          <w:rFonts w:ascii="Times New Roman" w:hAnsi="Times New Roman"/>
          <w:color w:val="231F20"/>
          <w:sz w:val="20"/>
        </w:rPr>
        <w:t>—Nature of Business and Basis of Presentation,</w:t>
      </w:r>
      <w:r>
        <w:rPr>
          <w:rFonts w:ascii="Times New Roman" w:hAnsi="Times New Roman"/>
          <w:color w:val="000000"/>
          <w:sz w:val="20"/>
        </w:rPr>
        <w:t xml:space="preserve"> for further disclosure of the Asset Transfer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 </w:t>
      </w:r>
    </w:p>
    <w:p>
      <w:pPr>
        <w:pStyle w:val="TextBody"/>
        <w:bidi w:val="0"/>
        <w:spacing w:before="360" w:after="283"/>
        <w:jc w:val="both"/>
        <w:rPr>
          <w:rFonts w:ascii="Times New Roman" w:hAnsi="Times New Roman"/>
          <w:sz w:val="20"/>
        </w:rPr>
      </w:pPr>
      <w:r>
        <w:rPr>
          <w:rFonts w:ascii="Times New Roman" w:hAnsi="Times New Roman"/>
          <w:b/>
          <w:i/>
          <w:color w:val="000000"/>
          <w:sz w:val="20"/>
        </w:rPr>
        <w:t>Series B Preferred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Upon issuance of the Preferred Stock, the Company assessed the embedded conversion and liquidation features of the securities and determined that such features did not require the Company to separately account for these features.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December 31, 2025, Preferred Stock consisted of the following (in thousands, except share and per share amounts):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981"/>
        <w:gridCol w:w="146"/>
        <w:gridCol w:w="167"/>
        <w:gridCol w:w="1156"/>
        <w:gridCol w:w="146"/>
        <w:gridCol w:w="146"/>
        <w:gridCol w:w="187"/>
        <w:gridCol w:w="1295"/>
        <w:gridCol w:w="146"/>
        <w:gridCol w:w="146"/>
        <w:gridCol w:w="210"/>
        <w:gridCol w:w="741"/>
        <w:gridCol w:w="146"/>
        <w:gridCol w:w="146"/>
        <w:gridCol w:w="241"/>
        <w:gridCol w:w="852"/>
        <w:gridCol w:w="146"/>
        <w:gridCol w:w="146"/>
        <w:gridCol w:w="316"/>
        <w:gridCol w:w="824"/>
        <w:gridCol w:w="146"/>
        <w:gridCol w:w="146"/>
        <w:gridCol w:w="197"/>
        <w:gridCol w:w="1236"/>
        <w:gridCol w:w="196"/>
      </w:tblGrid>
      <w:tr>
        <w:trPr/>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Issuable Upon Conversion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12,736,014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26,342,102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26,342,102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8,387,331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47,578,938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47,578,934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15,149,130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113,921,040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113,921,036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36,272,475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As of December 31, 2025 the holders of the Preferred Stock had the following rights and preferences: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Voting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would convert on the record date for determination of shareholders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holders of the Preferred Stock are entitled to participate in any dividends payable to common stockholders on an as converted basis and have priority over the payment of dividends to holders of common stock.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 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$3.80. In July 2025, the Company satisfied the applicable condition, thereby eliminating the conversion price reduction contingency.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Each outstanding share of Preferred Stock shall automatically be converted into fully-paid, non-assessable shares of common stock upon the earliest to occur of (i) the consummation of a qualified initial public offering at a public offering price of at least $5.70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 voting together as a single class on an as-converted basis, or the Requisite Holders, and the holders of at least 65% of the then-outstanding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of Series B Preferred Stock, or the Series B Majority. All outstanding convertible preferred stock was converted into common stock immediately prior to the closing of the Company’s IPO.</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Preferred Stock does not have any redemption rights, except for the contingent redemption upon the occurrence of a Deemed Liquidation Event.</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 COMMON STOCK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voting, dividend, and liquidation rights of the holders of the Company’s common stock were, prior to the conversion of all outstanding preferred shares into common stock upon the Company's IPO, subject to and qualified by the rights, powers, and preferences of the holders of the Preferred Stock set forth above. Each share of common stock entitles the holder to one vote on all matters submitted to the stockholders for a vote. The holders of common stock are entitled to receive dividends, if any, as declared by the Company’s board of directors (the "Board"). As of June 30, 2026, no dividends have been declared or paid.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the Company had authorized 500,000,000 shares of voting common stock and 200,000,000 shares of non-voting common stock, par value $0.0001 per share, of which 53,530,550 voting common stock were issued and outstanding. There are no shares of non-voting common stock outstanding. </w:t>
      </w:r>
    </w:p>
    <w:p>
      <w:pPr>
        <w:pStyle w:val="TextBody"/>
        <w:bidi w:val="0"/>
        <w:spacing w:before="240" w:after="283"/>
        <w:ind w:left="0" w:right="0" w:firstLine="490"/>
        <w:jc w:val="both"/>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11.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Equity Incentive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Company’s 2024 Equity Incentive Plan, as amended (the “2024 Plan”), provided for the Company to sell or issue common stock or restricted common stock, and other awards as determined by the Board could be granted to employees, non-employees and directors of the Company. As of the effective date of the 2026 Equity Incentive Plan (the “2026 Plan”), and as of June 30, 2026, there were no shares remaining available for future issuance under the 2024 Plan. Any options or other awards outstanding under the 2024 Plan remain outstanding and effective. The remaining shares reserved for issuance under the 2024 Plan ceased to be available for issuance at the time that the 2026 Plan became effective.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Subsequent to the effectiveness of the 2026 Plan, the shares of common stock underlying any awards under the 2024 Plan that are forfeited, canceled, reacquired by the Company prior to vesting, satisfied without the issuance of stock or otherwise terminated (other than by exercise) and shares withheld upon exercise of an option or settlement of an award to cover the exercise price or tax withholding will be added to the shares of common stock available for issuance under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Equity Incentive Plans</w:t>
      </w:r>
    </w:p>
    <w:p>
      <w:pPr>
        <w:pStyle w:val="TextBody"/>
        <w:bidi w:val="0"/>
        <w:spacing w:before="240" w:after="160"/>
        <w:ind w:left="0" w:right="0" w:firstLine="490"/>
        <w:jc w:val="both"/>
        <w:rPr>
          <w:rFonts w:ascii="Times New Roman" w:hAnsi="Times New Roman"/>
          <w:color w:val="000000"/>
          <w:sz w:val="20"/>
        </w:rPr>
      </w:pPr>
      <w:r>
        <w:rPr>
          <w:rFonts w:ascii="Times New Roman" w:hAnsi="Times New Roman"/>
          <w:color w:val="000000"/>
          <w:sz w:val="20"/>
        </w:rPr>
        <w:t>In January 2026, the Board and the Company's stockholders adopted and approved the 2026 Plan, which became effective on the date that the registration statement on Form S-1 for the Company's IPO was declared effective by the SEC. The 2026 Plan initially reserved 6,020,000 shares of common stock for future issuances and is subject to automatic increases in the number of shares of common stock reserved for future issuances in accordance with the evergreen provisions in the 2026 Plan. The shares reserved for future issuance under the 2024 Plan ceased to be available for issuance at the time the 2026 Plan became effective. Any shares underlying outstanding stock awards granted under the 2024 Plan that subsequently expire or are repurchased, forfeited, cancelled, or withheld will return to the 2026 Plan and be reserved and available for issuance. On the effective date of the Company's registration statement, as previously disclosed, the Company granted 2,477,978 fully vested equity awards under the 2026 Plan to an executive officer and a director pursuant to provisions designed to maintain their aggregate ownership at 12.5%, and recognized $32.2 million of non-cash stock-based compensation expense related to these awards. These ownership maintenance provisions expired upon effectiveness of the registration statement, and no additional awards will be granted pursuant to them. In addition, the Company's IPO triggered the accelerated vesting of 687,816 equity awards held by an executive officer and a director that were originally granted under the 2024 Plan, resulting in the recognition of $2.1 million of non-cash stock-based compensation expense.</w:t>
      </w:r>
    </w:p>
    <w:p>
      <w:pPr>
        <w:pStyle w:val="TextBody"/>
        <w:bidi w:val="0"/>
        <w:spacing w:before="80" w:after="283"/>
        <w:ind w:left="0" w:right="0" w:firstLine="490"/>
        <w:jc w:val="both"/>
        <w:rPr>
          <w:rFonts w:ascii="Times New Roman" w:hAnsi="Times New Roman"/>
          <w:color w:val="000000"/>
          <w:sz w:val="20"/>
        </w:rPr>
      </w:pPr>
      <w:r>
        <w:rPr>
          <w:rFonts w:ascii="Times New Roman" w:hAnsi="Times New Roman"/>
          <w:color w:val="000000"/>
          <w:sz w:val="20"/>
        </w:rPr>
        <w:t xml:space="preserve">In April 2026, the Board and the Company's stockholders adopted and approved the 2026 Employee Stock Purchase Plan (the "2026 ESPP"), which became effective the date that the registration statement on Form S-1 for the Company's IPO was declared effective by the SEC. The 2026 ESPP initially reserved 510,000 shares of common stock for future issuance and is subject to automatic increases in the number of shares of common stock reserved for future issuances in accordance with the evergreen provisions in the 2026 ESPP. As of June 30, 2026, the Company has issued no shares under the 2026 ESPP.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vesting periods for stock options issued under the plans generally vest over four years with a one-year cliff and equal monthly installments thereafter and may be subject to accelerated vesting. Performance-based options vest in three annual installments that are contingent upon the achievement of the Company’s annual goals.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 Activity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is a summary of the Company’s stock option award activity under the 2024 Plan and 2026 Plan during the six months ended June 30, 2026: </w:t>
      </w:r>
    </w:p>
    <w:p>
      <w:pPr>
        <w:pStyle w:val="TextBody"/>
        <w:bidi w:val="0"/>
        <w:jc w:val="left"/>
        <w:rPr/>
      </w:pPr>
      <w:r>
        <w:rPr/>
        <w:t> </w:t>
      </w:r>
    </w:p>
    <w:tbl>
      <w:tblPr>
        <w:tblW w:w="9592" w:type="dxa"/>
        <w:jc w:val="left"/>
        <w:tblInd w:w="0" w:type="dxa"/>
        <w:tblLayout w:type="fixed"/>
        <w:tblCellMar>
          <w:top w:w="28" w:type="dxa"/>
          <w:left w:w="28" w:type="dxa"/>
          <w:bottom w:w="28" w:type="dxa"/>
          <w:right w:w="28" w:type="dxa"/>
        </w:tblCellMar>
      </w:tblPr>
      <w:tblGrid>
        <w:gridCol w:w="3766"/>
        <w:gridCol w:w="146"/>
        <w:gridCol w:w="146"/>
        <w:gridCol w:w="1036"/>
        <w:gridCol w:w="166"/>
        <w:gridCol w:w="146"/>
        <w:gridCol w:w="230"/>
        <w:gridCol w:w="626"/>
        <w:gridCol w:w="146"/>
        <w:gridCol w:w="146"/>
        <w:gridCol w:w="293"/>
        <w:gridCol w:w="937"/>
        <w:gridCol w:w="146"/>
        <w:gridCol w:w="146"/>
        <w:gridCol w:w="239"/>
        <w:gridCol w:w="886"/>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table above excludes 152,514 of the 228,770 performance-based options which have an exercise price of $7.39 per share, that were approved to be issued by the Company’s Board of Directors in December 2024, but have not yet been deemed granted from an accounting perspective as of June 30, 2026. During the six months ended June 30, 2026, 76,256 of these performance-based options were determined to be granted from an accounting perspective and the company recorded stock compensation expense of $0.6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Company utilized the Black-Scholes option-pricing model for estimating the fair value of the stock options issued under the plans on each grant date. The following table presents the ranges of assumptions used by the Company in the Black-Scholes option-pricing model during the six months ended June 30, 2026 and 2025:</w:t>
      </w:r>
    </w:p>
    <w:p>
      <w:pPr>
        <w:pStyle w:val="TextBody"/>
        <w:bidi w:val="0"/>
        <w:ind w:left="0" w:right="0" w:firstLine="720"/>
        <w:jc w:val="both"/>
        <w:rPr/>
      </w:pPr>
      <w:r>
        <w:rPr/>
        <w:t> </w:t>
      </w:r>
    </w:p>
    <w:tbl>
      <w:tblPr>
        <w:tblW w:w="5309" w:type="dxa"/>
        <w:jc w:val="left"/>
        <w:tblInd w:w="0" w:type="dxa"/>
        <w:tblLayout w:type="fixed"/>
        <w:tblCellMar>
          <w:top w:w="28" w:type="dxa"/>
          <w:left w:w="28" w:type="dxa"/>
          <w:bottom w:w="28" w:type="dxa"/>
          <w:right w:w="28" w:type="dxa"/>
        </w:tblCellMar>
      </w:tblPr>
      <w:tblGrid>
        <w:gridCol w:w="2086"/>
        <w:gridCol w:w="1516"/>
        <w:gridCol w:w="146"/>
        <w:gridCol w:w="1561"/>
      </w:tblGrid>
      <w:tr>
        <w:trPr/>
        <w:tc>
          <w:tcPr>
            <w:tcW w:w="208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5.00 - 6.11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5.19 - 6.08 years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3.59% - 4.08%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3.93% - 4.39%</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90.36% - 94.23%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89.40% - 91.63%</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bl>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weighted-average grant date fair value of options granted during the six months ended June 30, 2026 and 2025 was $11.88 and $5.66 per share, respectively. The aggregate intrinsic value is calculated as the difference between the exercise price and the fair value of the Company’s common stock as of each period end or exercise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June 30, 2026, there was $24.6 million in unrecognized stock-based compensation expense associated with issued and outstanding service-based stock options, which is expected to be recognized over a weighted-average period of 2.6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2024 Plan Restricted Stock Awards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Company has granted restricted stock awards to certain members of the Company’s Board of Directors and Chief Executive Officer. Of the total 1,990,001 restricted stock awards granted: (i) 796,000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1,194,001 have performance based vesting which vested in full upon the close of the Series B Financing. The company completed its IPO in May 2026, upon which all unvested restricted stock awards vested in full.</w:t>
      </w:r>
      <w:r>
        <w:rPr>
          <w:rFonts w:ascii="Times New Roman" w:hAnsi="Times New Roman"/>
          <w:color w:val="231F2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is a summary of the Company’s restricted stock award activity during the six months ended June 30, 2026: </w:t>
      </w:r>
    </w:p>
    <w:p>
      <w:pPr>
        <w:pStyle w:val="TextBody"/>
        <w:bidi w:val="0"/>
        <w:jc w:val="left"/>
        <w:rPr/>
      </w:pPr>
      <w:r>
        <w:rPr/>
        <w:t> </w:t>
      </w:r>
    </w:p>
    <w:tbl>
      <w:tblPr>
        <w:tblW w:w="5422"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275"/>
        <w:gridCol w:w="610"/>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 restricted stock awards were granted during the six months ended June 30, 2026 and 2025. The total fair value of the restricted stock awards that vested during the six months ended June 30, 2026 and 2025 was $0.5 million and $0.1 million, respectively. The total stock-based compensation associated with the restricted stock awards was $0.1 million and $0.5 million during the three and six months ended June 30, 2026, respectively, and $0.1 million and $0.1 million during the three and six months ended June 30, 2025, respectively. As of June 30, 2026, there was no unrecognized stock-based compensation expense associated with issued and outstanding restricted stock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represents stock-based compensation expense recorded in the Company’s condensed consolidated statements of operations and comprehensive loss (in thousands):</w:t>
      </w:r>
    </w:p>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3001"/>
        <w:gridCol w:w="243"/>
        <w:gridCol w:w="781"/>
        <w:gridCol w:w="168"/>
        <w:gridCol w:w="168"/>
        <w:gridCol w:w="243"/>
        <w:gridCol w:w="659"/>
        <w:gridCol w:w="146"/>
        <w:gridCol w:w="146"/>
        <w:gridCol w:w="222"/>
        <w:gridCol w:w="713"/>
        <w:gridCol w:w="154"/>
        <w:gridCol w:w="154"/>
        <w:gridCol w:w="222"/>
        <w:gridCol w:w="603"/>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Company's effective tax rates were (0.4)% and (0.9)% for the three and six months ended June 30, 2026, respectively;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(0.9)% and (0.6)% for the three and six months ended June 30, 2025, respectively. The effective tax rate in 2026 differs from 2025 primarily due to tax expense recorded in Australia. The income tax provision and effective tax rate are driven primarily by a valuation allowance in the United States, partially offset by income tax expense recorded for Australian operations. The Australian subsidiary is profitable due to its research and development tax credit and transfer pricing agreement with Seaport Therapeutics, Inc. and is subject to income tax expense.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maintains a valuation allowance on the majority of its deferred tax assets, and it has concluded that it is more likely than not that the deferred assets will not be utilized.</w:t>
      </w:r>
    </w:p>
    <w:p>
      <w:pPr>
        <w:pStyle w:val="TextBody"/>
        <w:bidi w:val="0"/>
        <w:ind w:left="0" w:right="0" w:firstLine="490"/>
        <w:jc w:val="both"/>
        <w:rPr/>
      </w:pPr>
      <w:r>
        <w:rPr/>
        <w:t> </w:t>
      </w:r>
    </w:p>
    <w:p>
      <w:pPr>
        <w:pStyle w:val="TextBody"/>
        <w:bidi w:val="0"/>
        <w:spacing w:before="160" w:after="283"/>
        <w:jc w:val="both"/>
        <w:rPr>
          <w:rFonts w:ascii="Times New Roman" w:hAnsi="Times New Roman"/>
          <w:b/>
          <w:caps/>
          <w:color w:val="000000"/>
          <w:sz w:val="20"/>
        </w:rPr>
      </w:pPr>
      <w:r>
        <w:rPr>
          <w:rFonts w:ascii="Times New Roman" w:hAnsi="Times New Roman"/>
          <w:b/>
          <w:caps/>
          <w:color w:val="000000"/>
          <w:sz w:val="20"/>
        </w:rPr>
        <w:t>13. LEASES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condensed consolidated balance sheets as of June 30, 2026 and December 31, 2025.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December 2024, the Company entered into a laboratory lease agreement with a third party for lab space located in Boston, Massachusetts. The lease commenced in January 2025 and was for an initial term of 24 months from the commencement date. In March 2026, the Company exercised its option to extend the lease for an additional 12 months. The modification resulted in an increase to the operating lease right of use asset and lease liability of $0.6 million.</w:t>
      </w:r>
    </w:p>
    <w:p>
      <w:pPr>
        <w:pStyle w:val="TextBody"/>
        <w:bidi w:val="0"/>
        <w:spacing w:before="240" w:after="283"/>
        <w:jc w:val="both"/>
        <w:rPr>
          <w:rFonts w:ascii="Times New Roman" w:hAnsi="Times New Roman"/>
          <w:b/>
          <w:caps/>
          <w:color w:val="000000"/>
          <w:sz w:val="20"/>
        </w:rPr>
      </w:pPr>
      <w:r>
        <w:rPr>
          <w:rFonts w:ascii="Times New Roman" w:hAnsi="Times New Roman"/>
          <w:b/>
          <w:caps/>
          <w:color w:val="000000"/>
          <w:sz w:val="20"/>
        </w:rPr>
        <w:t>14.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and Other Agreements</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The Company is obligated to make fixed and contingent payments under the Asset Transfer Agreement and Monash License Agreement, </w:t>
      </w:r>
      <w:r>
        <w:rPr>
          <w:rFonts w:ascii="Times New Roman" w:hAnsi="Times New Roman"/>
          <w:color w:val="231F20"/>
          <w:sz w:val="20"/>
        </w:rPr>
        <w:t>See Not</w:t>
      </w:r>
      <w:r>
        <w:rPr>
          <w:rFonts w:ascii="Times New Roman" w:hAnsi="Times New Roman"/>
          <w:color w:val="000000"/>
          <w:sz w:val="20"/>
        </w:rPr>
        <w:t xml:space="preserve">e 8—License and Collaboration Agreements, for further disclosure </w:t>
      </w:r>
      <w:r>
        <w:rPr>
          <w:rFonts w:ascii="Times New Roman" w:hAnsi="Times New Roman"/>
          <w:color w:val="231F20"/>
          <w:sz w:val="20"/>
        </w:rPr>
        <w:t>of the Monash license agreement.</w:t>
      </w:r>
    </w:p>
    <w:p>
      <w:pPr>
        <w:pStyle w:val="TextBody"/>
        <w:bidi w:val="0"/>
        <w:jc w:val="left"/>
        <w:rPr>
          <w:rFonts w:ascii="Times New Roman" w:hAnsi="Times New Roman"/>
          <w:b/>
          <w:i/>
          <w:color w:val="000000"/>
          <w:sz w:val="18"/>
        </w:rPr>
      </w:pPr>
      <w:r>
        <w:rPr>
          <w:rFonts w:ascii="Times New Roman" w:hAnsi="Times New Roman"/>
          <w:b/>
          <w:i/>
          <w:color w:val="000000"/>
          <w:sz w:val="18"/>
        </w:rPr>
        <w:t>The Asset Transfer and Series A Financing</w:t>
      </w:r>
    </w:p>
    <w:p>
      <w:pPr>
        <w:pStyle w:val="TextBody"/>
        <w:bidi w:val="0"/>
        <w:jc w:val="left"/>
        <w:rPr/>
      </w:pPr>
      <w:r>
        <w:rPr/>
        <w:t> </w:t>
      </w:r>
    </w:p>
    <w:p>
      <w:pPr>
        <w:pStyle w:val="TextBody"/>
        <w:bidi w:val="0"/>
        <w:spacing w:before="120" w:after="160"/>
        <w:ind w:left="0" w:right="0" w:firstLine="490"/>
        <w:jc w:val="both"/>
        <w:rPr>
          <w:rFonts w:ascii="Times New Roman" w:hAnsi="Times New Roman"/>
          <w:color w:val="000000"/>
          <w:sz w:val="20"/>
        </w:rPr>
      </w:pPr>
      <w:r>
        <w:rPr>
          <w:rFonts w:ascii="Times New Roman" w:hAnsi="Times New Roman"/>
          <w:color w:val="000000"/>
          <w:sz w:val="20"/>
        </w:rPr>
        <w:t>On April 8, 2024, or the Asset Transfer Date, the Company entered into an asset transfer agreement, as amended in December 2025, or the Asset Transfer Agreement with PureTech Health LLC, or PureTech Health, and PureTech LYT, pursuant to which PureTech Health and PureTech LYT, agreed to contribute, convey, assign, transfer, and deliver to the Company all of its right, title, and interest in, to and under the assets related to its Glyph technology and products, or the Asset Transfer. As consideration, the Company issued to PureTech LYT 40,000,000 shares of its Series A-1 convertible preferred stock and 302,161 shares of its common stock on the Asset Transfer Date, and also agreed to contingent payments to PureTech upon successful development and commercialization of products developed using the Glyph platform, each of which is referred to as a Seaport Glyph Product, including;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sales in the United States, $2.0 million for the first commercial sale in a major European market, and $2.0 million for the first commercial sale in Japan, and for each subsequent Seaport Glyph Product, the Company has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the Company is obligated to pay royalties between 3% and 5% on the annual net sales of each Seaport Glyph Product as follows: less than $500 million: 3%; $500 million to $1 billion: 3.5%; $1 billion to $2.5 billion: 4%; $2.5 billion to $3.5 billion: 4.5%; $3.5 billion or greater: 5% and a percentage of net income generated by the Company from third parties on any products licensed under the Glyph intellectual property which was transferred as part of the Asset Transfer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Guarantees and Indemnification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members of the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 and for the six months ended June 30,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120"/>
        <w:ind w:left="0" w:right="0" w:firstLine="490"/>
        <w:jc w:val="both"/>
        <w:rPr>
          <w:rFonts w:ascii="Times New Roman" w:hAnsi="Times New Roman"/>
          <w:sz w:val="20"/>
        </w:rPr>
      </w:pPr>
      <w:r>
        <w:rPr>
          <w:rFonts w:ascii="Times New Roman" w:hAnsi="Times New Roman"/>
          <w:color w:val="000000"/>
          <w:sz w:val="20"/>
        </w:rPr>
        <w:t>See Note 13</w:t>
      </w:r>
      <w:r>
        <w:rPr>
          <w:rFonts w:ascii="Times New Roman" w:hAnsi="Times New Roman"/>
          <w:color w:val="231F20"/>
          <w:sz w:val="20"/>
        </w:rPr>
        <w:t>—</w:t>
      </w:r>
      <w:r>
        <w:rPr>
          <w:rFonts w:ascii="Times New Roman" w:hAnsi="Times New Roman"/>
          <w:color w:val="000000"/>
          <w:sz w:val="20"/>
        </w:rPr>
        <w:t>Leases, for information related to the Company’s lease obligations.</w:t>
      </w:r>
    </w:p>
    <w:p>
      <w:pPr>
        <w:pStyle w:val="TextBody"/>
        <w:bidi w:val="0"/>
        <w:spacing w:before="240" w:after="283"/>
        <w:jc w:val="both"/>
        <w:rPr>
          <w:rFonts w:ascii="Times New Roman" w:hAnsi="Times New Roman"/>
          <w:b/>
          <w:caps/>
          <w:color w:val="000000"/>
          <w:sz w:val="20"/>
        </w:rPr>
      </w:pPr>
      <w:r>
        <w:rPr>
          <w:rFonts w:ascii="Times New Roman" w:hAnsi="Times New Roman"/>
          <w:b/>
          <w:caps/>
          <w:color w:val="000000"/>
          <w:sz w:val="20"/>
        </w:rPr>
        <w:t>15. Segments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one operating and reportable segment focused on inventing and developing novel medicines for patients with depression, anxiety, and other debilitating neuropsychiatric disorders using the Company's proprietary Glyph Platform.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chief operating decision-maker, or CODM, manages the Company’s operations on a consolidated basis, and assesses performance based on consolidated net loss that is reported on the condensed consolidated statements of operations and comprehensive loss. The CODM makes decisions about allocating resources and assessing performance for the entire company. The measure of segment assets is reported on the condensed consolidated balance sheet as total consolidated assets.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presents certain significant segment expenses that are regularly provided to the CODM (in thousands):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218"/>
        <w:gridCol w:w="214"/>
        <w:gridCol w:w="686"/>
        <w:gridCol w:w="168"/>
        <w:gridCol w:w="148"/>
        <w:gridCol w:w="214"/>
        <w:gridCol w:w="686"/>
        <w:gridCol w:w="246"/>
        <w:gridCol w:w="246"/>
        <w:gridCol w:w="211"/>
        <w:gridCol w:w="676"/>
        <w:gridCol w:w="166"/>
        <w:gridCol w:w="146"/>
        <w:gridCol w:w="211"/>
        <w:gridCol w:w="676"/>
        <w:gridCol w:w="293"/>
      </w:tblGrid>
      <w:tr>
        <w:trPr/>
        <w:tc>
          <w:tcPr>
            <w:tcW w:w="5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GlyphAllo direct research and development expenses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GlyphAgo direct research and development expenses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Glyph2BLSD direct research and development expenses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Preclinical and early discovery assets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Personnel-related (including non-cash stock-based compensation expense of $0.9 million and $0.6 million for three months ended June 30, 2026 and 2025, respectively and $1.8 million and $1.1 million for six months ended June 30, 2026 and 2025, respectively)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indirect research and development expenses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Personnel-related (including non-cash stock-based compensation expense of $36.0 million and $1.2 million for three months ended June 30, 2026 and 2025, respectively and $37.6 million and $2.3 million for six months ended June 30, 2026 and 2025, respectively)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Other general and administrative expenses</w:t>
            </w:r>
            <w:r>
              <w:rPr>
                <w:rFonts w:ascii="Times New Roman" w:hAnsi="Times New Roman"/>
                <w:color w:val="000000"/>
                <w:sz w:val="13"/>
              </w:rPr>
              <w:t>(1)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Other general and administrative expenses include professional fees, facilities, depreciation, IT, and other expenses.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Other segment items include interest income, net, research and development tax credit, income tax provision, and other expense, net.</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16. Net Loss per Share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three and six months ended June 30, 2026 and 2025, presented since the effects of any potentially dilutive securities, would be antidilutive given the net loss of the Company.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Basic and diluted net loss per share is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80"/>
        <w:gridCol w:w="211"/>
        <w:gridCol w:w="1036"/>
        <w:gridCol w:w="166"/>
        <w:gridCol w:w="146"/>
        <w:gridCol w:w="211"/>
        <w:gridCol w:w="931"/>
        <w:gridCol w:w="166"/>
        <w:gridCol w:w="146"/>
        <w:gridCol w:w="211"/>
        <w:gridCol w:w="1036"/>
        <w:gridCol w:w="166"/>
        <w:gridCol w:w="146"/>
        <w:gridCol w:w="211"/>
        <w:gridCol w:w="931"/>
        <w:gridCol w:w="211"/>
      </w:tblGrid>
      <w:tr>
        <w:trPr/>
        <w:tc>
          <w:tcPr>
            <w:tcW w:w="4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35,236,214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For accounting purposes, the computation of basic and diluted weighted-average common shares outstanding for the three and six months ended June 30, 2026, excludes all shares of unvested restricted common stock as such shares are not considered outstanding. See Note 11—Stock-Based Compensation, for more information.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attributable to common stockholders, as their effect is antidilutive: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10"/>
        <w:gridCol w:w="146"/>
        <w:gridCol w:w="1036"/>
        <w:gridCol w:w="146"/>
        <w:gridCol w:w="146"/>
        <w:gridCol w:w="146"/>
        <w:gridCol w:w="1036"/>
        <w:gridCol w:w="146"/>
        <w:gridCol w:w="146"/>
        <w:gridCol w:w="146"/>
        <w:gridCol w:w="1036"/>
        <w:gridCol w:w="146"/>
        <w:gridCol w:w="146"/>
        <w:gridCol w:w="146"/>
        <w:gridCol w:w="1036"/>
        <w:gridCol w:w="191"/>
      </w:tblGrid>
      <w:tr>
        <w:trPr/>
        <w:tc>
          <w:tcPr>
            <w:tcW w:w="4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Stock options to purchase common stock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 (as converted to common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15,149,130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45,060,232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12,233,799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45,060,232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above excludes the performance-based options that have not been deemed granted from an accounting perspective. See Note 11—Stock-Based Compensation, for more information. </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17. RELATED PARTIES</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During the six months ended June 30, 2026, the Company incurred immaterial expenses from PureTech under the transition services agreement, or the TSA, related to general and administrative expenses. During the six months ended June 30, 2025, the Company incurred $0.3 million of expenses from PureTech under the TSA, primarily related to research and development expenses.</w:t>
      </w:r>
    </w:p>
    <w:p>
      <w:pPr>
        <w:pStyle w:val="TextBody"/>
        <w:bidi w:val="0"/>
        <w:ind w:left="0" w:right="0" w:firstLine="490"/>
        <w:jc w:val="both"/>
        <w:rPr/>
      </w:pPr>
      <w:r>
        <w:rPr/>
        <w:t> </w:t>
      </w:r>
    </w:p>
    <w:p>
      <w:pPr>
        <w:pStyle w:val="TextBody"/>
        <w:bidi w:val="0"/>
        <w:jc w:val="both"/>
        <w:rPr/>
      </w:pPr>
      <w:r>
        <w:rPr/>
        <w:t> </w:t>
      </w:r>
    </w:p>
    <w:p>
      <w:pPr>
        <w:pStyle w:val="TextBody"/>
        <w:bidi w:val="0"/>
        <w:jc w:val="both"/>
        <w:rPr/>
      </w:pPr>
      <w:r>
        <w:rPr/>
        <w:t> </w:t>
      </w:r>
    </w:p>
    <w:p>
      <w:pPr>
        <w:pStyle w:val="TextBody"/>
        <w:bidi w:val="0"/>
        <w:ind w:left="0" w:right="0" w:firstLine="7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9" w:name="itm_2_management_discussion_and_analysis"/>
      <w:bookmarkEnd w:id="9"/>
      <w:r>
        <w:rPr>
          <w:rFonts w:ascii="Times New Roman" w:hAnsi="Times New Roman"/>
          <w:b/>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condensed consolidated financial statements and related notes appearing elsewhere in this Quarterly Report on Form 10-Q and our audited consolidated financial statements and related notes included in our final prospectus for our initial public offering ("IPO") filed with the SEC pursuant to Rule 424(b)(4) under the Securities Act of 1933, as amended (the “Securities Act”) on May 1, 2026 (the “IPO Prospectus”). References to the "Company," “Seaport,” "Seaport Therapeutics," “we,” “our,” “us,” or similar terms refer to Seaport Therapeutics, Inc. and its wholly owned subsidiaries, or either or all of them as the context may require. This discussion and analysis and other parts of this Quarterly Report on Form 10-Q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on Form 10-Q. You should carefully read the sections entitled “Risk Factors” and “Special Note Regarding Forward-Looking Statements”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lead product candidate, GlyphAllo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the first half of 2027. We continue to advance a Phase 1 driving simulation trial of GlyphAllo, with topline data expected in the second half of 2026, in advance of the expected topline readout of the BUOY-1 trial.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second product candidate, GlyphAgo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were observed. In June 2026, we reported topline data from the multiple-ascending dose, or MAD, portion of the trial, which showed that seven-day dosing of GlyphAgo achieved therapeutic exposures of agomelatine at doses projected to avoid liver enzyme elevations and reduce or eliminate the need for liver function testing, and demonstrated favorable safety and tolerability, with no liver-related adverse events observed. We plan to initiate a Phase 2a proof-of-pharmacology trial designed to evaluate the potential sleep benefit of GlyphAgo in patients with GAD and sleep disturbance in the second half of 2026, with topline data expected in early 2028 and, in parallel, initiate a Phase 2b trial designed to evaluate the efficacy and safety of GlyphAgo in patients with GAD in the first half of 2027, with topline data expected by the end of 2028.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also advancing Glyph2BLSD (Glyph 2-bromo-LSD), a novel, Glyphed oral prodrug of the non-hallucinogenic LSD analog 2-bromo-LSD, in preclinical studies for neuropsychiatric and headache disorders with significant unmet need.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devoted substantially all of our efforts to organizing and staffing our company, business planning, capital raising, research and development activities, building and strengthening our intellectual property portfolio, and providing general and administrative support for these operations. We have funded our operations with proceeds from the issuance and sale of convertible preferred stock, including the $100.1 million gross proceeds we received in April 2024 from our Series A-2 Financing and the $226.0 million gross proceeds we received in October 2024 from our Series B Financing. During the second quarter of 2026, we completed our IPO, in which we sold an aggregate 14,446,658 shares of our common stock at a public offering price of $18.00 per share, resulting in aggregate net proceeds of approximately $238.4 million, after deducting underwriting discounts, commissions and other offering expenses.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have incurred significant operating losses since the inception of our business and expect to continue to generate operating losses for the foreseeable future, and expect that our expenses and operating losses will continue to increase substantially. Our ability to generate product revenue sufficient to achieve profitability, if ever, will depend on the successful development and eventual commercialization of any product candidates we may develop. During the six months ended June 30, 2026 and 2025, we had a net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$88.0 million and $28.2 million, respectively. As of June 30, 2026, we had an accumulated deficit of $202.1 million. Our net losses may fluctuate significantly from quarter-to-quarter and year-to-year, depending on the timing of our preclinical studies and planned clinical trials and our expenditures on other research and development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we had cash, cash equivalents and investments of $427.3 million. Based on our current operating plans, we believe that our existing cash, cash equivalents and investments will be sufficient to fund our operating expenses and capital expenditure requirements into 2029.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Components of Results of Operations</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preclinical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condensed consolidated financial statements as prepaid or accrued research and development expenses.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Due to the inherently unpredictable nature of preclinical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in 2023, and Glyph2BLSD in 2024.</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costs to maintain compliance as a public company and legal costs consisting of general corporate legal fees and patent legal fees.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income (expense), net consists primarily of interest income earned on our investments and cash equivalents, research and development tax credits from the Australian government’s tax incentive program, and realized and unrealized foreign currency gains and losses.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Provision for income taxes consists of United States federal and state income taxes in jurisdictions in which we conduct business and foreign income taxes related to our Australian subsidiary. The provision for income taxes is based on our taxable income in Australia. Our loss before income taxes is adjusted for permanent and temporary tax differences, primarily related to capitalized non-U.S. research and development expenses, resulting in taxable income or loss. We have no benefit (losses) recorded in the U.S. as we have recorded a full valuation allowance of our U.S. deferred tax asset position as of June 30, 2026 and 2025 as we believe it was more likely than not that we would not be able to utilize our deferred tax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Results of Operations</w:t>
      </w:r>
    </w:p>
    <w:p>
      <w:pPr>
        <w:pStyle w:val="Heading2"/>
        <w:bidi w:val="0"/>
        <w:spacing w:before="360" w:after="120"/>
        <w:jc w:val="left"/>
        <w:rPr>
          <w:rFonts w:ascii="Times New Roman" w:hAnsi="Times New Roman"/>
          <w:i/>
          <w:color w:val="000000"/>
          <w:sz w:val="20"/>
        </w:rPr>
      </w:pPr>
      <w:r>
        <w:rPr>
          <w:rFonts w:ascii="Times New Roman" w:hAnsi="Times New Roman"/>
          <w:i/>
          <w:color w:val="000000"/>
          <w:sz w:val="20"/>
        </w:rPr>
        <w:t>Comparison of the three months ended June 30, 2026 and 2025</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spacing w:before="120" w:after="283"/>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6183"/>
        <w:gridCol w:w="146"/>
        <w:gridCol w:w="212"/>
        <w:gridCol w:w="743"/>
        <w:gridCol w:w="167"/>
        <w:gridCol w:w="147"/>
        <w:gridCol w:w="212"/>
        <w:gridCol w:w="743"/>
        <w:gridCol w:w="166"/>
        <w:gridCol w:w="146"/>
        <w:gridCol w:w="211"/>
        <w:gridCol w:w="736"/>
        <w:gridCol w:w="393"/>
      </w:tblGrid>
      <w:tr>
        <w:trPr/>
        <w:tc>
          <w:tcPr>
            <w:tcW w:w="6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(including non-cash stock-based compensation expense of $0.9 million and $0.6 million for three months ended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(including non-cash stock-based compensation expense of $36.0 million and $1.2 million for three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tbl>
      <w:tblPr>
        <w:tblW w:w="10205" w:type="dxa"/>
        <w:jc w:val="left"/>
        <w:tblInd w:w="0" w:type="dxa"/>
        <w:tblLayout w:type="fixed"/>
        <w:tblCellMar>
          <w:top w:w="28" w:type="dxa"/>
          <w:left w:w="28" w:type="dxa"/>
          <w:bottom w:w="28" w:type="dxa"/>
          <w:right w:w="28" w:type="dxa"/>
        </w:tblCellMar>
      </w:tblPr>
      <w:tblGrid>
        <w:gridCol w:w="6227"/>
        <w:gridCol w:w="146"/>
        <w:gridCol w:w="230"/>
        <w:gridCol w:w="740"/>
        <w:gridCol w:w="159"/>
        <w:gridCol w:w="159"/>
        <w:gridCol w:w="230"/>
        <w:gridCol w:w="740"/>
        <w:gridCol w:w="146"/>
        <w:gridCol w:w="146"/>
        <w:gridCol w:w="211"/>
        <w:gridCol w:w="676"/>
        <w:gridCol w:w="395"/>
      </w:tblGrid>
      <w:tr>
        <w:trPr/>
        <w:tc>
          <w:tcPr>
            <w:tcW w:w="6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GlyphAllo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GlyphAgo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Glyph2BLSD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and early discovery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compensation (excluding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(non-cash)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Research and development expenses increased by $11.2 million from $13.4 million for the three months ended June 30, 2025 to $24.6 million for the three months ended June 30, 2026. The increase in research and development expenses was primarily attributable to: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$8.0 million of increased costs associated with our lead program GlyphAllo, which was primarily due to the advancement of our Phase 2b BUOY-1 trial which commenced in July 2025 and other supporting clinical studies;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 million of increased costs associated with our GlyphAgo program, which was primarily due to our Phase 1 trial, for which we announced dosing of the first participant in September 2025 and completed the study in the second quarter of 2026, and other development activities as we advance the program;</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$0.1 million of increased costs associated with our Glyph2BLSD program due to timing of our development activities;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$0.4 million of increased costs associated with advancing our preclinical and early discovery assets;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$0.7 million of increased costs associated with employee compensation primarily due to increased headcount to support our research and development operations and salary adjustments;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$0.3 million of increased costs associated with non-cash stock-based compensation costs primarily due to additional equity grants issued under our 2024 and 2026 Equity Plan.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general and administrative expenses (in thousands):</w:t>
      </w:r>
    </w:p>
    <w:p>
      <w:pPr>
        <w:pStyle w:val="TextBody"/>
        <w:bidi w:val="0"/>
        <w:jc w:val="both"/>
        <w:rPr/>
      </w:pPr>
      <w:r>
        <w:rPr/>
        <w:t> </w:t>
      </w:r>
    </w:p>
    <w:tbl>
      <w:tblPr>
        <w:tblW w:w="9869" w:type="dxa"/>
        <w:jc w:val="left"/>
        <w:tblInd w:w="0" w:type="dxa"/>
        <w:tblLayout w:type="fixed"/>
        <w:tblCellMar>
          <w:top w:w="28" w:type="dxa"/>
          <w:left w:w="28" w:type="dxa"/>
          <w:bottom w:w="28" w:type="dxa"/>
          <w:right w:w="28" w:type="dxa"/>
        </w:tblCellMar>
      </w:tblPr>
      <w:tblGrid>
        <w:gridCol w:w="6091"/>
        <w:gridCol w:w="146"/>
        <w:gridCol w:w="243"/>
        <w:gridCol w:w="781"/>
        <w:gridCol w:w="168"/>
        <w:gridCol w:w="168"/>
        <w:gridCol w:w="243"/>
        <w:gridCol w:w="659"/>
        <w:gridCol w:w="146"/>
        <w:gridCol w:w="146"/>
        <w:gridCol w:w="211"/>
        <w:gridCol w:w="676"/>
        <w:gridCol w:w="1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(excluding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(non-cash)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IT,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41,189</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160" w:right="0" w:firstLine="490"/>
        <w:jc w:val="both"/>
        <w:rPr/>
      </w:pPr>
      <w:r>
        <w:rPr/>
        <w:t> </w:t>
      </w:r>
    </w:p>
    <w:p>
      <w:pPr>
        <w:pStyle w:val="TextBody"/>
        <w:bidi w:val="0"/>
        <w:ind w:left="160" w:right="0" w:firstLine="490"/>
        <w:jc w:val="both"/>
        <w:rPr>
          <w:rFonts w:ascii="Times New Roman" w:hAnsi="Times New Roman"/>
          <w:color w:val="000000"/>
          <w:sz w:val="20"/>
        </w:rPr>
      </w:pPr>
      <w:r>
        <w:rPr>
          <w:rFonts w:ascii="Times New Roman" w:hAnsi="Times New Roman"/>
          <w:color w:val="000000"/>
          <w:sz w:val="20"/>
        </w:rPr>
        <w:t>General and administrative expenses increased by $36.1 million from $5.1 million for the three months ended June 30, 2025 to $41.2 million for the three months ended June 30, 2026. The increase in general and administrative expenses was primarily attributable to:</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$34.8 million of increased costs associated with non-cash stock-based compensation primarily due to fully vested awards issued and awards accelerated upon the successful completion of the IPO, as described in previous SEC filings, and additional equity grants issued under our 2024 and 2026 Equity Plans;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$0.9 million of increased professional fees primarily due to higher audit, legal, and consulting fees as a result of operating as a public company;</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$0.3 million of increased facilities, depreciation, IT, and other costs primarily due to increased public company directors and officers insurance costs; and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$0.1 million of increased employee compensation due to salary adjustments.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ind w:left="160" w:right="0" w:firstLine="490"/>
        <w:jc w:val="both"/>
        <w:rPr>
          <w:rFonts w:ascii="Times New Roman" w:hAnsi="Times New Roman"/>
          <w:color w:val="000000"/>
          <w:sz w:val="20"/>
        </w:rPr>
      </w:pPr>
      <w:r>
        <w:rPr>
          <w:rFonts w:ascii="Times New Roman" w:hAnsi="Times New Roman"/>
          <w:color w:val="000000"/>
          <w:sz w:val="20"/>
        </w:rPr>
        <w:t xml:space="preserve">Other income, net, decreased by $0.1 million from $3.5 million for the three months ended June 30, 2025 to $3.5 million for the three months ended June 30, 2026. The decrease in other income, net was primarily attributed to an increase in interest income on our investments and cash equivalents due to the investment of funds received from our IPO in May 2026, offset by a decrease in our research and development tax credit from our qualifying research and development spend in Australia.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Income tax provision</w:t>
      </w:r>
    </w:p>
    <w:p>
      <w:pPr>
        <w:pStyle w:val="TextBody"/>
        <w:bidi w:val="0"/>
        <w:spacing w:before="120" w:after="283"/>
        <w:ind w:left="160" w:right="0" w:firstLine="490"/>
        <w:jc w:val="both"/>
        <w:rPr>
          <w:rFonts w:ascii="Times New Roman" w:hAnsi="Times New Roman"/>
          <w:color w:val="000000"/>
          <w:sz w:val="20"/>
        </w:rPr>
      </w:pPr>
      <w:r>
        <w:rPr>
          <w:rFonts w:ascii="Times New Roman" w:hAnsi="Times New Roman"/>
          <w:color w:val="000000"/>
          <w:sz w:val="20"/>
        </w:rPr>
        <w:t>Income tax provision increased by $0.1 million from $0.1 million for the three months ended June 30, 2025 to $0.3 million for the three months ended June 30, 2026. The increase in the income tax provision was attributed to foreign income taxes related to our Australian subsidiary primarily as a result of our research and development tax credit and transfer pricing agreement with Seaport Therapeutics, Inc.</w:t>
      </w:r>
    </w:p>
    <w:p>
      <w:pPr>
        <w:pStyle w:val="TextBody"/>
        <w:bidi w:val="0"/>
        <w:ind w:left="160" w:right="0" w:hanging="0"/>
        <w:jc w:val="both"/>
        <w:rPr/>
      </w:pPr>
      <w:r>
        <w:rPr/>
        <w:t> </w:t>
      </w:r>
    </w:p>
    <w:p>
      <w:pPr>
        <w:pStyle w:val="TextBody"/>
        <w:bidi w:val="0"/>
        <w:spacing w:before="12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3"/>
        <w:gridCol w:w="146"/>
        <w:gridCol w:w="211"/>
        <w:gridCol w:w="736"/>
        <w:gridCol w:w="166"/>
        <w:gridCol w:w="146"/>
        <w:gridCol w:w="211"/>
        <w:gridCol w:w="736"/>
        <w:gridCol w:w="166"/>
        <w:gridCol w:w="146"/>
        <w:gridCol w:w="211"/>
        <w:gridCol w:w="736"/>
        <w:gridCol w:w="391"/>
      </w:tblGrid>
      <w:tr>
        <w:trPr/>
        <w:tc>
          <w:tcPr>
            <w:tcW w:w="6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(including non-cash stock-based compensation expense of $1.8 million and $1.1 million for six months ended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(including non-cash stock-based compensation expense of $37.6 million and $2.3 million for six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p>
      <w:pPr>
        <w:pStyle w:val="TextBody"/>
        <w:bidi w:val="0"/>
        <w:jc w:val="both"/>
        <w:rPr/>
      </w:pPr>
      <w:r>
        <w:rPr/>
        <w:t> </w:t>
      </w:r>
    </w:p>
    <w:tbl>
      <w:tblPr>
        <w:tblW w:w="10095" w:type="dxa"/>
        <w:jc w:val="left"/>
        <w:tblInd w:w="0" w:type="dxa"/>
        <w:tblLayout w:type="fixed"/>
        <w:tblCellMar>
          <w:top w:w="28" w:type="dxa"/>
          <w:left w:w="28" w:type="dxa"/>
          <w:bottom w:w="28" w:type="dxa"/>
          <w:right w:w="28" w:type="dxa"/>
        </w:tblCellMar>
      </w:tblPr>
      <w:tblGrid>
        <w:gridCol w:w="6291"/>
        <w:gridCol w:w="146"/>
        <w:gridCol w:w="211"/>
        <w:gridCol w:w="677"/>
        <w:gridCol w:w="146"/>
        <w:gridCol w:w="146"/>
        <w:gridCol w:w="211"/>
        <w:gridCol w:w="677"/>
        <w:gridCol w:w="146"/>
        <w:gridCol w:w="146"/>
        <w:gridCol w:w="211"/>
        <w:gridCol w:w="676"/>
        <w:gridCol w:w="411"/>
      </w:tblGrid>
      <w:tr>
        <w:trPr/>
        <w:tc>
          <w:tcPr>
            <w:tcW w:w="6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GlyphAllo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GlyphAgo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Glyph2BLSD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and early discovery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compensation (excluding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(non-cash)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Research and development expenses increased by $22.1 million from $23.9 million for the six months ended June 30, 2025 to $46.0 million for the six months ended June 30, 2026. The increase in research and development expenses was primarily attributable to: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$13.0 million of increased costs associated with our lead program GlyphAllo, which was primarily due to advancement of our Phase 2b BUOY-1 trial which commenced in July 2025 and other supporting clinical studies;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$6.0 million of increased costs associated with our GlyphAgo program, which was primarily due to our Phase 1 trial, for which we announced dosing of the first participant in September 2025 and completed the study in the second quarter of 2026, and other development activities as we advance the program;</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$0.6 million of increased costs associated with advancing our preclinical and early discovery assets;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$1.8 million of increased costs associated with employee compensation primarily due to increased headcount to support our research and development operations and salary adjustments;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$0.7 million of increased costs associated with non-cash stock-based compensation costs primarily due to additional equity grants issued under our 2024 and 2026 Equity Plans.</w:t>
      </w:r>
    </w:p>
    <w:p>
      <w:pPr>
        <w:pStyle w:val="TextBody"/>
        <w:bidi w:val="0"/>
        <w:spacing w:before="4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These increase were partially offset by:</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of decreased costs associated with our Glyph2BLSD program due to timing of our development activities.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summarizes our general and administrative expenses (in thousands):</w:t>
      </w:r>
    </w:p>
    <w:p>
      <w:pPr>
        <w:pStyle w:val="TextBody"/>
        <w:bidi w:val="0"/>
        <w:jc w:val="both"/>
        <w:rPr/>
      </w:pPr>
      <w:r>
        <w:rPr/>
        <w:t> </w:t>
      </w:r>
    </w:p>
    <w:tbl>
      <w:tblPr>
        <w:tblW w:w="9675" w:type="dxa"/>
        <w:jc w:val="left"/>
        <w:tblInd w:w="0" w:type="dxa"/>
        <w:tblLayout w:type="fixed"/>
        <w:tblCellMar>
          <w:top w:w="28" w:type="dxa"/>
          <w:left w:w="28" w:type="dxa"/>
          <w:bottom w:w="28" w:type="dxa"/>
          <w:right w:w="28" w:type="dxa"/>
        </w:tblCellMar>
      </w:tblPr>
      <w:tblGrid>
        <w:gridCol w:w="6091"/>
        <w:gridCol w:w="146"/>
        <w:gridCol w:w="211"/>
        <w:gridCol w:w="677"/>
        <w:gridCol w:w="146"/>
        <w:gridCol w:w="146"/>
        <w:gridCol w:w="211"/>
        <w:gridCol w:w="677"/>
        <w:gridCol w:w="146"/>
        <w:gridCol w:w="146"/>
        <w:gridCol w:w="211"/>
        <w:gridCol w:w="676"/>
        <w:gridCol w:w="1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(excluding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(non-cash)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depreciation, IT,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160" w:right="0" w:firstLine="490"/>
        <w:jc w:val="both"/>
        <w:rPr>
          <w:rFonts w:ascii="Times New Roman" w:hAnsi="Times New Roman"/>
          <w:color w:val="000000"/>
          <w:sz w:val="20"/>
        </w:rPr>
      </w:pPr>
      <w:r>
        <w:rPr>
          <w:rFonts w:ascii="Times New Roman" w:hAnsi="Times New Roman"/>
          <w:color w:val="000000"/>
          <w:sz w:val="20"/>
        </w:rPr>
        <w:t>General and administrative expenses increased by $36.6 million from $10.7 million for the six months ended June 30, 2025 to $47.3 million for the six months ended June 30, 2026. The increase in general and administrative expenses was primarily attributable to:</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$35.4 million of increased costs associated with non-cash stock-based compensation costs primarily due to fully vested awards issued and awards accelerated upon the successful completion of the IPO, as described in previous SEC filings, and additional equity grants issued under our 2024 and 2026 Equity Plans;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$0.7 million of increased employee compensation due to salary adjustments;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$0.3 million of increased facilities, depreciation, IT, and other costs primarily due to increased public company directors and officers insurance costs; and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of increased professional fees primarily due to higher audit, consulting, and board of director fees as a result of operating as a public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ind w:left="160" w:right="0" w:firstLine="490"/>
        <w:jc w:val="both"/>
        <w:rPr>
          <w:rFonts w:ascii="Times New Roman" w:hAnsi="Times New Roman"/>
          <w:color w:val="000000"/>
          <w:sz w:val="20"/>
        </w:rPr>
      </w:pPr>
      <w:r>
        <w:rPr>
          <w:rFonts w:ascii="Times New Roman" w:hAnsi="Times New Roman"/>
          <w:color w:val="000000"/>
          <w:sz w:val="20"/>
        </w:rPr>
        <w:t xml:space="preserve">Other income, net decreased by $0.5 million from $6.6 million for the six months ended June 30, 2025 to $6.1 million for the six months ended June 30, 2026. The decrease in other income, net was primarily attributed to decrease in interest income on our investments and cash equivalents due to the amount of funds invested in interest bearing accounts, offset by an increase in our research and development tax credit as a result of qualifying research and development spend in Australia.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Income tax provision</w:t>
      </w:r>
    </w:p>
    <w:p>
      <w:pPr>
        <w:pStyle w:val="TextBody"/>
        <w:bidi w:val="0"/>
        <w:spacing w:before="120" w:after="283"/>
        <w:ind w:left="160" w:right="0" w:firstLine="490"/>
        <w:jc w:val="both"/>
        <w:rPr>
          <w:rFonts w:ascii="Times New Roman" w:hAnsi="Times New Roman"/>
          <w:color w:val="000000"/>
          <w:sz w:val="20"/>
        </w:rPr>
      </w:pPr>
      <w:r>
        <w:rPr>
          <w:rFonts w:ascii="Times New Roman" w:hAnsi="Times New Roman"/>
          <w:color w:val="000000"/>
          <w:sz w:val="20"/>
        </w:rPr>
        <w:t>Income tax provision increased by $0.6 million from $0.2 million for the six months ended June 30, 2025 to $0.8 million for the six months ended June 30, 2026. The increase in the income tax provision was attributed to foreign income taxes related to our Australian subsidiary primarily as a result of our research and development tax credit and transfer pricing agreement with Seaport Therapeutics, Inc.</w:t>
      </w:r>
    </w:p>
    <w:p>
      <w:pPr>
        <w:pStyle w:val="TextBody"/>
        <w:bidi w:val="0"/>
        <w:ind w:left="160" w:right="0" w:hanging="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Since our inception, we have incurred significant operating losses. During the six months ended June 30, 2026 and 2025, we had a net loss of $88.0 million and $28.2 million, respectively. As of June 30, 2026, we had an accumulated deficit of $202.1 million. We have not generated any revenue from product sales and we do not expect to generate revenue from sales of products in the near term, if at all. We expect to incur significant expenses and operating losses for the foreseeable future as we advance our product candidates into and through clinical development and as we continue to develop additional product candidates. As such, we expect our research and development and general and administrative costs to continue to increase significantly, including the costs associated with operating as a public company.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date we have funded our operations with the aggregate gross proceeds of $326.1 million from the Series A and Series B Financings and aggregate net proceeds of $238.4 million from the sale of shares of common stock in our IPO, after deducting underwriting discounts, commissions and other offering expenses. As of June 30, 2026, we had cash, cash equivalents and investments of $427.3 million. Based on our current operating plans, we believe that our existing cash, cash equivalents and investments will be sufficient to fund our operating expenses and capital expenditure requirements into 2029.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provides information regarding our cash flows for the period presented (in thousands):</w:t>
      </w:r>
    </w:p>
    <w:p>
      <w:pPr>
        <w:pStyle w:val="TextBody"/>
        <w:bidi w:val="0"/>
        <w:jc w:val="left"/>
        <w:rPr/>
      </w:pPr>
      <w:r>
        <w:rPr/>
        <w:t> </w:t>
      </w:r>
    </w:p>
    <w:tbl>
      <w:tblPr>
        <w:tblW w:w="9688" w:type="dxa"/>
        <w:jc w:val="left"/>
        <w:tblInd w:w="0" w:type="dxa"/>
        <w:tblLayout w:type="fixed"/>
        <w:tblCellMar>
          <w:top w:w="28" w:type="dxa"/>
          <w:left w:w="28" w:type="dxa"/>
          <w:bottom w:w="28" w:type="dxa"/>
          <w:right w:w="28" w:type="dxa"/>
        </w:tblCellMar>
      </w:tblPr>
      <w:tblGrid>
        <w:gridCol w:w="5611"/>
        <w:gridCol w:w="146"/>
        <w:gridCol w:w="211"/>
        <w:gridCol w:w="841"/>
        <w:gridCol w:w="166"/>
        <w:gridCol w:w="146"/>
        <w:gridCol w:w="211"/>
        <w:gridCol w:w="841"/>
        <w:gridCol w:w="166"/>
        <w:gridCol w:w="146"/>
        <w:gridCol w:w="211"/>
        <w:gridCol w:w="781"/>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 of exchange rate changes on cash and cash equivalents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Our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Net cash used in operating activities was $46.3 million for the six months ended June 30, 2026 and $35.5 million for the six months ended June 30, 2025, respectively. Cash used in operating activities increased by $10.8 million due to an increase in our operating expenses for the six months ended June 30, 2026, offset by changes in operating assets and liabilities including an increase in our accounts payables balance due to timing of payments.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investing activities was $175.7 million for the six months ended June 30, 2026, compared to $227.0 million for the six months ended June 30, 2025. Cash used in investing activities decreased by $51.3 million, driven by lower purchases of U.S. Treasury securities for the six months ended June 30, 2026, as the amount of IPO net proceeds invested was less than our initial investment purchases for the six months ended June 30, 2025. The decrease also reflects higher maturities of investments for the six months ended June 30, 2026, the proceeds of which were used to fund operations.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provided by financing activities was $240.1 million for the six months ended June 30, 2026, primarily consisting of net proceeds from our IPO. There were no cash flows from financing activities for the six months ended June 30, 2025.</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we had cash, cash equivalents and investments of $427.3 million. Based upon our current operating plans, we believe our cash, cash equivalents and investments as of June 30, 2026, will be sufficient to fund our operations into 2029. We have based this estimate on assumptions that may prove to be wrong, and we could exhaust our available capital resources sooner than we expect.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funding requirements and timing and amount of our operating expenditures will depend on many factors, including:</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and effectiveness of our Glyph platform;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or future product candidates;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any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as applicable;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clinical and commercial supplies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macroeconomic trends including inflation, tariffs, and fluctuating interest rates;</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potential supply chain interruptions or delays;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Asset Transfer Agreement with PureTech</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were incorporated in April 2024 by PureTech LYT, as our sole stockholder, and upon formation issued 318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302,161 shares of our common stock to PureTech LYT. </w:t>
      </w:r>
    </w:p>
    <w:p>
      <w:pPr>
        <w:pStyle w:val="TextBody"/>
        <w:bidi w:val="0"/>
        <w:spacing w:before="120" w:after="283"/>
        <w:ind w:left="0" w:right="0" w:firstLine="490"/>
        <w:jc w:val="both"/>
        <w:rPr/>
      </w:pPr>
      <w:r>
        <w:rPr/>
        <w:t> </w:t>
      </w:r>
    </w:p>
    <w:p>
      <w:pPr>
        <w:pStyle w:val="TextBody"/>
        <w:bidi w:val="0"/>
        <w:spacing w:before="120" w:after="160"/>
        <w:ind w:left="0" w:right="0" w:firstLine="490"/>
        <w:jc w:val="both"/>
        <w:rPr>
          <w:rFonts w:ascii="Times New Roman" w:hAnsi="Times New Roman"/>
          <w:color w:val="000000"/>
          <w:sz w:val="20"/>
        </w:rPr>
      </w:pPr>
      <w:r>
        <w:rPr>
          <w:rFonts w:ascii="Times New Roman" w:hAnsi="Times New Roman"/>
          <w:color w:val="000000"/>
          <w:sz w:val="20"/>
        </w:rPr>
        <w:t xml:space="preserve">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 $500 million to $1 billion: 3.5%; $1 billion to $2.5 billion: 4%; $2.5 billion to $3.5 billion: 4.5%; $3.5 billion or greater: 5%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Monash License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Under the Monash License Agreement, we have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June 30, 2026, the first two development milestones under the Monash License Agreement, totaling $0.2 million, had been achieved and were paid by PureTech, as they occurred prior to our formation. We have since paid the third development milestone of $0.1 million, as well as annual maintenance fees. No other milestone payments have become due or been paid under the Monash License Agreement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Purchase and Other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enter into contracts in the normal course of business with contract research organizations, or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Lease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November 2024, we entered into a lease agreement with a third party for our corporate office space located in Boston, Massachusetts. The lease commenced in December 2024 and has an initial term of approximately six years, expiring in October 2030. The aggregate payments under the full lease total approximately $6.1 million, which will be recognized over the term of the lease.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December 2024, we entered into a laboratory license with a third party for lab space located in Boston, Massachusetts. The license commenced in January 2025 and was for an initial term of 24 months from the commencement date. The aggregate payments under the full license total approximately $1.2 million. In March 2026, we exercised our option to extend the lease for an additional 12 months. The modification resulted in an increase in the aggregate payments under the full license total approximately $0.6 million.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additional information on our contractual obligation and commitments please see Note 8—License and Collaboration Agreements and Note 14—Commitments and Contingencies.</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Critical Accounting Estimates and Significant Judgments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significant accounting policies are described in more detail in Note 2 to our consolidated financial statements included in our IPO prospectus. During the six months ended June 30, 2026, there were no material changes to our critical accounting policies and estimates described under Management’s Discussion and Analysis of Critical Accounting Policies and Estimates which are included in our IPO Prospectus, except that our common stock is now publicly traded and we therefore no longer require common stock valuations.</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Emerging Growth Company and Smaller Reporting Company Status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being permitted to provide only two years of audited financial statements in addition to any required unaudited interim financial statements and a correspondingly reduced “Management’s Discussion and Analysis of Financial Condition and Results of Operations” disclosure in this </w:t>
      </w:r>
      <w:r>
        <w:rPr>
          <w:rFonts w:ascii="Times New Roman" w:hAnsi="Times New Roman"/>
          <w:i/>
          <w:color w:val="000000"/>
          <w:sz w:val="20"/>
        </w:rPr>
        <w:t>Quarterly Report on Form 10-Q</w:t>
      </w:r>
      <w:r>
        <w:rPr>
          <w:rFonts w:ascii="Times New Roman" w:hAnsi="Times New Roman"/>
          <w:color w:val="000000"/>
          <w:sz w:val="20"/>
        </w:rPr>
        <w:t>;</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 pursuant to Section 404 of the Sarbanes-Oxley Act;</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disclosure obligations regarding executive compensation;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shareholder approval of any golden parachute payments not previously approved; and</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exemptions from compliance with the requirements of the Public Company Accounting Oversight Board regarding the communication of critical audit matters in the auditor’s report on the financial statements.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or the Exchange Act) are required to comply with the new or revised financial accounting standards. The JOBS Act provides that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completion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Exchange Act, and pursuant to Item 305 of Regulation S-K, we are not required to provide quantitative and qualitative disclosures about market risk. </w:t>
      </w:r>
    </w:p>
    <w:p>
      <w:pPr>
        <w:pStyle w:val="TextBody"/>
        <w:bidi w:val="0"/>
        <w:spacing w:before="360" w:after="283"/>
        <w:jc w:val="both"/>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on Form 10-Q.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120" w:after="283"/>
        <w:ind w:left="0" w:right="0" w:firstLine="36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probable to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ind w:left="0" w:right="0" w:firstLine="490"/>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consider and read carefully all of the risks and uncertainties described below, as well as the other information in this Quarterly Report on Form 10-Q, including “Management’s Discussion and Analysis of Financial Condition and Results of Operations,” our </w:t>
      </w:r>
      <w:r>
        <w:rPr>
          <w:rFonts w:ascii="Times New Roman" w:hAnsi="Times New Roman"/>
          <w:color w:val="000000"/>
          <w:sz w:val="20"/>
        </w:rPr>
        <w:t xml:space="preserve">condensed </w:t>
      </w:r>
      <w:r>
        <w:rPr>
          <w:rFonts w:ascii="Times New Roman" w:hAnsi="Times New Roman"/>
          <w:i/>
          <w:color w:val="000000"/>
          <w:sz w:val="20"/>
        </w:rPr>
        <w:t>consolidated financial statements and the related notes included elsewhere in this Quarterly Report on Form 10-Q and our audited consolidated financial statements and related notes included in the IPO Prospectus,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This Quarterly Report on Form 10-Q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Limited Operating History, Financial Condition, and Need for Additional Capital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hAnsi="Times New Roman"/>
          <w:color w:val="000000"/>
          <w:sz w:val="10"/>
        </w:rPr>
        <w:t></w:t>
      </w:r>
      <w:r>
        <w:rPr>
          <w:rFonts w:ascii="Times New Roman" w:hAnsi="Times New Roman"/>
          <w:color w:val="000000"/>
          <w:sz w:val="20"/>
        </w:rPr>
        <w:t xml:space="preserve"> platform and technology, identifying potential product candidates, securing intellectual property rights, and planning and undertaking preclinical studies and clinical trials. Our Glyph platform was being developed by members of our current team during their tenure at PureTech up to the date of our entry into an Asset Transfer Agreement, or the Asset Transfer Agreement, with PureTech Health LLC, or PureTech Health, and PureTech LYT, Inc., or PureTech LYT, at which time we became a standalone company.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preclinical and early clinical development of GlyphAllo</w:t>
      </w:r>
      <w:r>
        <w:rPr>
          <w:rFonts w:ascii="Times New Roman" w:hAnsi="Times New Roman"/>
          <w:color w:val="000000"/>
          <w:sz w:val="10"/>
        </w:rPr>
        <w:t>TM</w:t>
      </w:r>
      <w:r>
        <w:rPr>
          <w:rFonts w:ascii="Times New Roman" w:hAnsi="Times New Roman"/>
          <w:color w:val="000000"/>
          <w:sz w:val="20"/>
        </w:rPr>
        <w:t xml:space="preserve"> , certain preclinical development of GlyphAgo</w:t>
      </w:r>
      <w:r>
        <w:rPr>
          <w:rFonts w:ascii="Times New Roman" w:hAnsi="Times New Roman"/>
          <w:color w:val="000000"/>
          <w:sz w:val="10"/>
        </w:rPr>
        <w:t>TM</w:t>
      </w:r>
      <w:r>
        <w:rPr>
          <w:rFonts w:ascii="Times New Roman" w:hAnsi="Times New Roman"/>
          <w:color w:val="000000"/>
          <w:sz w:val="20"/>
        </w:rPr>
        <w:t xml:space="preserve">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 have no products approved for commercial sale and have not generated any revenue from product sales or collaboration arrangements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$88.0 million and $28.2 million for the six months ended June 30, 2026 and 2025, respectively. As of June 30, 2026, we have not yet generated product or collaboration revenue and had an accumulated deficit of $202.1 million.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initiation and completion of preclinical studies with favorable results, including toxicology and other studies designed to be compliant with good laboratory practice, or GLP, requirements;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initiation, enrollment, and completion of clinical studies in accordance with good clinical practice, or GCPs, requirements and other applicable rules and regulations;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frequency and severity of adverse events, or AEs, observed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and establishing relationships with contract research organizations, or CROs, and clinical sites for the clinical development of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demonstrating the safety and efficacy of our product candidates to the satisfaction of the FDA and other applicable regulatory authorities;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including approvals of New Drug applications, or NDAs, from the FDA, and maintaining any such approvals;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making arrangements with third-party manufacturers for, or establishing, clinical or commercial manufacturing capabilities;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 candidates, if and when approved, either alone or in collaboration with others;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establishing, and maintaining patent and trade secret protection or regulatory exclusivity for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an acceptable safety profile of our product candidates following regulatory approval, if any;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and growing an organization of people who can develop and, if approved, commercialize, market and sell our product candidates, if approved;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acceptance of our product candidates, if approved, by patients, the medical community and third-party payors.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advance our product candidates through preclinical and clinical development, including advancing GlyphAllo</w:t>
      </w:r>
      <w:r>
        <w:rPr>
          <w:color w:val="000000"/>
        </w:rPr>
        <w:t xml:space="preserve"> </w:t>
      </w:r>
      <w:r>
        <w:rPr>
          <w:rFonts w:ascii="Times New Roman" w:hAnsi="Times New Roman"/>
          <w:color w:val="000000"/>
          <w:sz w:val="20"/>
        </w:rPr>
        <w:t xml:space="preserve">and GlyphAgo through later-stage clinical trials, and other candidates through discovery and early clinical and preclinical stages;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approvals for our product candidates that successfully complete clinical trials from the U.S. Food and Drug Administration, or the FDA, and/or other foreign comparable regulatory authorities;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hire additional clinical, quality control, medical, scientific, and other technical personnel to support the clinical development of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 our internal capabilities to support clinical-stage development;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 our headcount as we expand our research and development organization, and pre-commercial planning activities;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undertake any activities to establish sales, marketing, and distribution capabilities in preparation for commercialization, as applicable, including hiring additional personnel to support such operations;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to identify, acquire, and develop additional product candidates where we can leverage our Glyph platform, including through business development efforts to invest in or in-license other technologies or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experience heightened regulatory scrutiny;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milestone, royalty, or other payments due under the Asset Transfer Agreement and/or the License Agreement with Monash University, or the Monash License Agreement, and any future in-license or collaboration agreements with third parties;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legal, accounting, and other expenses associated with operating as a public company.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Developing therapeutic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and our IPO. We expect our expenses to increase in connection with our ongoing activities, particularly as we continue the clinical and preclinical development of our product candidates, continue to identify additional targets using our Glyph platform, commence additional preclinical studies and clinical trials, and continue to identify and develop additional product candidates either through internal development or through acquisitions or in-licensing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we had $427.3 million of cash, cash equivalents and investments. Based upon our current operating plan, we believe that our existing cash, cash equivalents, and investments, will enable us to fund our operating expenses and capital expenditure requirements into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timing, progress, costs, and results of discovery, preclinical development and clinical trials for our current or future product candidates and effectiveness of our Glyph platform;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clinical trials required for regulatory approval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any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as applicable;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clinical and commercial supplies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receive marketing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macroeconomic trends including inflation, tariffs, and fluctuating interest rates;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potential supply chain interruptions or delays;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expect to continue incurring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with our existing cash, cash equivalents, and investments, the net proceeds from this offering, any future equity, debt, royalty, other financings, or any future proceeds received under any licenses or collaborations, if any.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not have the financial resources to continue development of our product candidates if we experience any issues that delay or prevent regulatory approval of, or our ability to commercialize, our product candidates,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demonstrate to the satisfaction of the FDA or other comparable regulatory authorities that our product candidates are safe and effective;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insufficiency of our financial and other resources to complete the necessary clinical trials and preclinical studies;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negative or inconclusive results from our clinical trials, preclinical studies, or the clinical trials of others for product candidates similar to ours, leading to a decision or requirement to conduct additional clinical trials or preclinical studies, or abandon a program;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product-related AEs experienced by subjects in our clinical trials, including unexpected toxicity results, or by individuals using drugs or therapeutic biologics similar to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conditions imposed by the FDA or other comparable regulatory authorities regarding the scope or design of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poor effectiveness of our product candidates during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enrolling subjects in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 drop-out rates of subjects from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inadequate supply or quality of product candidates or other materials necessary for the conduct of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than anticipated clinical trial or manufacturing costs;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FDA or other comparable regulatory authority inspection and review of our clinical trial sites, manufacturing sites, or those of our partners;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of our third-party contractors or investigators to comply with regulatory requirements or the clinical trial protocol or otherwise meet their contractual obligations in a timely manner, or at all;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with existing platforms, product candidates, or therapies;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and changes in regulatory requirements, policies, and guidelines, including the imposition of additional regulatory oversight around clinical testing generally or with respect to our therapies in particular;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insufficiency of our financial and other resources to complete the necessary activities to prepare for launch, commercialization and/or resources to address coverage and reimbursement matters to the extent any of our products receive approval; or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varying interpretations of data by the FDA or other comparable regulatory authorities.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do not know whether our planned clinical trials will begin on time or be completed on schedule, if at all. The timing for commencement, data readouts, and completion of clinical trials can be delayed for a number of reasons, including delays related to: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allowance or approval from regulatory authorities to commence a trial or reaching a consensus with regulatory authorities on trial design;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disagreeing as to the design or implementation of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failure or delay in reaching an agreement with CROs and clinical trial sites, the terms of which can be subject to extensive negotiation and may vary significantly among different CROs and trial sites;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approval from one or more institutional review boards, or IRBs, or ethics committees at clinical trial sites;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IRBs refusing to approve, suspending, or terminating the trial at an investigational site, precluding enrollment of additional subjects, or withdrawing their approval of the trial;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or amendments to the clinical trial protocol;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sites deviating from the trial protocol or dropping out of a trial;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by our CROs to perform in accordance with GCP requirements or applicable regulatory rules and guidelines in other countries;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sufficient quantities of our product candidates for use in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subjects failing to enroll or remain in our trials at the rate we expect, or failing to return for post-treatment follow-up, including subjects failing to remain in our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choosing an alternative product for the indications for which we are developing our product candidates, or participating in competing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lack of adequate funding to continue a clinical trial or costs being greater than we anticipate;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subjects experiencing severe or serious unexpected drug-related AEs;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occurrence of serious AEs in trials of the same class of agents conducted by other companies that could be considered similar to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extended analysis of the resulting data;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 parties being unwilling or unable to satisfy their contractual obligations to us in a timely manner.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is being evaluated in an ongoing Phase 1 trial and we intend to advance GlyphAgo into parallel Phase 2a and Phase 2b clinical trials. Our third product candidate, Glyph2BLSD, is in preclinical studies and our other programs are at various stages of discovery and preclinical development.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We may publish privacy policies and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Discovery and Development of Our Current or Future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preclinical studies and clinical trials to demonstrate the safety and efficacy of our product candidates in humans before we will be able to obtain these approvals.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current and future product candidates could fail to receive regulatory approval for many reasons, including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disagree as to the design or implementation of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other comparable regulatory authorities that a product candidate is safe and effective for its proposed indication;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other comparable regulatory authorities for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disagree with our interpretation of data from clinical trials or preclinical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to the FDA or other submission or to obtain regulatory approval in the United States, the European Union or elsewhere;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 The revisions may, however, have a significant impact on the pharmaceutical industry and our business in the long term.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FDA or other comparable regulatory authorities may disagree with our regulatory plan for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not file or accept our NDA or marketing application for substantive review;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disagree with the dosing regimen, design, or implementation of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determine there is not substantial evidence of effectiveness to support approval;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or other comparable regulatory authorities that our product candidates are safe and effective for any of their proposed indications;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clinical trials may not meet the level of statistical significance required by the FDA or other comparable regulatory authorities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our product candidates’ clinical and other benefits outweigh their safety risks;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disagree with our interpretation of data from preclinical studies or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comparable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approval policies or regulations of the FDA or other comparable regulatory authorities may significantly change in a manner rendering our clinical data insufficient for approval.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may not translate to similar results in patients, and results from our initial studies in healthy volunteers may not translate to clinical trials in patients with MDD or GAD.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we may in the future utilize an “open-label” clinical trial design for certain of our future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believed their product candidates performed satisfactorily in preclinical studies and clinical trials nonetheless failed to obtain FDA or other comparable regulatory authority approval.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incur unexpected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must demonstrate through extensive preclinical studies and clinical trials that our product candidates are safe and effective in humans. We have and may in the future experience delays in our clinical trials or preclinical studies and initiating or completing additional clinical trials or preclinical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IRBs, or other reviewing bodies may not authorize us or our investigators to commence a clinical trial, to conduct, or continue a clinical trial at a prospective or specific trial site;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including those manufacturing our product candidates or conducting clinical trials on our behalf, may fail to comply with regulatory requirements or meet their contractual obligations to us in a timely manner or at all;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to amend clinical trial protocols submitted to regulatory authorities or conduct additional studies to reflect changes in regulatory requirements or guidance, which may be required to resubmit to an IRB and regulatory authorities for re-examination;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for approval policies or regulations of the FDA, or other comparable regulatory authorities to significantly change in a manner rendering our clinical data insufficient for 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 healthy volunteers. We continue to learn more about our product candidates, and unfavorable profiles could lead to adverse outcomes or concerns by the FDA or other comparable regulatory authorities.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 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suspend marketing of a product, or we may decide to remove such product from the marketplace;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withdraw or change their approvals of a product;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additional warnings on the label or limit access of a product to selective specialized centers with additional safety reporting and with requirements that patients be geographically close to these centers for all or part of their treatment;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a product for patients, or to conduct post-marketing studies;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change the way a product is administered;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subject to fines, injunctions, or the imposition of criminal or civil penalties, or be sued and held liable for harm caused to subjects or patients;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may become less competitive, and our reputation may suffer.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team expects to rely, in addition to in-house regulatory personnel, on third-party CROs and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any product candidates we may develop, the commercial prospects for those product candidates may be harmed, and our ability to generate revenues will be materially impaired.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available capital resources or capital constraints we experience;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rate of progress, costs and results of our clinical trials and research and development activities, including the extent of scheduling conflicts with participating clinicians and collaborators;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identify and enroll patients who meet clinical trial eligibility criteria;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receipt of approvals by the FDA and other comparable regulatory authorities and the timing thereof;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actions, decisions, or rules issued by regulators;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access sufficient, reliable and affordable supplies of materials used to manufacture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efforts of our collaborators with respect to the commercialization of our product candidates;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securing of, costs related to, and timing issues associated with, product manufacturing as well as sales and marketing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development and commercialization of our product candidates may be delayed, and our business, financial condition, and results of operations may be harmed.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have concentrated our research and development efforts on the treatment of disorders of the brain and central nervous system, a field that faces certain challenges in drug development.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Patient enrollment is a significant factor impacting the duration of our clinical trials, along with treatment duration and completion of required follow-up periods. 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Patient enrollment is affected by many factors,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misrepresentation of their eligibility or non-compliance with the clinical trial protocol, resulting in the need to drop such patients from the clinical trial, increase the needed enrollment size for the clinical trial, or extend the clinical trial’s duration;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approval of new indications for existing therapies or approval of new therapies in general;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competing clinical trials and clinicians’ and patients’ perceptions as to the potential advantages and risks of the product candidate being studied in relation to other available therapies, including any new drugs that may be approved for the indications that we are investigating;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continued enrollment of prospective patients by clinical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 that patients enrolled in our clinical trials will drop out of the trials before completion.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conduct clinical trials for our product candidates outside of the United States and the FDA may not accept data from such trials, in which case our development plans may be delayed, which could materially harm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 in development for the treatment of neuropsychiatric and headache disorders with significant unmet need,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 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efficacy and safety of the product, including as compared to any more-established products or other alternative products that may later be approved;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advantages of the product compared to competitive therapies;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indications for which the product is approved, if any;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the product is designated under physician treatment guidelines as a first-, second- or third-line therapy;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or the ability of any future collaborators, to offer the product for sale at competitive prices;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product’s convenience and ease of administration compared to alternative treatments;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and of physicians to prescribe, the product;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pay all, or a portion of, out-of-pocket costs associated with the product in the absence of sufficient third-party coverage and adequate reimbursement;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product’s acceptance into standard of care treatment algorithms by medical societies that could limit payor and physician uptake;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including distribution or use restrictions contained in the product’s approved labeling;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strength of sales, marketing, and distribution support;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standard of care for the targeted indications for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and adequacy of coverage and reimbursement from government payors, managed care plans, and other third-party payors, including any price concessions required by third-party payors to obtain coverage;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product liability claims;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publicity relating to the product, or favorable publicity about competitive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failure by one or more of our product candidates that obtains regulatory approval to achieve market acceptance or commercial success would adversely affect our business prospects.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fail to discover, develop, and commercialize other product candidates, we may be unable to grow our business and our ability to achieve our strategic objectives would be impaired.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preclinical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methodology used may not be successful in identifying potential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candidates that we develop may nevertheless be covered by third parties’ patents or other exclusive rights;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future acquisitions may entail numerous operational and financial risks,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disruption of our business and diversion of management’s time and attention to develop acquired products or technologies;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incurrence of substantial debt, dilutive issuances of securities or depletion of cash to pay for acquisitions;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difficulty in combining the operations and personnel of any acquired businesses with our operations and personnel;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associated with entering new markets in which we have limited or no experience;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to motivate key employees of any acquired businesses.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are unsuccessful in identifying and developing additional product candidates, either through internal development or licensing or acquisition from third parties, our potential for growth and achieving our strategic objectives may be impaired.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are unable to develop our sales, marketing, and distribution capability on our own or through collaborations with marketing partners, we will not be successful in commercializing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Factors that may inhibit our efforts to commercialize our product candidates on our own include: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and marketing personnel;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sales personnel to obtain access to or our failure to educate an adequate number of physicians on the benefits of any future products;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can be no assurance that we will be able to develop in-house sales and distribution capabilities or establish or maintain relationships with third-party collaborators to commercialize any product in the United States or overseas. If we do not establish sales and marketing capabilities successfully, either on our own or in collaboration with third parties, we will not be successful in commercializing our product candidates.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Employee Matters and Managing Growth</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We expect to expand our organization,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June 30, 2026, we had 58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ability to develop product candidates, leverage our Glyph platform and our future growth depends on attracting, hiring, and retaining our key personnel and recruiting additional qualified personnel.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relied upon and plan to continue to rely on third parties, such as CROs, clinical data management organizations, medical institutions and clinical investigators, to conduct our clinical trials and preclinical studies and expect to rely on these third parties to conduct clinical trials and preclinical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impact our ability to meet our expected clinical development timelines and harm our business, financial condition, results of operations, and prospects.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if we are able to establish and maintain arrangements with third-party manufacturers, reliance on third-party manufacturers entails additional risks,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of the third-party manufacturer to comply with applicable regulatory requirements and reliance on third parties for manufacturing process development, regulatory compliance, and quality assurance;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delays if our third-party manufacturers give greater priority to the supply of other products over our product candidates or otherwise do not satisfactorily perform according to the terms of the agreement between us;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supply availability resulting from capacity and scheduling constraints of third parties;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of the third-party manufacturer to produce materials with acceptable quality on a larger scale;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breach of manufacturing agreements by third parties because of factors beyond our control;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termination or non-renewal of the manufacturing agreements by the third party, at a time that is costly or inconvenient to us;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enter into collaborations with third parties for the development and/or commercialization of our product candidates, our prospects with respect to those product candidates will depend in significant part on the success of those collaborations.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Collaborations involving our product candidates pose a number of risks, including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 marketing and distribution of such product or products;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product recalls;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withdrawal of approvals;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assure ultimate approval by the FDA. In addition, even if any product candidate we develop qualifies as a breakthrough therapy, the FDA may later decide that the drug no longer meets the conditions for qualification and rescind the designation.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Where appropriate, we may secure approval from the FDA or other comparable regulatory authorities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Prior to seeking accelerated approval, we would seek feedback from the FDA or other comparable regulatory authorities and would otherwise evaluate our ability to seek and receive such accelerated approval.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Certain of our product candidates may be regulated as controlled substances, the making, use, sale, importation, exportation, and distribution of which are subject to significant regulation by the U.S. Drug Enforcement Administration and other regulatory agencies.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For any of our product candidates that may be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in our IPO Prospectus.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our business practices or operations are found to be in violation of any of fraud and abuse, or other healthcare laws or governmental laws, regulations, agency guidance, or case law that may apply to us, we may be 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if we obtain coverage for a given product, if approved, the resulting reimbursement payment rates might not be adequate for us to achieve or sustain profitability or may require cost-sharing (e.g., co-payments or 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 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business could be affected by litigation, government investigations and enforcement actions.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current and any future employees, independent contractors, consultants, CMOs, and vendors. Misconduct by these parties could include 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FDA and other comparable regulatory authorities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EU drug marketing and reimbursement regulations may materially affect our ability to market and receive coverage for our products in the EU Member States.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 to protect our product candidates or otherwise provide any competitive advantage. Other parties have developed or may develop technologies that may be related to or competitive with our approach, and may have filed or may file patent applications and may have been issued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patent position of pharmaceutical and biotechnology companies carries uncertainty. As a result, the issuance, scope, validity, enforceability and commercial value of our patent rights are characterized by uncertainty.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 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 applications may not result in any patents being issued, or even if issued may not provide adequate patent coverage to prevent a competitor from developing a competing product or otherwise provide us with any competitive advantage;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company-owned or in-licensed patents that have been issued or may be issued in the future may be challenged, invalidated, modified, revoked, circumvented, found to be unenforceable or otherwise may not provide any competitive advantage;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competitors, some of which may have substantially greater resources, may seek or may have already obtained patents that will limit, interfere with or eliminate our ability to make, use, and sell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countries other than the United States may have patent laws less favorable to patentees than those upheld by U.S. courts, allowing foreign competitors a better opportunity to create, develop and market competing products;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countries other than the U.S. may, under certain circumstances, force us to grant a license under our patents to a competitor, thus allowing the competitor to compete with us in that jurisdiction or forcing us to lower the price of our drug in that jurisdiction;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could also be delays at the USPTO caused by staffing cuts and other U.S. government actions as a result of the U.S. Department of Government Efficiency or other executive actions to reduce the size of the U.S. government.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noted above, the Monash License Agreement imposes, and we expect that future license agreements will impose, diligence obligations, milestone and royalty payments, indemnification and other obligations on us. If we 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Disputes may arise between us and our current or future licensors regarding intellectual property subject to a license agreement,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or other obligations under the license agreement;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misappropriate or otherwise violate intellectual property of the licensor that is not subject to the licensing agreement;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patents and other rights to third parties;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diligence obligations under the license agreement and what activities satisfy those diligence obligations;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transfer or assign the license;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current or future licensors and us and our partners;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disputes over intellectual property that we have licensed, or license in the future, prevent or impair our ability to maintain our current licensing arrangements on acceptable terms, we may be unable to successfully develop and commercialize the affected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 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need to acquire or license additional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It is difficult and costly to protect our intellectual property and our proprietary technologies, and we may not be able to ensure their protection.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generate sufficient data to support full patent applications that protect the entire breadth of developments in one or more of our programs;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pending applications issue as patents, they may be challenged by third parties as invalid or unenforceable under United States or foreign laws;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successfully commercialize our product candidates, if approved, before our relevant patents expire;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the first to file patent applications for the inventions covered by our patent portfolio; or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develop additional proprietary technologies that are separately patentable.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Patent terms may be inadequate to protect our competitive position on our products for an adequate amount of time.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Changes in the interpretation of patent law in the United States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hAnsi="Times New Roman"/>
          <w:i/>
          <w:color w:val="000000"/>
          <w:sz w:val="20"/>
        </w:rPr>
        <w:t>In re Cellect, LLC</w:t>
      </w:r>
      <w:r>
        <w:rPr>
          <w:rFonts w:ascii="Times New Roman" w:hAnsi="Times New Roman"/>
          <w:color w:val="000000"/>
          <w:sz w:val="20"/>
        </w:rPr>
        <w:t xml:space="preserve"> involving the interaction of patent term adjustment, or PTA, terminal disclaimers, and obviousness-type double patenting which may affect 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not be able to seek or obtain patent protection throughout the world or enforce such patent protection once obtained.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current and future product candidates.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technology platform as a result of patent infringement claims asserted against us. This could have a material adverse effect on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stop selling, manufacturing or using our products in the United States or other jurisdictions that use the intellectual property at issue;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redesign those products or processes that use any allegedly infringing or misappropriated technology, which may result in significant cost or delay to us, or which redesign could be technically infeasible; or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pay damages, including the possibility of treble damages in a patent case if a court finds us to have willfully infringed certain intellectual property rights.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Others may challenge inventorship or claim an ownership interest in our intellectual property which could expose it to litigation and have a significant adverse effect on its prospects.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Any intellectual property litigation could lead to unfavorable publicity that could harm our reputation and cause the market price of our common stock to decline.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be subject to claims that our employees or we have misappropriated intellectual property from a competitor or third parties or claiming ownership of what we regard as our own intellectual property.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materially adversely affected and our business would be harmed.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maybe available to us, those defenses may not be available to a commercial partner or acquiror.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of theft of trade secrets, including through direct intrusion by private parties or foreign actors, and those affiliated with or controlled by state actors.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trademarks of interest and our business may be adversely affected.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Any future collaborations that we enter into may not be successful. The success of our collaboration arrangements will depend heavily on the efforts and activities of our collaborators. Collaborations are subject to numerous risks, which may include that: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may arise between us and a collaborator that causes the delay or termination of the research, development or commercialization of our current or future products or that results in costly litigation or arbitration that diverts management attention and resources;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collaborations;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otherwise not perform satisfactorily in carrying out these activities;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grant exclusive rights to our collaborators that would prevent us from collaborating with others;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use our intellectual property or proprietary information in a way that gives rise to actual or threatened litigation that could jeopardize or invalidate our intellectual property or proprietary information or expose us to potential liability or business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current or future product or products;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An active trading market may not be sustained for our common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Although our common stock is listed on The Nasdaq Global Select Market, an active or liquid market in our common stock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trading price of our common stock may be volatile, and you could lose all or part of your investment.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trading price of our common stock is highly volatile and could be subject to wide fluctuations in response to various factors, some of which are beyond our control, including limited trading volume. In addition to the factors discussed in this section and elsewhere in this Quarterly Report on Form 10-Q, these factors include: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commencement, enrollment, completion, or results of our current or future preclinical and clinical trials for our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delay in identifying and advancing a clinical candidate for our other programs;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results or delays, suspensions, or terminations in future preclinical studies or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of our product candidates, or the failure of a regulatory authority to accept data from preclinical studies or clinical trials conducted in other countries;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or regulations applicable to our product candidates, including but not limited to clinical trial requirements for approvals;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developments concerning our manufacturers;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the healthcare payment systems;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obtain adequate product supply for any approved product or inability to do so at acceptable prices;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establish strategic partnerships or collaborations, if needed;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to commercialize our product candidates, if approved;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unanticipated serious safety concerns related to any of our current or future product candidates;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introduction of new products or services offered by us or our competitors;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effectively manage our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variations in quarterly operating results;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position;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publication of research reports about us or our industry, or product candidates in particular, or positive or negative recommendations or withdrawal of research coverage by securities analysts;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overall performance of the equity markets;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or our stockholders in the future;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accounting practices;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political and economic conditions;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due to a variety of factors, many of which are outside of our control and may be difficult to predict,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if approved, commercialization activities relating to our current and future product candidates, which may change from time to time;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status of enrollment for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manufacturing our product candidates, as well as building out our supply chain, which may vary depending on the quantity of production and the terms of our agreements with manufacturers;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 candidates and technologies;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timing and amount of any milestone, royalty, or other payments due under any collaboration or license agreement, including the Asset Transfer Agreement and/or the Monash License Agreement;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partners;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receipt of approvals for our product candidates from regulatory authorities in the United States and internationally;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exchange rate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coverage and reimbursement policies with respect to our product candidates, if approved, and potential future drugs that compete with our products;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demand for our product candidates, if approved, which may vary significantly over time.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 </w:t>
      </w:r>
    </w:p>
    <w:p>
      <w:pPr>
        <w:pStyle w:val="TextBody"/>
        <w:bidi w:val="0"/>
        <w:spacing w:before="120" w:after="283"/>
        <w:ind w:left="0" w:right="0" w:firstLine="490"/>
        <w:jc w:val="both"/>
        <w:rPr/>
      </w:pPr>
      <w:r>
        <w:rPr/>
        <w:t> </w:t>
      </w:r>
    </w:p>
    <w:p>
      <w:pPr>
        <w:pStyle w:val="TextBody"/>
        <w:bidi w:val="0"/>
        <w:ind w:left="0" w:right="0" w:firstLine="720"/>
        <w:jc w:val="left"/>
        <w:rPr>
          <w:rFonts w:ascii="Times New Roman" w:hAnsi="Times New Roman"/>
          <w:b/>
          <w:i/>
          <w:color w:val="000000"/>
          <w:sz w:val="20"/>
        </w:rPr>
      </w:pPr>
      <w:r>
        <w:rPr>
          <w:rFonts w:ascii="Times New Roman" w:hAnsi="Times New Roman"/>
          <w:b/>
          <w:i/>
          <w:color w:val="000000"/>
          <w:sz w:val="20"/>
        </w:rPr>
        <w:t>Our executive officers, directors, principal stockholders, and their respective affiliates own a significant percentage of our stock and will be able to exert significant control over matters subject to stockholder approval.</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Our executive officers, directors, principal stockholders, and their respective affiliates collectively own a significant percentage of our outstanding stock. As a result, any stockholders who own more than 5% or more of our capital stock,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120"/>
        <w:ind w:left="0" w:right="0" w:firstLine="720"/>
        <w:jc w:val="left"/>
        <w:rPr>
          <w:rFonts w:ascii="Times New Roman" w:hAnsi="Times New Roman"/>
          <w:sz w:val="20"/>
        </w:rPr>
      </w:pPr>
      <w:r>
        <w:rPr>
          <w:rFonts w:ascii="Times New Roman" w:hAnsi="Times New Roman"/>
          <w:b/>
          <w:i/>
          <w:color w:val="000000"/>
          <w:sz w:val="20"/>
        </w:rPr>
        <w:t>Future sales of our common stock in the public market could cause our stock price to fall.</w:t>
      </w:r>
      <w:r>
        <w:rPr>
          <w:rFonts w:ascii="Times New Roman" w:hAnsi="Times New Roman"/>
          <w:color w:val="000000"/>
          <w:sz w:val="20"/>
        </w:rPr>
        <w:t xml:space="preserve">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Our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120"/>
        <w:ind w:left="0" w:right="0" w:firstLine="720"/>
        <w:jc w:val="left"/>
        <w:rPr>
          <w:rFonts w:ascii="Times New Roman" w:hAnsi="Times New Roman"/>
          <w:sz w:val="20"/>
        </w:rPr>
      </w:pPr>
      <w:r>
        <w:rPr>
          <w:rFonts w:ascii="Times New Roman" w:hAnsi="Times New Roman"/>
          <w:color w:val="000000"/>
          <w:sz w:val="20"/>
        </w:rPr>
        <w:t>All shares of common stock sold in our IPO are be freely tradable without restriction or further registration under the Securities Act of 1933, as amended, or the Securities Act, unless held by our “affiliates” as defined in Rule 144 under the Securities Act. The resale of the remaining 38,029,523 shares, or 98% of our outstanding shares of common stock following our IPO,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the IPO. However, subject to applicable securities law restrictions, these shares will be able to be sold in the public market beginning on the 18</w:t>
      </w:r>
      <w:r>
        <w:rPr>
          <w:rFonts w:ascii="Times New Roman" w:hAnsi="Times New Roman"/>
          <w:color w:val="000000"/>
          <w:sz w:val="9"/>
        </w:rPr>
        <w:t>st</w:t>
      </w:r>
      <w:r>
        <w:rPr>
          <w:rFonts w:ascii="Times New Roman" w:hAnsi="Times New Roman"/>
          <w:color w:val="000000"/>
          <w:sz w:val="20"/>
        </w:rPr>
        <w:t xml:space="preserve"> day after the date of our IPO.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w:t>
      </w:r>
    </w:p>
    <w:p>
      <w:pPr>
        <w:pStyle w:val="TextBody"/>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ind w:left="0" w:right="0" w:firstLine="720"/>
        <w:jc w:val="left"/>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stock incentive plans or otherwise will dilute all other stockholders.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 classified board of directors such that only one of three classes of directors is elected each year;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 the manner in which stockholders can remove directors from our board of directors;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advance notice requirements for stockholder proposals that can be acted on at stockholder meetings and nominations to our board of directors;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the approval of not less than two-thirds of the votes that all our stockholders would be entitled to cast to amend or repeal specified provisions of our amended and restated certificate of incorporation or amended and restated bylaws.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amended and restated bylaws provides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not be able to maintain a listing of our common stock on Nasdaq.</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Because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The structure of our common stock may limit your ability to influence corporate matters and may limit your visibility with respect to certain transactions.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structure of our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amended and restated certificate of incorporation.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sz w:val="20"/>
        </w:rPr>
      </w:pPr>
      <w:r>
        <w:rPr>
          <w:rFonts w:ascii="Times New Roman" w:hAnsi="Times New Roman"/>
          <w:b/>
          <w:color w:val="000000"/>
          <w:sz w:val="20"/>
        </w:rPr>
        <w:t>Other General Risks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recent military action in Iran and effects thereof, the ongoing conflicts in the Middle East and between Russia and Ukraine, terrorism, political unrest,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 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or the third parties upon whom we depend, may be adversely affected by natural disasters, public health crises, or other business interruptions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us less attractive to investors.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being permitted to provide only two years of audited financial statements in addition to any required unaudited interim financial statements and a correspondingly reduced “</w:t>
      </w:r>
      <w:r>
        <w:rPr>
          <w:rFonts w:ascii="Times New Roman" w:hAnsi="Times New Roman"/>
          <w:i/>
          <w:color w:val="000000"/>
          <w:sz w:val="20"/>
        </w:rPr>
        <w:t>Management’s Discussion and Analysis of Financial Condition and Results of Operations</w:t>
      </w:r>
      <w:r>
        <w:rPr>
          <w:color w:val="000000"/>
        </w:rPr>
        <w:t xml:space="preserve">” </w:t>
      </w:r>
      <w:r>
        <w:rPr>
          <w:rFonts w:ascii="Times New Roman" w:hAnsi="Times New Roman"/>
          <w:color w:val="000000"/>
          <w:sz w:val="20"/>
        </w:rPr>
        <w:t xml:space="preserve">disclosure in this Quarterly Report on Form 10-Q;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in the assessment of our internal control over financial reporting pursuant to of Section 404 of the Sarbanes-Oxley Act;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disclosure obligations regarding executive compensation;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shareholder approval of any golden parachute payments not previously approved;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exemptions from compliance with the requirements of the Public Company Accounting Oversight Board regarding the communication of critical audit matters in the auditor’s report on the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 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have incurred, and will continue to incur, significant increased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rules and regulations applicable to public companies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our IPO.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of December 31, 2025, we had approximately $53.4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$53.7 million of state NOLs. As of December 31, 2025, we had approximately $2.9 million of federal research and development tax credit carryforwards. Federal tax credit carryforwards expire at various dates beginning in 2044. As of December 31, 2025, we had approximately $1.0 million of state research and development tax credit carryforwards. The state tax credits carryforwards expire at various dates beginning in 2039.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Changes in tax law could adversely affect our business and financial condition.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applicable privacy and data security obligations may require us to notify relevant stakeholders of a cyber-attack, security breach, compromise, or other adverse impact to our and our third-party service provider’s 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 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Clinical trial and product liability lawsuits against us could divert our resources and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termination of clinical trials;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costs to defend any related litigation;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120" w:after="283"/>
        <w:ind w:left="49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283"/>
        <w:ind w:left="0" w:right="0" w:firstLine="490"/>
        <w:jc w:val="both"/>
        <w:rPr>
          <w:rFonts w:ascii="Times New Roman" w:hAnsi="Times New Roman"/>
          <w:sz w:val="20"/>
        </w:rPr>
      </w:pPr>
      <w:r>
        <w:rPr>
          <w:rFonts w:ascii="Times New Roman" w:hAnsi="Times New Roman"/>
          <w:b/>
          <w:i/>
          <w:color w:val="000000"/>
          <w:sz w:val="20"/>
        </w:rPr>
        <w:t>We may become involved in litigation that could divert management’s attention and harm our business, and insurance coverage may not be sufficient to cover all costs and damages.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5" w:name="item_2_unregistered_sales"/>
      <w:bookmarkEnd w:id="15"/>
      <w:r>
        <w:rPr>
          <w:rFonts w:ascii="Times New Roman" w:hAnsi="Times New Roman"/>
          <w:b/>
          <w:color w:val="000000"/>
          <w:sz w:val="20"/>
        </w:rPr>
        <w:t>Item 2. Unregistered Sales of Equity Securities and Use of Proceeds.</w:t>
      </w:r>
    </w:p>
    <w:p>
      <w:pPr>
        <w:pStyle w:val="TextBody"/>
        <w:bidi w:val="0"/>
        <w:spacing w:before="120" w:after="283"/>
        <w:ind w:left="0" w:right="0" w:firstLine="360"/>
        <w:jc w:val="both"/>
        <w:rPr>
          <w:rFonts w:ascii="Times New Roman" w:hAnsi="Times New Roman"/>
          <w:b/>
          <w:i/>
          <w:color w:val="000000"/>
          <w:sz w:val="20"/>
        </w:rPr>
      </w:pPr>
      <w:r>
        <w:rPr>
          <w:rFonts w:ascii="Times New Roman" w:hAnsi="Times New Roman"/>
          <w:b/>
          <w:i/>
          <w:color w:val="000000"/>
          <w:sz w:val="20"/>
        </w:rPr>
        <w:t>(a) Recent Sales of Unregistered Equity Securities</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ind w:left="0" w:right="0" w:firstLine="360"/>
        <w:jc w:val="both"/>
        <w:rPr>
          <w:rFonts w:ascii="Times New Roman" w:hAnsi="Times New Roman"/>
          <w:b/>
          <w:i/>
          <w:color w:val="000000"/>
          <w:sz w:val="20"/>
        </w:rPr>
      </w:pPr>
      <w:r>
        <w:rPr>
          <w:rFonts w:ascii="Times New Roman" w:hAnsi="Times New Roman"/>
          <w:b/>
          <w:i/>
          <w:color w:val="000000"/>
          <w:sz w:val="20"/>
        </w:rPr>
        <w:t>(b) Use of Proceeds from our Initial Public Offering</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On April 30, 2026, the SEC declared effective our registration statement on Form S-1 (File No. 333-294976), as amended, or the</w:t>
        <w:br/>
        <w:t>Registration Statement, filed in connection with our IPO. Pursuant to the Registration Statement, we registered the offer and sale of</w:t>
        <w:br/>
        <w:t>14,160,000 shares of our common stock with a maximum aggregate offering price of approximately $237.0 million. Goldman Sachs &amp;</w:t>
        <w:br/>
        <w:t>Co. LLC, J.P. Morgan, Leerink Partners, Citigroup, and Stifel acted as representatives of the underwriters for the IPO. None of the</w:t>
        <w:br/>
        <w:t>expenses associated with the IPO were paid to directors, officers, persons owning 10% or more of any class of equity securities, or to</w:t>
        <w:br/>
        <w:t>our affiliates.</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There has been no material change in the expected use of the net proceeds from our IPO as described in our final prospectus filed</w:t>
        <w:br/>
        <w:t>with the SEC pursuant to Rule 424(b) of the Securities Act on May 1, 2026.</w:t>
      </w:r>
    </w:p>
    <w:p>
      <w:pPr>
        <w:pStyle w:val="TextBody"/>
        <w:bidi w:val="0"/>
        <w:spacing w:before="120" w:after="283"/>
        <w:ind w:left="0" w:right="0" w:firstLine="360"/>
        <w:jc w:val="both"/>
        <w:rPr>
          <w:rFonts w:ascii="Times New Roman" w:hAnsi="Times New Roman"/>
          <w:b/>
          <w:i/>
          <w:color w:val="000000"/>
          <w:sz w:val="20"/>
        </w:rPr>
      </w:pPr>
      <w:r>
        <w:rPr>
          <w:rFonts w:ascii="Times New Roman" w:hAnsi="Times New Roman"/>
          <w:b/>
          <w:i/>
          <w:color w:val="000000"/>
          <w:sz w:val="20"/>
        </w:rPr>
        <w:t>(c) Issuer Repurchases of Securities</w:t>
      </w:r>
    </w:p>
    <w:p>
      <w:pPr>
        <w:pStyle w:val="TextBody"/>
        <w:bidi w:val="0"/>
        <w:spacing w:before="120" w:after="283"/>
        <w:ind w:left="0" w:right="0" w:firstLine="360"/>
        <w:jc w:val="both"/>
        <w:rPr>
          <w:rFonts w:ascii="Times New Roman" w:hAnsi="Times New Roman"/>
          <w:sz w:val="20"/>
        </w:rPr>
      </w:pPr>
      <w:r>
        <w:rPr>
          <w:rFonts w:ascii="Times New Roman" w:hAnsi="Times New Roman"/>
          <w:color w:val="000000"/>
          <w:sz w:val="20"/>
        </w:rPr>
        <w:t>None</w:t>
      </w:r>
      <w:r>
        <w:rPr>
          <w:rFonts w:ascii="Times New Roman" w:hAnsi="Times New Roman"/>
          <w:b/>
          <w:i/>
          <w:color w:val="000000"/>
          <w:sz w:val="20"/>
        </w:rPr>
        <w:t>.</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ind w:left="0" w:right="0" w:firstLine="360"/>
        <w:jc w:val="both"/>
        <w:rPr>
          <w:rFonts w:ascii="Times New Roman" w:hAnsi="Times New Roman"/>
          <w:color w:val="000000"/>
          <w:sz w:val="20"/>
        </w:rPr>
      </w:pPr>
      <w:r>
        <w:rPr>
          <w:rFonts w:ascii="Times New Roman" w:hAnsi="Times New Roman"/>
          <w:color w:val="000000"/>
          <w:sz w:val="20"/>
        </w:rPr>
        <w:t>During the six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Furnish the exhibits required by Item 601 of Regulation S-K (§ 229.601 of this chapter).</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804"/>
        <w:gridCol w:w="146"/>
        <w:gridCol w:w="9255"/>
      </w:tblGrid>
      <w:tr>
        <w:trPr/>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5" w:type="dxa"/>
            <w:tcBorders/>
            <w:vAlign w:val="center"/>
          </w:tcPr>
          <w:p>
            <w:pPr>
              <w:pStyle w:val="TableContents"/>
              <w:bidi w:val="0"/>
              <w:spacing w:before="0" w:after="283"/>
              <w:jc w:val="left"/>
              <w:rPr>
                <w:sz w:val="4"/>
                <w:szCs w:val="4"/>
              </w:rPr>
            </w:pPr>
            <w:r>
              <w:rPr>
                <w:sz w:val="4"/>
                <w:szCs w:val="4"/>
              </w:rPr>
            </w:r>
          </w:p>
        </w:tc>
      </w:tr>
      <w:tr>
        <w:trPr/>
        <w:tc>
          <w:tcPr>
            <w:tcW w:w="80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(as currently in effect) (incorporated by reference to Exhibit 3.1 to the Registrant’s Current Report on Form 8-K filed with the SEC on May 4, 2026 (File No. 001-43254)).</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Seaport Therapeutics, Inc (incorporated by reference to Exhibit 3.2 to the Registrant’s Current Report on Form 8-K filed with the SEC on May 4, 2026 (File No. 001-43254)).</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6">
              <w:r>
                <w:rPr>
                  <w:rStyle w:val="InternetLink"/>
                  <w:rFonts w:ascii="Times New Roman" w:hAnsi="Times New Roman"/>
                  <w:color w:val="0000FF"/>
                  <w:sz w:val="20"/>
                  <w:u w:val="single"/>
                </w:rPr>
                <w:t>4.1</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Investors’ Rights Agreement, by and between the Registrant and certain of its stockholders, dated as of October 18, 2024 (incorporated by reference to Exhibit 4.2 to the Registrant’s Registration Statement on Form S-1 (File No. 333-294976)).</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4.2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Common Stock Certificate (incorporated by reference to Exhibit 4.1 to the Registrant's Registration Statement on Form S-1 (File No. 333-294976)).</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10">
              <w:r>
                <w:rPr>
                  <w:rStyle w:val="InternetLink"/>
                  <w:rFonts w:ascii="Times New Roman" w:hAnsi="Times New Roman"/>
                  <w:color w:val="0000FF"/>
                  <w:sz w:val="20"/>
                  <w:u w:val="single"/>
                </w:rPr>
                <w:t>10.1</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80"/>
                  <w:sz w:val="20"/>
                  <w:u w:val="single"/>
                </w:rPr>
                <w:t>2026 Equity Incentive Plan and form of award agreements thereunder (incorporated by reference to Exhibit 10.2 to the Registrant's Registration Statement on Form S-1 (File No. 333-294976))</w:t>
              </w:r>
            </w:hyperlink>
            <w:hyperlink r:id="rId12">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10.2</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80"/>
                  <w:sz w:val="20"/>
                  <w:u w:val="single"/>
                </w:rPr>
                <w:t>2026 Employee Stock Purchase Plan (incorporated by reference to Exhibit 10.3 to the Registrant's Registration Statement on Form S-1 (File No. 333-294976))</w:t>
              </w:r>
            </w:hyperlink>
            <w:hyperlink r:id="rId15">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10.3</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80"/>
                  <w:sz w:val="20"/>
                  <w:u w:val="single"/>
                </w:rPr>
                <w:t>Form of Officer Indemnification Agreement, by and between the Registrant and executive officers (incorporated by reference to Exhibit 10.4 to the Registrant’s Registration Statement on Form S-1 (File No. 333-294976))</w:t>
              </w:r>
            </w:hyperlink>
            <w:hyperlink r:id="rId18">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10.4</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80"/>
                  <w:sz w:val="20"/>
                  <w:u w:val="single"/>
                </w:rPr>
                <w:t>Form of Director Indemnification Agreement, by and between the Registrant and its directors (incorporated by reference to Exhibit 10.5 to the Registrant’s Registration Statement on Form S-1 (File No. 333-294976))</w:t>
              </w:r>
            </w:hyperlink>
            <w:hyperlink r:id="rId21">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22">
              <w:r>
                <w:rPr>
                  <w:rStyle w:val="InternetLink"/>
                  <w:rFonts w:ascii="Times New Roman" w:hAnsi="Times New Roman"/>
                  <w:color w:val="0000FF"/>
                  <w:sz w:val="20"/>
                  <w:u w:val="single"/>
                </w:rPr>
                <w:t>10.5</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80"/>
                  <w:sz w:val="20"/>
                  <w:u w:val="single"/>
                </w:rPr>
                <w:t>Senior Executive Cash Incentive Bonus Plan (incorporated by reference to Exhibit 10.6 to the Registrant’s Registration Statement on Form S-1 (File No. 333-294976)</w:t>
              </w:r>
            </w:hyperlink>
            <w:hyperlink r:id="rId24">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25">
              <w:r>
                <w:rPr>
                  <w:rStyle w:val="InternetLink"/>
                  <w:rFonts w:ascii="Times New Roman" w:hAnsi="Times New Roman"/>
                  <w:color w:val="0000FF"/>
                  <w:sz w:val="20"/>
                  <w:u w:val="single"/>
                </w:rPr>
                <w:t>10.6</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80"/>
                  <w:sz w:val="20"/>
                  <w:u w:val="single"/>
                </w:rPr>
                <w:t>Executive Severance Plan (incorporated by reference to Exhibit 10.7 to the Registrant’s Registration Statement on Form S-1 (File No. 333-294976))</w:t>
              </w:r>
            </w:hyperlink>
            <w:hyperlink r:id="rId27">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28">
              <w:r>
                <w:rPr>
                  <w:rStyle w:val="InternetLink"/>
                  <w:rFonts w:ascii="Times New Roman" w:hAnsi="Times New Roman"/>
                  <w:color w:val="0000FF"/>
                  <w:sz w:val="20"/>
                  <w:u w:val="single"/>
                </w:rPr>
                <w:t>10.7</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80"/>
                  <w:sz w:val="20"/>
                  <w:u w:val="single"/>
                </w:rPr>
                <w:t>Non-Employee Director Compensation Policy (incorporated by reference to Exhibit 10.8 to the Registrant’s Registration Statement on Form S-1 (File No. 333-294976))</w:t>
              </w:r>
            </w:hyperlink>
            <w:hyperlink r:id="rId30">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jc w:val="left"/>
              <w:rPr/>
            </w:pPr>
            <w:hyperlink r:id="rId31">
              <w:r>
                <w:rPr>
                  <w:rStyle w:val="InternetLink"/>
                  <w:rFonts w:ascii="Times New Roman" w:hAnsi="Times New Roman"/>
                  <w:color w:val="0000FF"/>
                  <w:sz w:val="20"/>
                  <w:u w:val="single"/>
                </w:rPr>
                <w:t>10.8</w:t>
              </w:r>
            </w:hyperlink>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80"/>
                  <w:sz w:val="20"/>
                  <w:u w:val="single"/>
                </w:rPr>
                <w:t>Compensation Recovery Policy (incorporated by reference to Exhibit 10.9 to the Registrant’s Registration Statement on Form S-1 (File No. 333-294976))</w:t>
              </w:r>
            </w:hyperlink>
            <w:hyperlink r:id="rId33">
              <w:r>
                <w:rPr>
                  <w:rStyle w:val="InternetLink"/>
                  <w:rFonts w:ascii="Times New Roman" w:hAnsi="Times New Roman"/>
                  <w:color w:val="000080"/>
                  <w:sz w:val="20"/>
                  <w:u w:val="single"/>
                </w:rPr>
                <w:t>.</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1_1.htm">
              <w:r>
                <w:rPr>
                  <w:rStyle w:val="InternetLink"/>
                  <w:rFonts w:ascii="Times New Roman" w:hAnsi="Times New Roman"/>
                  <w:color w:val="0000FF"/>
                  <w:sz w:val="20"/>
                  <w:u w:val="single"/>
                </w:rPr>
                <w:t>31.1</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1_2.htm">
              <w:r>
                <w:rPr>
                  <w:rStyle w:val="InternetLink"/>
                  <w:rFonts w:ascii="Times New Roman" w:hAnsi="Times New Roman"/>
                  <w:color w:val="0000FF"/>
                  <w:sz w:val="20"/>
                  <w:u w:val="single"/>
                </w:rPr>
                <w:t>31.2</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2_1.htm">
              <w:r>
                <w:rPr>
                  <w:rStyle w:val="InternetLink"/>
                  <w:rFonts w:ascii="Times New Roman" w:hAnsi="Times New Roman"/>
                  <w:color w:val="0000FF"/>
                  <w:sz w:val="20"/>
                  <w:u w:val="single"/>
                </w:rPr>
                <w:t>32.1</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2_2.htm">
              <w:r>
                <w:rPr>
                  <w:rStyle w:val="InternetLink"/>
                  <w:rFonts w:ascii="Times New Roman" w:hAnsi="Times New Roman"/>
                  <w:color w:val="0000FF"/>
                  <w:sz w:val="20"/>
                  <w:u w:val="single"/>
                </w:rPr>
                <w:t>32.2</w:t>
              </w:r>
            </w:hyperlink>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t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idi w:val="0"/>
        <w:ind w:left="0" w:right="0" w:hanging="490"/>
        <w:jc w:val="both"/>
        <w:rPr>
          <w:rFonts w:ascii="Times New Roman" w:hAnsi="Times New Roman"/>
          <w:color w:val="000000"/>
          <w:sz w:val="20"/>
        </w:rPr>
      </w:pPr>
      <w:r>
        <w:rPr>
          <w:rFonts w:ascii="Times New Roman" w:hAnsi="Times New Roman"/>
          <w:color w:val="000000"/>
          <w:sz w:val="20"/>
        </w:rPr>
        <w:t>* Filed herewith.</w:t>
      </w:r>
    </w:p>
    <w:p>
      <w:pPr>
        <w:pStyle w:val="TextBody"/>
        <w:pBdr/>
        <w:bidi w:val="0"/>
        <w:ind w:left="0" w:right="0" w:hanging="490"/>
        <w:jc w:val="left"/>
        <w:rPr>
          <w:rFonts w:ascii="Times New Roman" w:hAnsi="Times New Roman"/>
          <w:color w:val="000000"/>
          <w:sz w:val="20"/>
        </w:rPr>
      </w:pPr>
      <w:r>
        <w:rPr>
          <w:rFonts w:ascii="Times New Roman" w:hAnsi="Times New Roman"/>
          <w:color w:val="000000"/>
          <w:sz w:val="20"/>
        </w:rPr>
        <w:t xml:space="preserve">** The certifications furnished in Exhibit 32.1 and 32.2 hereto are deemed to be furnished with this Quarterly Report on Form 10-Q and will not be deemed to be “filed” for purposes of Section 18 of the Exchange Act, except to the extent that the Registrant specifically incorporates it by reference.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any compensatory plan, contract or arrangement.</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portions of this document that constitute confidential information have been redacted pursuant to Item 601(b)(10) of Regulation S-K.</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exhibits and schedules to these agreements have been omitted pursuant to Item 601(a)(5) and (6) of Regulation S-K. The registrant will furnish copies of any of the exhibits and schedules to the Securities and Exchange Commission upon request.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1846"/>
        <w:gridCol w:w="146"/>
        <w:gridCol w:w="406"/>
        <w:gridCol w:w="36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Seaport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Daphne Zohar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Daphne Zohar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Lauren White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Lauren A. White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(Principal Financial Officer and Principal</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sptx-ex31_1.htm"/>
      <w:bookmarkStart w:id="22" w:name="kssptxex31_1"/>
      <w:bookmarkEnd w:id="21"/>
      <w:bookmarkEnd w:id="22"/>
      <w:r>
        <w:rPr>
          <w:rFonts w:ascii="Arial" w:hAnsi="Arial"/>
          <w:b/>
          <w:color w:val="000000"/>
          <w:sz w:val="18"/>
        </w:rPr>
        <w:t>Exhibit 31.1</w:t>
      </w:r>
      <w:r>
        <w:rPr>
          <w:rFonts w:ascii="Times New Roman" w:hAnsi="Times New Roman"/>
          <w:color w:val="000000"/>
          <w:sz w:val="20"/>
        </w:rPr>
        <w:t xml:space="preserve"> </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Daphne Zohar,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Seaport Therapeutics, Inc.;</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ind w:left="490" w:right="0" w:hanging="0"/>
        <w:jc w:val="left"/>
        <w:rPr/>
      </w:pPr>
      <w:r>
        <w:rPr/>
        <w:t> </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ind w:left="979" w:right="0" w:hanging="0"/>
        <w:jc w:val="left"/>
        <w:rPr/>
      </w:pPr>
      <w:r>
        <w:rPr/>
        <w:t> </w:t>
      </w:r>
    </w:p>
    <w:tbl>
      <w:tblPr>
        <w:tblW w:w="4773" w:type="dxa"/>
        <w:jc w:val="left"/>
        <w:tblInd w:w="0" w:type="dxa"/>
        <w:tblLayout w:type="fixed"/>
        <w:tblCellMar>
          <w:top w:w="28" w:type="dxa"/>
          <w:left w:w="28" w:type="dxa"/>
          <w:bottom w:w="28" w:type="dxa"/>
          <w:right w:w="28" w:type="dxa"/>
        </w:tblCellMar>
      </w:tblPr>
      <w:tblGrid>
        <w:gridCol w:w="1651"/>
        <w:gridCol w:w="361"/>
        <w:gridCol w:w="2761"/>
      </w:tblGrid>
      <w:tr>
        <w:trPr/>
        <w:tc>
          <w:tcPr>
            <w:tcW w:w="16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3, 2026</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By:</w:t>
            </w:r>
          </w:p>
        </w:tc>
        <w:tc>
          <w:tcPr>
            <w:tcW w:w="27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Daphne Zohar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Daphne Zohar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Executive Officer and Director</w:t>
            </w:r>
          </w:p>
        </w:tc>
      </w:tr>
      <w:tr>
        <w:trPr/>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sptx-ex31_2.htm"/>
      <w:bookmarkStart w:id="24" w:name="kssptxex31_2"/>
      <w:bookmarkEnd w:id="23"/>
      <w:bookmarkEnd w:id="24"/>
      <w:r>
        <w:rPr>
          <w:rFonts w:ascii="Arial" w:hAnsi="Arial"/>
          <w:b/>
          <w:color w:val="000000"/>
          <w:sz w:val="18"/>
        </w:rPr>
        <w:t>Exhibit 31.2</w:t>
      </w:r>
      <w:r>
        <w:rPr>
          <w:rFonts w:ascii="Times New Roman" w:hAnsi="Times New Roman"/>
          <w:color w:val="000000"/>
          <w:sz w:val="20"/>
        </w:rPr>
        <w:t xml:space="preserve"> </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Lauren White, certify that:</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Seaport Therapeutics, Inc.;</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490" w:right="0" w:hanging="0"/>
        <w:jc w:val="left"/>
        <w:rPr/>
      </w:pPr>
      <w:r>
        <w:rPr/>
        <w:t> </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ind w:left="490" w:right="0" w:hanging="0"/>
        <w:jc w:val="left"/>
        <w:rPr/>
      </w:pPr>
      <w:r>
        <w:rPr/>
        <w:t> </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ind w:left="1469" w:right="0" w:hanging="0"/>
        <w:jc w:val="left"/>
        <w:rPr/>
      </w:pPr>
      <w:r>
        <w:rPr/>
        <w:t> </w:t>
      </w:r>
    </w:p>
    <w:tbl>
      <w:tblPr>
        <w:tblW w:w="6573" w:type="dxa"/>
        <w:jc w:val="left"/>
        <w:tblInd w:w="0" w:type="dxa"/>
        <w:tblLayout w:type="fixed"/>
        <w:tblCellMar>
          <w:top w:w="28" w:type="dxa"/>
          <w:left w:w="28" w:type="dxa"/>
          <w:bottom w:w="28" w:type="dxa"/>
          <w:right w:w="28" w:type="dxa"/>
        </w:tblCellMar>
      </w:tblPr>
      <w:tblGrid>
        <w:gridCol w:w="1801"/>
        <w:gridCol w:w="406"/>
        <w:gridCol w:w="4366"/>
      </w:tblGrid>
      <w:tr>
        <w:trPr/>
        <w:tc>
          <w:tcPr>
            <w:tcW w:w="18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Date:August 3,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Lauren White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Lauren White</w:t>
            </w:r>
          </w:p>
        </w:tc>
      </w:tr>
      <w:tr>
        <w:trPr/>
        <w:tc>
          <w:tcPr>
            <w:tcW w:w="1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25" w:name="sptx-ex32_1.htm"/>
      <w:bookmarkStart w:id="26" w:name="kssptxex32_1"/>
      <w:bookmarkEnd w:id="25"/>
      <w:bookmarkEnd w:id="26"/>
      <w:r>
        <w:rPr>
          <w:rFonts w:ascii="Arial" w:hAnsi="Arial"/>
          <w:b/>
          <w:color w:val="000000"/>
          <w:sz w:val="18"/>
        </w:rPr>
        <w:t>Exhibit 32.1</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Seaport Therapeutics,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5373" w:type="dxa"/>
        <w:jc w:val="left"/>
        <w:tblInd w:w="0" w:type="dxa"/>
        <w:tblLayout w:type="fixed"/>
        <w:tblCellMar>
          <w:top w:w="28" w:type="dxa"/>
          <w:left w:w="28" w:type="dxa"/>
          <w:bottom w:w="28" w:type="dxa"/>
          <w:right w:w="28" w:type="dxa"/>
        </w:tblCellMar>
      </w:tblPr>
      <w:tblGrid>
        <w:gridCol w:w="1846"/>
        <w:gridCol w:w="40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Daphne Zohar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Daphne Zohar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27" w:name="sptx-ex32_2.htm"/>
      <w:bookmarkStart w:id="28" w:name="kssptxex32_2"/>
      <w:bookmarkEnd w:id="27"/>
      <w:bookmarkEnd w:id="28"/>
      <w:r>
        <w:rPr>
          <w:rFonts w:ascii="Arial" w:hAnsi="Arial"/>
          <w:b/>
          <w:color w:val="000000"/>
          <w:sz w:val="18"/>
        </w:rPr>
        <w:t>Exhibit 32.2</w:t>
      </w:r>
      <w:r>
        <w:br w:type="page"/>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Seaport Therapeutics,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6618" w:type="dxa"/>
        <w:jc w:val="left"/>
        <w:tblInd w:w="0" w:type="dxa"/>
        <w:tblLayout w:type="fixed"/>
        <w:tblCellMar>
          <w:top w:w="28" w:type="dxa"/>
          <w:left w:w="28" w:type="dxa"/>
          <w:bottom w:w="28" w:type="dxa"/>
          <w:right w:w="28" w:type="dxa"/>
        </w:tblCellMar>
      </w:tblPr>
      <w:tblGrid>
        <w:gridCol w:w="1846"/>
        <w:gridCol w:w="406"/>
        <w:gridCol w:w="43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Lauren White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Lauren White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2347/000119312526204086/d150068dex31.htm" TargetMode="External"/><Relationship Id="rId3" Type="http://schemas.openxmlformats.org/officeDocument/2006/relationships/hyperlink" Target="https://www.sec.gov/Archives/edgar/data/2042347/000119312526204086/d150068dex31.htm" TargetMode="External"/><Relationship Id="rId4" Type="http://schemas.openxmlformats.org/officeDocument/2006/relationships/hyperlink" Target="https://www.sec.gov/Archives/edgar/data/2042347/000119312526204086/d150068dex32.htm" TargetMode="External"/><Relationship Id="rId5" Type="http://schemas.openxmlformats.org/officeDocument/2006/relationships/hyperlink" Target="https://www.sec.gov/Archives/edgar/data/2042347/000119312526204086/d150068dex32.htm" TargetMode="External"/><Relationship Id="rId6" Type="http://schemas.openxmlformats.org/officeDocument/2006/relationships/hyperlink" Target="https://www.sec.gov/Archives/edgar/data/2042347/000119312526151211/d73463dex42.htm" TargetMode="External"/><Relationship Id="rId7" Type="http://schemas.openxmlformats.org/officeDocument/2006/relationships/hyperlink" Target="https://www.sec.gov/Archives/edgar/data/2042347/000119312526151211/d73463dex42.htm" TargetMode="External"/><Relationship Id="rId8" Type="http://schemas.openxmlformats.org/officeDocument/2006/relationships/hyperlink" Target="https://www.sec.gov/Archives/edgar/data/2042347/000119312526151211/d73463dex41.htm" TargetMode="External"/><Relationship Id="rId9" Type="http://schemas.openxmlformats.org/officeDocument/2006/relationships/hyperlink" Target="https://www.sec.gov/Archives/edgar/data/2042347/000119312526151211/d73463dex41.htm" TargetMode="External"/><Relationship Id="rId10" Type="http://schemas.openxmlformats.org/officeDocument/2006/relationships/hyperlink" Target="https://www.sec.gov/Archives/edgar/data/2042347/000119312526178716/d73463dex102.htm" TargetMode="External"/><Relationship Id="rId11" Type="http://schemas.openxmlformats.org/officeDocument/2006/relationships/hyperlink" Target="https://www.sec.gov/Archives/edgar/data/2042347/000119312526178716/d73463dex102.htm" TargetMode="External"/><Relationship Id="rId12" Type="http://schemas.openxmlformats.org/officeDocument/2006/relationships/hyperlink" Target="https://www.sec.gov/Archives/edgar/data/2042347/000119312526178716/d73463dex102.htm" TargetMode="External"/><Relationship Id="rId13" Type="http://schemas.openxmlformats.org/officeDocument/2006/relationships/hyperlink" Target="https://www.sec.gov/Archives/edgar/data/2042347/000119312526178716/d73463dex103.htm" TargetMode="External"/><Relationship Id="rId14" Type="http://schemas.openxmlformats.org/officeDocument/2006/relationships/hyperlink" Target="https://www.sec.gov/Archives/edgar/data/2042347/000119312526178716/d73463dex103.htm" TargetMode="External"/><Relationship Id="rId15" Type="http://schemas.openxmlformats.org/officeDocument/2006/relationships/hyperlink" Target="https://www.sec.gov/Archives/edgar/data/2042347/000119312526178716/d73463dex103.htm" TargetMode="External"/><Relationship Id="rId16" Type="http://schemas.openxmlformats.org/officeDocument/2006/relationships/hyperlink" Target="https://www.sec.gov/Archives/edgar/data/2042347/000119312526151211/d73463dex104.htm" TargetMode="External"/><Relationship Id="rId17" Type="http://schemas.openxmlformats.org/officeDocument/2006/relationships/hyperlink" Target="https://www.sec.gov/Archives/edgar/data/2042347/000119312526151211/d73463dex104.htm" TargetMode="External"/><Relationship Id="rId18" Type="http://schemas.openxmlformats.org/officeDocument/2006/relationships/hyperlink" Target="https://www.sec.gov/Archives/edgar/data/2042347/000119312526151211/d73463dex104.htm" TargetMode="External"/><Relationship Id="rId19" Type="http://schemas.openxmlformats.org/officeDocument/2006/relationships/hyperlink" Target="https://www.sec.gov/Archives/edgar/data/2042347/000119312526151211/d73463dex105.htm" TargetMode="External"/><Relationship Id="rId20" Type="http://schemas.openxmlformats.org/officeDocument/2006/relationships/hyperlink" Target="https://www.sec.gov/Archives/edgar/data/2042347/000119312526151211/d73463dex105.htm" TargetMode="External"/><Relationship Id="rId21" Type="http://schemas.openxmlformats.org/officeDocument/2006/relationships/hyperlink" Target="https://www.sec.gov/Archives/edgar/data/2042347/000119312526151211/d73463dex105.htm" TargetMode="External"/><Relationship Id="rId22" Type="http://schemas.openxmlformats.org/officeDocument/2006/relationships/hyperlink" Target="https://www.sec.gov/Archives/edgar/data/2042347/000119312526151211/d73463dex106.htm" TargetMode="External"/><Relationship Id="rId23" Type="http://schemas.openxmlformats.org/officeDocument/2006/relationships/hyperlink" Target="https://www.sec.gov/Archives/edgar/data/2042347/000119312526151211/d73463dex106.htm" TargetMode="External"/><Relationship Id="rId24" Type="http://schemas.openxmlformats.org/officeDocument/2006/relationships/hyperlink" Target="https://www.sec.gov/Archives/edgar/data/2042347/000119312526151211/d73463dex106.htm" TargetMode="External"/><Relationship Id="rId25" Type="http://schemas.openxmlformats.org/officeDocument/2006/relationships/hyperlink" Target="https://www.sec.gov/Archives/edgar/data/2042347/000119312526151211/d73463dex107.htm" TargetMode="External"/><Relationship Id="rId26" Type="http://schemas.openxmlformats.org/officeDocument/2006/relationships/hyperlink" Target="https://www.sec.gov/Archives/edgar/data/2042347/000119312526151211/d73463dex107.htm" TargetMode="External"/><Relationship Id="rId27" Type="http://schemas.openxmlformats.org/officeDocument/2006/relationships/hyperlink" Target="https://www.sec.gov/Archives/edgar/data/2042347/000119312526151211/d73463dex107.htm" TargetMode="External"/><Relationship Id="rId28" Type="http://schemas.openxmlformats.org/officeDocument/2006/relationships/hyperlink" Target="https://www.sec.gov/Archives/edgar/data/2042347/000119312526151211/d73463dex108.htm" TargetMode="External"/><Relationship Id="rId29" Type="http://schemas.openxmlformats.org/officeDocument/2006/relationships/hyperlink" Target="https://www.sec.gov/Archives/edgar/data/2042347/000119312526151211/d73463dex108.htm" TargetMode="External"/><Relationship Id="rId30" Type="http://schemas.openxmlformats.org/officeDocument/2006/relationships/hyperlink" Target="https://www.sec.gov/Archives/edgar/data/2042347/000119312526151211/d73463dex108.htm" TargetMode="External"/><Relationship Id="rId31" Type="http://schemas.openxmlformats.org/officeDocument/2006/relationships/hyperlink" Target="https://www.sec.gov/Archives/edgar/data/2042347/000119312526151211/d73463dex109.htm" TargetMode="External"/><Relationship Id="rId32" Type="http://schemas.openxmlformats.org/officeDocument/2006/relationships/hyperlink" Target="https://www.sec.gov/Archives/edgar/data/2042347/000119312526151211/d73463dex109.htm" TargetMode="External"/><Relationship Id="rId33" Type="http://schemas.openxmlformats.org/officeDocument/2006/relationships/hyperlink" Target="https://www.sec.gov/Archives/edgar/data/2042347/000119312526151211/d73463dex109.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79134</Words>
  <Characters>443499</Characters>
  <CharactersWithSpaces>523423</CharactersWithSpaces>
  <Paragraphs>6625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