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05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558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Loebel Antony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SEAPORT THERAPEUTICS,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101 SEAPORT BLVD., FLOOR 12</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Seaport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SPTX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6"/>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394"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02210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60" w:type="dxa"/>
            <w:vAlign w:val="bottom"/>
            <w:gridSpan w:val="4"/>
          </w:tcPr>
          <w:p>
            <w:pPr>
              <w:jc w:val="center"/>
              <w:ind w:left="714"/>
              <w:spacing w:after="0"/>
              <w:rPr>
                <w:sz w:val="20"/>
                <w:szCs w:val="20"/>
                <w:color w:val="auto"/>
              </w:rPr>
            </w:pPr>
            <w:r>
              <w:rPr>
                <w:rFonts w:ascii="Times New Roman" w:cs="Times New Roman" w:eastAsia="Times New Roman" w:hAnsi="Times New Roman"/>
                <w:sz w:val="16"/>
                <w:szCs w:val="16"/>
                <w:color w:val="0000FF"/>
              </w:rPr>
              <w:t>05/04/2026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20,109</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20,109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w:t>
            </w:r>
          </w:p>
        </w:tc>
        <w:tc>
          <w:tcPr>
            <w:tcW w:w="140" w:type="dxa"/>
            <w:vAlign w:val="bottom"/>
          </w:tcPr>
          <w:p>
            <w:pPr>
              <w:spacing w:after="0"/>
              <w:rPr>
                <w:sz w:val="16"/>
                <w:szCs w:val="16"/>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04/30/2026</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63,680</w:t>
            </w:r>
          </w:p>
        </w:tc>
        <w:tc>
          <w:tcPr>
            <w:tcW w:w="560" w:type="dxa"/>
            <w:vAlign w:val="bottom"/>
          </w:tcPr>
          <w:p>
            <w:pPr>
              <w:spacing w:after="0"/>
              <w:rPr>
                <w:sz w:val="16"/>
                <w:szCs w:val="16"/>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0000FF"/>
                <w:w w:val="97"/>
              </w:rPr>
              <w:t>04/29/2036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63,680</w:t>
            </w:r>
          </w:p>
        </w:tc>
        <w:tc>
          <w:tcPr>
            <w:tcW w:w="4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63,680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center"/>
              <w:ind w:right="2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20,109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57"/>
              <w:spacing w:after="0" w:line="127" w:lineRule="exact"/>
              <w:rPr>
                <w:sz w:val="20"/>
                <w:szCs w:val="20"/>
                <w:color w:val="auto"/>
              </w:rPr>
            </w:pPr>
            <w:r>
              <w:rPr>
                <w:rFonts w:ascii="Times New Roman" w:cs="Times New Roman" w:eastAsia="Times New Roman" w:hAnsi="Times New Roman"/>
                <w:sz w:val="13"/>
                <w:szCs w:val="13"/>
                <w:color w:val="0000FF"/>
              </w:rPr>
              <w:t>05/04/2026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457"/>
              <w:spacing w:after="0" w:line="127" w:lineRule="exact"/>
              <w:rPr>
                <w:sz w:val="20"/>
                <w:szCs w:val="20"/>
                <w:color w:val="auto"/>
              </w:rPr>
            </w:pPr>
            <w:r>
              <w:rPr>
                <w:rFonts w:ascii="Times New Roman" w:cs="Times New Roman" w:eastAsia="Times New Roman" w:hAnsi="Times New Roman"/>
                <w:sz w:val="13"/>
                <w:szCs w:val="13"/>
                <w:color w:val="0000FF"/>
                <w:w w:val="91"/>
              </w:rPr>
              <w:t>C</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63,157</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27"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20"/>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-2249805</wp:posOffset>
            </wp:positionV>
            <wp:extent cx="28575" cy="2254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548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B Preferred Stock (the "Preferred Stock") was convertible into Common Stock of the Issuer on a one-for-3.1407 basis at the option of the holder, and automatically converted upon the closing of the Issuer's initial public offering without payment of further consideration. The Preferred Stock had no expiration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forty-eight (48) equal monthly installments following April 30, 2026, subject to the Reporting Person's continued service on each such vesting date.</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Lana Gladstein,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8770" TargetMode="External"/><Relationship Id="rId14"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2026-05-04T17:02:52Z</dcterms:created>
  <dcterms:modified xsi:type="dcterms:W3CDTF">2026-05-04T17:02:52Z</dcterms:modified>
</cp:coreProperties>
</file>