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Torres Denice</w:t>
              </w:r>
            </w:hyperlink>
          </w:p>
        </w:tc>
        <w:tc>
          <w:tcPr>
            <w:tcW w:w="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Seaport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SPTX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080" w:type="dxa"/>
            <w:vAlign w:val="bottom"/>
            <w:vMerge w:val="restart"/>
          </w:tcPr>
          <w:p>
            <w:pPr>
              <w:ind w:left="5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SEAPORT THERAPEUTICS, INC.</w:t>
            </w:r>
          </w:p>
        </w:tc>
        <w:tc>
          <w:tcPr>
            <w:tcW w:w="220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11/03/2026</w:t>
            </w: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101 SEAPORT BLVD., FLOOR 12</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6"/>
                <w:szCs w:val="6"/>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continue"/>
          </w:tcPr>
          <w:p>
            <w:pPr>
              <w:spacing w:after="0"/>
              <w:rPr>
                <w:sz w:val="9"/>
                <w:szCs w:val="9"/>
                <w:color w:val="auto"/>
              </w:rPr>
            </w:pPr>
          </w:p>
        </w:tc>
        <w:tc>
          <w:tcPr>
            <w:tcW w:w="320" w:type="dxa"/>
            <w:vAlign w:val="bottom"/>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vMerge w:val="restart"/>
          </w:tcPr>
          <w:p>
            <w:pPr>
              <w:spacing w:after="0"/>
              <w:rPr>
                <w:sz w:val="3"/>
                <w:szCs w:val="3"/>
                <w:color w:val="auto"/>
              </w:rPr>
            </w:pPr>
          </w:p>
        </w:tc>
        <w:tc>
          <w:tcPr>
            <w:tcW w:w="380" w:type="dxa"/>
            <w:vAlign w:val="bottom"/>
            <w:vMerge w:val="restart"/>
          </w:tcPr>
          <w:p>
            <w:pPr>
              <w:ind w:left="80"/>
              <w:spacing w:after="0"/>
              <w:rPr>
                <w:sz w:val="20"/>
                <w:szCs w:val="20"/>
                <w:color w:val="auto"/>
              </w:rPr>
            </w:pPr>
            <w:r>
              <w:rPr>
                <w:rFonts w:ascii="Arial" w:cs="Arial" w:eastAsia="Arial" w:hAnsi="Arial"/>
                <w:sz w:val="13"/>
                <w:szCs w:val="13"/>
                <w:color w:val="auto"/>
                <w:w w:val="96"/>
              </w:rPr>
              <w:t>Line)</w:t>
            </w: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02210</w:t>
            </w: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ind w:left="220"/>
              <w:spacing w:after="0" w:line="113" w:lineRule="exact"/>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ind w:left="5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5"/>
                <w:szCs w:val="15"/>
                <w:color w:val="auto"/>
              </w:rPr>
            </w:pP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gridSpan w:val="4"/>
          </w:tcPr>
          <w:p>
            <w:pPr>
              <w:jc w:val="right"/>
              <w:ind w:right="95"/>
              <w:spacing w:after="0"/>
              <w:rPr>
                <w:sz w:val="20"/>
                <w:szCs w:val="20"/>
                <w:color w:val="auto"/>
              </w:rPr>
            </w:pPr>
            <w:r>
              <w:rPr>
                <w:rFonts w:ascii="Times New Roman" w:cs="Times New Roman" w:eastAsia="Times New Roman" w:hAnsi="Times New Roman"/>
                <w:sz w:val="17"/>
                <w:szCs w:val="17"/>
                <w:color w:val="0000FF"/>
              </w:rPr>
              <w:t>11/03/2026</w:t>
            </w: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19.865</w:t>
            </w: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0000FF"/>
              </w:rPr>
              <w:t>5,000</w:t>
            </w:r>
          </w:p>
        </w:tc>
        <w:tc>
          <w:tcPr>
            <w:tcW w:w="8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Denice 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0000FF"/>
              </w:rPr>
              <w:t>13,406</w:t>
            </w:r>
          </w:p>
        </w:tc>
        <w:tc>
          <w:tcPr>
            <w:tcW w:w="8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Torres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such shares for purposes of Section 16 of the Exchange Act, except to the extent of her pecuniary interest therein, if any. This report shall not be deemed an admission that she is a beneficial owner of such shares for the purpose of Section 16 of the Exchange Act, or for any other purpose.</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Lana Gladstein, Attorney-</w:t>
            </w:r>
          </w:p>
        </w:tc>
        <w:tc>
          <w:tcPr>
            <w:tcW w:w="10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11/04/2026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0278" TargetMode="External"/><Relationship Id="rId14" Type="http://schemas.openxmlformats.org/officeDocument/2006/relationships/hyperlink" Target="http://www.sec.gov/cgi-bin/browse-edgar?action=getcompany&amp;CIK=0002042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2026-11-04T06:30:57Z</dcterms:created>
  <dcterms:modified xsi:type="dcterms:W3CDTF">2026-11-04T06:30:57Z</dcterms:modified>
</cp:coreProperties>
</file>