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April 30, 2026.</w:t>
      </w:r>
    </w:p>
    <w:p>
      <w:pPr>
        <w:spacing w:after="0" w:line="18"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55880</wp:posOffset>
            </wp:positionV>
            <wp:extent cx="5492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89535</wp:posOffset>
            </wp:positionV>
            <wp:extent cx="5492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112395</wp:posOffset>
            </wp:positionV>
            <wp:extent cx="1157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S-1</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112395</wp:posOffset>
            </wp:positionV>
            <wp:extent cx="1157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Seaport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125095</wp:posOffset>
            </wp:positionV>
            <wp:extent cx="1157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92" w:lineRule="exact"/>
        <w:rPr>
          <w:sz w:val="24"/>
          <w:szCs w:val="24"/>
          <w:color w:val="auto"/>
        </w:rPr>
      </w:pPr>
    </w:p>
    <w:tbl>
      <w:tblPr>
        <w:tblLayout w:type="fixed"/>
        <w:tblInd w:w="920" w:type="dxa"/>
        <w:tblCellMar>
          <w:top w:w="0" w:type="dxa"/>
          <w:left w:w="0" w:type="dxa"/>
          <w:bottom w:w="0" w:type="dxa"/>
          <w:right w:w="0" w:type="dxa"/>
        </w:tblCellMar>
      </w:tblPr>
      <w:tr>
        <w:trPr>
          <w:trHeight w:val="152"/>
        </w:trPr>
        <w:tc>
          <w:tcPr>
            <w:tcW w:w="222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02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9"/>
              </w:rPr>
              <w:t>2834</w:t>
            </w:r>
          </w:p>
        </w:tc>
        <w:tc>
          <w:tcPr>
            <w:tcW w:w="1720" w:type="dxa"/>
            <w:vAlign w:val="bottom"/>
          </w:tcPr>
          <w:p>
            <w:pPr>
              <w:jc w:val="center"/>
              <w:ind w:left="801"/>
              <w:spacing w:after="0"/>
              <w:rPr>
                <w:sz w:val="20"/>
                <w:szCs w:val="20"/>
                <w:color w:val="auto"/>
              </w:rPr>
            </w:pPr>
            <w:r>
              <w:rPr>
                <w:rFonts w:ascii="Times New Roman" w:cs="Times New Roman" w:eastAsia="Times New Roman" w:hAnsi="Times New Roman"/>
                <w:sz w:val="13"/>
                <w:szCs w:val="13"/>
                <w:b w:val="1"/>
                <w:bCs w:val="1"/>
                <w:color w:val="auto"/>
                <w:w w:val="98"/>
              </w:rPr>
              <w:t>99-2235719</w:t>
            </w:r>
          </w:p>
        </w:tc>
      </w:tr>
      <w:tr>
        <w:trPr>
          <w:trHeight w:val="117"/>
        </w:trPr>
        <w:tc>
          <w:tcPr>
            <w:tcW w:w="2220" w:type="dxa"/>
            <w:vAlign w:val="bottom"/>
          </w:tcPr>
          <w:p>
            <w:pPr>
              <w:jc w:val="center"/>
              <w:ind w:right="701"/>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020" w:type="dxa"/>
            <w:vAlign w:val="bottom"/>
          </w:tcPr>
          <w:p>
            <w:pPr>
              <w:jc w:val="center"/>
              <w:ind w:right="41"/>
              <w:spacing w:after="0" w:line="117"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720" w:type="dxa"/>
            <w:vAlign w:val="bottom"/>
          </w:tcPr>
          <w:p>
            <w:pPr>
              <w:jc w:val="center"/>
              <w:ind w:left="801"/>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220" w:type="dxa"/>
            <w:vAlign w:val="bottom"/>
          </w:tcPr>
          <w:p>
            <w:pPr>
              <w:jc w:val="center"/>
              <w:ind w:right="701"/>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302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720" w:type="dxa"/>
            <w:vAlign w:val="bottom"/>
          </w:tcPr>
          <w:p>
            <w:pPr>
              <w:jc w:val="center"/>
              <w:ind w:left="781"/>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Seaport Therapeutics, Inc.</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101 Seaport Blvd., Floor 12</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Boston, Massachusetts 02210</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(617) 807-4062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118110</wp:posOffset>
            </wp:positionV>
            <wp:extent cx="1157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Daphne Zohar</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Seaport Therapeutics, Inc.</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101 Seaport Blvd., Floor 12</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Boston, Massachusetts 02210</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(617) 807-4062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111760</wp:posOffset>
            </wp:positionV>
            <wp:extent cx="1157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34" w:lineRule="exact"/>
        <w:rPr>
          <w:sz w:val="24"/>
          <w:szCs w:val="24"/>
          <w:color w:val="auto"/>
        </w:rPr>
      </w:pPr>
    </w:p>
    <w:tbl>
      <w:tblPr>
        <w:tblLayout w:type="fixed"/>
        <w:tblInd w:w="158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38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59"/>
        </w:trPr>
        <w:tc>
          <w:tcPr>
            <w:tcW w:w="2100" w:type="dxa"/>
            <w:vAlign w:val="bottom"/>
          </w:tcPr>
          <w:p>
            <w:pPr>
              <w:jc w:val="center"/>
              <w:ind w:right="476"/>
              <w:spacing w:after="0"/>
              <w:rPr>
                <w:sz w:val="20"/>
                <w:szCs w:val="20"/>
                <w:color w:val="auto"/>
              </w:rPr>
            </w:pPr>
            <w:r>
              <w:rPr>
                <w:rFonts w:ascii="Times New Roman" w:cs="Times New Roman" w:eastAsia="Times New Roman" w:hAnsi="Times New Roman"/>
                <w:sz w:val="13"/>
                <w:szCs w:val="13"/>
                <w:b w:val="1"/>
                <w:bCs w:val="1"/>
                <w:color w:val="auto"/>
                <w:w w:val="96"/>
              </w:rPr>
              <w:t>Mitchell S. Bloom</w:t>
            </w:r>
          </w:p>
        </w:tc>
        <w:tc>
          <w:tcPr>
            <w:tcW w:w="3840" w:type="dxa"/>
            <w:vAlign w:val="bottom"/>
          </w:tcPr>
          <w:p>
            <w:pPr>
              <w:jc w:val="center"/>
              <w:ind w:left="2196"/>
              <w:spacing w:after="0"/>
              <w:rPr>
                <w:sz w:val="20"/>
                <w:szCs w:val="20"/>
                <w:color w:val="auto"/>
              </w:rPr>
            </w:pPr>
            <w:r>
              <w:rPr>
                <w:rFonts w:ascii="Times New Roman" w:cs="Times New Roman" w:eastAsia="Times New Roman" w:hAnsi="Times New Roman"/>
                <w:sz w:val="13"/>
                <w:szCs w:val="13"/>
                <w:b w:val="1"/>
                <w:bCs w:val="1"/>
                <w:color w:val="auto"/>
                <w:w w:val="95"/>
              </w:rPr>
              <w:t>Nathan Ajiashvili</w:t>
            </w:r>
          </w:p>
        </w:tc>
      </w:tr>
      <w:tr>
        <w:trPr>
          <w:trHeight w:val="159"/>
        </w:trPr>
        <w:tc>
          <w:tcPr>
            <w:tcW w:w="2100" w:type="dxa"/>
            <w:vAlign w:val="bottom"/>
          </w:tcPr>
          <w:p>
            <w:pPr>
              <w:jc w:val="center"/>
              <w:ind w:right="476"/>
              <w:spacing w:after="0"/>
              <w:rPr>
                <w:sz w:val="20"/>
                <w:szCs w:val="20"/>
                <w:color w:val="auto"/>
              </w:rPr>
            </w:pPr>
            <w:r>
              <w:rPr>
                <w:rFonts w:ascii="Times New Roman" w:cs="Times New Roman" w:eastAsia="Times New Roman" w:hAnsi="Times New Roman"/>
                <w:sz w:val="13"/>
                <w:szCs w:val="13"/>
                <w:b w:val="1"/>
                <w:bCs w:val="1"/>
                <w:color w:val="auto"/>
                <w:w w:val="97"/>
              </w:rPr>
              <w:t>Benjamin K. Marsh</w:t>
            </w:r>
          </w:p>
        </w:tc>
        <w:tc>
          <w:tcPr>
            <w:tcW w:w="3840" w:type="dxa"/>
            <w:vAlign w:val="bottom"/>
          </w:tcPr>
          <w:p>
            <w:pPr>
              <w:jc w:val="center"/>
              <w:ind w:left="2196"/>
              <w:spacing w:after="0"/>
              <w:rPr>
                <w:sz w:val="20"/>
                <w:szCs w:val="20"/>
                <w:color w:val="auto"/>
              </w:rPr>
            </w:pPr>
            <w:r>
              <w:rPr>
                <w:rFonts w:ascii="Times New Roman" w:cs="Times New Roman" w:eastAsia="Times New Roman" w:hAnsi="Times New Roman"/>
                <w:sz w:val="13"/>
                <w:szCs w:val="13"/>
                <w:b w:val="1"/>
                <w:bCs w:val="1"/>
                <w:color w:val="auto"/>
                <w:w w:val="95"/>
              </w:rPr>
              <w:t>Salvatore Vanchieri</w:t>
            </w:r>
          </w:p>
        </w:tc>
      </w:tr>
      <w:tr>
        <w:trPr>
          <w:trHeight w:val="159"/>
        </w:trPr>
        <w:tc>
          <w:tcPr>
            <w:tcW w:w="2100" w:type="dxa"/>
            <w:vAlign w:val="bottom"/>
          </w:tcPr>
          <w:p>
            <w:pPr>
              <w:jc w:val="center"/>
              <w:ind w:right="476"/>
              <w:spacing w:after="0"/>
              <w:rPr>
                <w:sz w:val="20"/>
                <w:szCs w:val="20"/>
                <w:color w:val="auto"/>
              </w:rPr>
            </w:pPr>
            <w:r>
              <w:rPr>
                <w:rFonts w:ascii="Times New Roman" w:cs="Times New Roman" w:eastAsia="Times New Roman" w:hAnsi="Times New Roman"/>
                <w:sz w:val="13"/>
                <w:szCs w:val="13"/>
                <w:b w:val="1"/>
                <w:bCs w:val="1"/>
                <w:color w:val="auto"/>
                <w:w w:val="98"/>
              </w:rPr>
              <w:t>Kristen M. McCarthy</w:t>
            </w:r>
          </w:p>
        </w:tc>
        <w:tc>
          <w:tcPr>
            <w:tcW w:w="3840" w:type="dxa"/>
            <w:vAlign w:val="bottom"/>
          </w:tcPr>
          <w:p>
            <w:pPr>
              <w:jc w:val="center"/>
              <w:ind w:left="2196"/>
              <w:spacing w:after="0"/>
              <w:rPr>
                <w:sz w:val="20"/>
                <w:szCs w:val="20"/>
                <w:color w:val="auto"/>
              </w:rPr>
            </w:pPr>
            <w:r>
              <w:rPr>
                <w:rFonts w:ascii="Times New Roman" w:cs="Times New Roman" w:eastAsia="Times New Roman" w:hAnsi="Times New Roman"/>
                <w:sz w:val="13"/>
                <w:szCs w:val="13"/>
                <w:b w:val="1"/>
                <w:bCs w:val="1"/>
                <w:color w:val="auto"/>
                <w:w w:val="99"/>
              </w:rPr>
              <w:t>Sandy Kugbei</w:t>
            </w:r>
          </w:p>
        </w:tc>
      </w:tr>
      <w:tr>
        <w:trPr>
          <w:trHeight w:val="159"/>
        </w:trPr>
        <w:tc>
          <w:tcPr>
            <w:tcW w:w="2100" w:type="dxa"/>
            <w:vAlign w:val="bottom"/>
          </w:tcPr>
          <w:p>
            <w:pPr>
              <w:jc w:val="center"/>
              <w:ind w:right="476"/>
              <w:spacing w:after="0"/>
              <w:rPr>
                <w:sz w:val="20"/>
                <w:szCs w:val="20"/>
                <w:color w:val="auto"/>
              </w:rPr>
            </w:pPr>
            <w:r>
              <w:rPr>
                <w:rFonts w:ascii="Times New Roman" w:cs="Times New Roman" w:eastAsia="Times New Roman" w:hAnsi="Times New Roman"/>
                <w:sz w:val="13"/>
                <w:szCs w:val="13"/>
                <w:b w:val="1"/>
                <w:bCs w:val="1"/>
                <w:color w:val="auto"/>
                <w:w w:val="96"/>
              </w:rPr>
              <w:t>Goodwin Procter LLP</w:t>
            </w:r>
          </w:p>
        </w:tc>
        <w:tc>
          <w:tcPr>
            <w:tcW w:w="3840" w:type="dxa"/>
            <w:vAlign w:val="bottom"/>
          </w:tcPr>
          <w:p>
            <w:pPr>
              <w:jc w:val="center"/>
              <w:ind w:left="2196"/>
              <w:spacing w:after="0"/>
              <w:rPr>
                <w:sz w:val="20"/>
                <w:szCs w:val="20"/>
                <w:color w:val="auto"/>
              </w:rPr>
            </w:pPr>
            <w:r>
              <w:rPr>
                <w:rFonts w:ascii="Times New Roman" w:cs="Times New Roman" w:eastAsia="Times New Roman" w:hAnsi="Times New Roman"/>
                <w:sz w:val="13"/>
                <w:szCs w:val="13"/>
                <w:b w:val="1"/>
                <w:bCs w:val="1"/>
                <w:color w:val="auto"/>
                <w:w w:val="97"/>
              </w:rPr>
              <w:t>Latham &amp; Watkins LLP</w:t>
            </w:r>
          </w:p>
        </w:tc>
      </w:tr>
      <w:tr>
        <w:trPr>
          <w:trHeight w:val="159"/>
        </w:trPr>
        <w:tc>
          <w:tcPr>
            <w:tcW w:w="2100" w:type="dxa"/>
            <w:vAlign w:val="bottom"/>
          </w:tcPr>
          <w:p>
            <w:pPr>
              <w:jc w:val="center"/>
              <w:ind w:right="476"/>
              <w:spacing w:after="0"/>
              <w:rPr>
                <w:sz w:val="20"/>
                <w:szCs w:val="20"/>
                <w:color w:val="auto"/>
              </w:rPr>
            </w:pPr>
            <w:r>
              <w:rPr>
                <w:rFonts w:ascii="Times New Roman" w:cs="Times New Roman" w:eastAsia="Times New Roman" w:hAnsi="Times New Roman"/>
                <w:sz w:val="13"/>
                <w:szCs w:val="13"/>
                <w:b w:val="1"/>
                <w:bCs w:val="1"/>
                <w:color w:val="auto"/>
                <w:w w:val="96"/>
              </w:rPr>
              <w:t>100 Northern Avenue</w:t>
            </w:r>
          </w:p>
        </w:tc>
        <w:tc>
          <w:tcPr>
            <w:tcW w:w="3840" w:type="dxa"/>
            <w:vAlign w:val="bottom"/>
          </w:tcPr>
          <w:p>
            <w:pPr>
              <w:jc w:val="center"/>
              <w:ind w:left="2196"/>
              <w:spacing w:after="0"/>
              <w:rPr>
                <w:sz w:val="20"/>
                <w:szCs w:val="20"/>
                <w:color w:val="auto"/>
              </w:rPr>
            </w:pPr>
            <w:r>
              <w:rPr>
                <w:rFonts w:ascii="Times New Roman" w:cs="Times New Roman" w:eastAsia="Times New Roman" w:hAnsi="Times New Roman"/>
                <w:sz w:val="13"/>
                <w:szCs w:val="13"/>
                <w:b w:val="1"/>
                <w:bCs w:val="1"/>
                <w:color w:val="auto"/>
                <w:w w:val="97"/>
              </w:rPr>
              <w:t>1271 Avenue of the Americas</w:t>
            </w:r>
          </w:p>
        </w:tc>
      </w:tr>
      <w:tr>
        <w:trPr>
          <w:trHeight w:val="159"/>
        </w:trPr>
        <w:tc>
          <w:tcPr>
            <w:tcW w:w="2100" w:type="dxa"/>
            <w:vAlign w:val="bottom"/>
          </w:tcPr>
          <w:p>
            <w:pPr>
              <w:jc w:val="center"/>
              <w:ind w:right="476"/>
              <w:spacing w:after="0"/>
              <w:rPr>
                <w:sz w:val="20"/>
                <w:szCs w:val="20"/>
                <w:color w:val="auto"/>
              </w:rPr>
            </w:pPr>
            <w:r>
              <w:rPr>
                <w:rFonts w:ascii="Times New Roman" w:cs="Times New Roman" w:eastAsia="Times New Roman" w:hAnsi="Times New Roman"/>
                <w:sz w:val="13"/>
                <w:szCs w:val="13"/>
                <w:b w:val="1"/>
                <w:bCs w:val="1"/>
                <w:color w:val="auto"/>
                <w:w w:val="97"/>
              </w:rPr>
              <w:t>Boston, Massachusetts 02210</w:t>
            </w:r>
          </w:p>
        </w:tc>
        <w:tc>
          <w:tcPr>
            <w:tcW w:w="3840" w:type="dxa"/>
            <w:vAlign w:val="bottom"/>
          </w:tcPr>
          <w:p>
            <w:pPr>
              <w:jc w:val="center"/>
              <w:ind w:left="2196"/>
              <w:spacing w:after="0"/>
              <w:rPr>
                <w:sz w:val="20"/>
                <w:szCs w:val="20"/>
                <w:color w:val="auto"/>
              </w:rPr>
            </w:pPr>
            <w:r>
              <w:rPr>
                <w:rFonts w:ascii="Times New Roman" w:cs="Times New Roman" w:eastAsia="Times New Roman" w:hAnsi="Times New Roman"/>
                <w:sz w:val="13"/>
                <w:szCs w:val="13"/>
                <w:b w:val="1"/>
                <w:bCs w:val="1"/>
                <w:color w:val="auto"/>
                <w:w w:val="96"/>
              </w:rPr>
              <w:t>New York, New York 10020</w:t>
            </w:r>
          </w:p>
        </w:tc>
      </w:tr>
      <w:tr>
        <w:trPr>
          <w:trHeight w:val="167"/>
        </w:trPr>
        <w:tc>
          <w:tcPr>
            <w:tcW w:w="2100" w:type="dxa"/>
            <w:vAlign w:val="bottom"/>
          </w:tcPr>
          <w:p>
            <w:pPr>
              <w:jc w:val="center"/>
              <w:ind w:right="476"/>
              <w:spacing w:after="0"/>
              <w:rPr>
                <w:sz w:val="20"/>
                <w:szCs w:val="20"/>
                <w:color w:val="auto"/>
              </w:rPr>
            </w:pPr>
            <w:r>
              <w:rPr>
                <w:rFonts w:ascii="Times New Roman" w:cs="Times New Roman" w:eastAsia="Times New Roman" w:hAnsi="Times New Roman"/>
                <w:sz w:val="13"/>
                <w:szCs w:val="13"/>
                <w:b w:val="1"/>
                <w:bCs w:val="1"/>
                <w:color w:val="auto"/>
                <w:w w:val="98"/>
              </w:rPr>
              <w:t>(617) 570-1000</w:t>
            </w:r>
          </w:p>
        </w:tc>
        <w:tc>
          <w:tcPr>
            <w:tcW w:w="3840" w:type="dxa"/>
            <w:vAlign w:val="bottom"/>
          </w:tcPr>
          <w:p>
            <w:pPr>
              <w:jc w:val="center"/>
              <w:ind w:left="2196"/>
              <w:spacing w:after="0"/>
              <w:rPr>
                <w:sz w:val="20"/>
                <w:szCs w:val="20"/>
                <w:color w:val="auto"/>
              </w:rPr>
            </w:pPr>
            <w:r>
              <w:rPr>
                <w:rFonts w:ascii="Times New Roman" w:cs="Times New Roman" w:eastAsia="Times New Roman" w:hAnsi="Times New Roman"/>
                <w:sz w:val="13"/>
                <w:szCs w:val="13"/>
                <w:b w:val="1"/>
                <w:bCs w:val="1"/>
                <w:color w:val="auto"/>
                <w:w w:val="95"/>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123825</wp:posOffset>
            </wp:positionV>
            <wp:extent cx="11576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5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As soon as practicable after the effective date of this registration statement.</w:t>
      </w:r>
    </w:p>
    <w:p>
      <w:pPr>
        <w:spacing w:after="0" w:line="96" w:lineRule="exact"/>
        <w:rPr>
          <w:sz w:val="24"/>
          <w:szCs w:val="24"/>
          <w:color w:val="auto"/>
        </w:rPr>
      </w:pPr>
    </w:p>
    <w:p>
      <w:pPr>
        <w:ind w:left="180" w:right="319"/>
        <w:spacing w:after="0" w:line="172"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9" w:lineRule="exact"/>
        <w:rPr>
          <w:sz w:val="24"/>
          <w:szCs w:val="24"/>
          <w:color w:val="auto"/>
        </w:rPr>
      </w:pPr>
    </w:p>
    <w:p>
      <w:pPr>
        <w:ind w:left="180" w:right="219"/>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(333-294976)</w:t>
      </w:r>
    </w:p>
    <w:p>
      <w:pPr>
        <w:spacing w:after="0" w:line="59" w:lineRule="exact"/>
        <w:rPr>
          <w:sz w:val="24"/>
          <w:szCs w:val="24"/>
          <w:color w:val="auto"/>
        </w:rPr>
      </w:pPr>
    </w:p>
    <w:p>
      <w:pPr>
        <w:ind w:left="180" w:right="659"/>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9" w:lineRule="exact"/>
        <w:rPr>
          <w:sz w:val="24"/>
          <w:szCs w:val="24"/>
          <w:color w:val="auto"/>
        </w:rPr>
      </w:pPr>
    </w:p>
    <w:p>
      <w:pPr>
        <w:ind w:left="180" w:right="659"/>
        <w:spacing w:after="0" w:line="17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9" w:lineRule="exact"/>
        <w:rPr>
          <w:sz w:val="24"/>
          <w:szCs w:val="24"/>
          <w:color w:val="auto"/>
        </w:rPr>
      </w:pPr>
    </w:p>
    <w:p>
      <w:pPr>
        <w:ind w:left="180" w:right="33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180" w:type="dxa"/>
        <w:tblCellMar>
          <w:top w:w="0" w:type="dxa"/>
          <w:left w:w="0" w:type="dxa"/>
          <w:bottom w:w="0" w:type="dxa"/>
          <w:right w:w="0" w:type="dxa"/>
        </w:tblCellMar>
      </w:tblPr>
      <w:tr>
        <w:trPr>
          <w:trHeight w:val="214"/>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2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4"/>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2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4"/>
        </w:trPr>
        <w:tc>
          <w:tcPr>
            <w:tcW w:w="12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18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111125</wp:posOffset>
            </wp:positionV>
            <wp:extent cx="1157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40" w:lineRule="exact"/>
        <w:rPr>
          <w:sz w:val="24"/>
          <w:szCs w:val="24"/>
          <w:color w:val="auto"/>
        </w:rPr>
      </w:pPr>
    </w:p>
    <w:p>
      <w:pPr>
        <w:ind w:left="180" w:right="47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5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The Registration Statement shall become effective upon filing in accordance with Rule 462(b)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60960</wp:posOffset>
            </wp:positionV>
            <wp:extent cx="54927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94615</wp:posOffset>
            </wp:positionV>
            <wp:extent cx="54927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ectPr>
          <w:pgSz w:w="11900" w:h="16838" w:orient="portrait"/>
          <w:cols w:equalWidth="0" w:num="1">
            <w:col w:w="9019"/>
          </w:cols>
          <w:pgMar w:left="1440" w:top="21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EXPLANATORY NOTE AND INCORPORATION BY REFERENCE</w:t>
      </w:r>
    </w:p>
    <w:p>
      <w:pPr>
        <w:spacing w:after="0" w:line="180" w:lineRule="exact"/>
        <w:rPr>
          <w:sz w:val="20"/>
          <w:szCs w:val="20"/>
          <w:color w:val="auto"/>
        </w:rPr>
      </w:pPr>
    </w:p>
    <w:p>
      <w:pPr>
        <w:ind w:left="180" w:right="259"/>
        <w:spacing w:after="0" w:line="259" w:lineRule="auto"/>
        <w:rPr>
          <w:sz w:val="20"/>
          <w:szCs w:val="20"/>
          <w:color w:val="auto"/>
        </w:rPr>
      </w:pPr>
      <w:r>
        <w:rPr>
          <w:rFonts w:ascii="Times New Roman" w:cs="Times New Roman" w:eastAsia="Times New Roman" w:hAnsi="Times New Roman"/>
          <w:sz w:val="14"/>
          <w:szCs w:val="14"/>
          <w:color w:val="auto"/>
        </w:rPr>
        <w:t>This Registration Statement is being filed pursuant to Rule 462(b) under the Securities Act of 1933, as amended (the “Securities Act”), for the sole purpose of increasing the aggregate number of shares of common stock offered by Seaport Therapeutics, Inc. (the “Registrant”) by 2,714,000 shares, 354,000 of which are subject to purchase upon exercise of the underwriters’ option to purchase additional shares of the Registrant’s common stock. The contents of the Registration Statement on Form S-1, as amended (File No. 333-294976), filed by the Registrant with the Securities and Exchange Commission (the “Commission”) pursuant to the Securities Act, including all amendments and exhibits thereto (the “Prior Registration Statement”), which was declared effective by the Commission on April 30, 2026, are incorporated by reference into this Registration Statement.</w:t>
      </w:r>
    </w:p>
    <w:p>
      <w:pPr>
        <w:spacing w:after="0" w:line="145" w:lineRule="exact"/>
        <w:rPr>
          <w:sz w:val="20"/>
          <w:szCs w:val="20"/>
          <w:color w:val="auto"/>
        </w:rPr>
      </w:pPr>
    </w:p>
    <w:p>
      <w:pPr>
        <w:ind w:left="180" w:right="439"/>
        <w:spacing w:after="0" w:line="286" w:lineRule="auto"/>
        <w:rPr>
          <w:sz w:val="20"/>
          <w:szCs w:val="20"/>
          <w:color w:val="auto"/>
        </w:rPr>
      </w:pPr>
      <w:r>
        <w:rPr>
          <w:rFonts w:ascii="Times New Roman" w:cs="Times New Roman" w:eastAsia="Times New Roman" w:hAnsi="Times New Roman"/>
          <w:sz w:val="14"/>
          <w:szCs w:val="14"/>
          <w:color w:val="auto"/>
        </w:rPr>
        <w:t>The additional shares of common stock that are being registered for issuance and sale are in an amount and at a price that together represent no more than 20% of the maximum aggregate offering price set forth in Exhibit 107 of the Prior Registration Statement.</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required opinion and consents are listed on an Exhibit Index attached hereto and filed herewith or incorporated by reference herein.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560" w:type="dxa"/>
            <w:vAlign w:val="bottom"/>
          </w:tcPr>
          <w:p>
            <w:pPr>
              <w:jc w:val="center"/>
              <w:ind w:right="144"/>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w w:val="99"/>
              </w:rPr>
              <w:t>Exhibit Index</w:t>
            </w:r>
          </w:p>
        </w:tc>
        <w:tc>
          <w:tcPr>
            <w:tcW w:w="0" w:type="dxa"/>
            <w:vAlign w:val="bottom"/>
          </w:tcPr>
          <w:p>
            <w:pPr>
              <w:spacing w:after="0"/>
              <w:rPr>
                <w:sz w:val="1"/>
                <w:szCs w:val="1"/>
                <w:color w:val="auto"/>
              </w:rPr>
            </w:pPr>
          </w:p>
        </w:tc>
      </w:tr>
      <w:tr>
        <w:trPr>
          <w:trHeight w:val="149"/>
        </w:trPr>
        <w:tc>
          <w:tcPr>
            <w:tcW w:w="560" w:type="dxa"/>
            <w:vAlign w:val="bottom"/>
          </w:tcPr>
          <w:p>
            <w:pPr>
              <w:jc w:val="center"/>
              <w:ind w:right="144"/>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-7620</wp:posOffset>
            </wp:positionV>
            <wp:extent cx="54927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pacing w:after="0" w:line="37" w:lineRule="exact"/>
        <w:rPr>
          <w:sz w:val="20"/>
          <w:szCs w:val="20"/>
          <w:color w:val="auto"/>
        </w:rPr>
      </w:pPr>
    </w:p>
    <w:p>
      <w:pPr>
        <w:ind w:left="240" w:hanging="61"/>
        <w:spacing w:after="0"/>
        <w:tabs>
          <w:tab w:leader="none" w:pos="2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5.1</w:t>
      </w:r>
      <w:r>
        <w:rPr>
          <w:rFonts w:ascii="Times New Roman" w:cs="Times New Roman" w:eastAsia="Times New Roman" w:hAnsi="Times New Roman"/>
          <w:sz w:val="14"/>
          <w:szCs w:val="14"/>
          <w:u w:val="single" w:color="auto"/>
          <w:color w:val="0000EE"/>
        </w:rPr>
        <w:t>Opinion of Goodwin Procter LLP</w:t>
      </w:r>
    </w:p>
    <w:p>
      <w:pPr>
        <w:spacing w:after="0" w:line="8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5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3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Consent of Goodwin Procter LLP (included in Exhibit 5.1)</w:t>
            </w:r>
          </w:p>
        </w:tc>
        <w:tc>
          <w:tcPr>
            <w:tcW w:w="1800" w:type="dxa"/>
            <w:vAlign w:val="bottom"/>
          </w:tcPr>
          <w:p>
            <w:pPr>
              <w:spacing w:after="0"/>
              <w:rPr>
                <w:sz w:val="20"/>
                <w:szCs w:val="20"/>
                <w:color w:val="auto"/>
              </w:rPr>
            </w:pPr>
          </w:p>
        </w:tc>
      </w:tr>
      <w:tr>
        <w:trPr>
          <w:trHeight w:val="266"/>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of Attorney</w:t>
            </w:r>
          </w:p>
        </w:tc>
      </w:tr>
    </w:tbl>
    <w:p>
      <w:pPr>
        <w:spacing w:after="0" w:line="71" w:lineRule="exact"/>
        <w:rPr>
          <w:sz w:val="20"/>
          <w:szCs w:val="20"/>
          <w:color w:val="auto"/>
        </w:rPr>
      </w:pPr>
    </w:p>
    <w:p>
      <w:pPr>
        <w:ind w:left="960" w:hanging="781"/>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99" w:lineRule="exact"/>
        <w:rPr>
          <w:sz w:val="20"/>
          <w:szCs w:val="20"/>
          <w:color w:val="auto"/>
        </w:rPr>
      </w:pPr>
    </w:p>
    <w:p>
      <w:pPr>
        <w:ind w:left="520" w:right="379" w:hanging="341"/>
        <w:spacing w:after="0" w:line="28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included on the signature page to the Prior Registration Statement, originally filed with the Securities and Exchange Commission on April 10, 2026 and incorporated by reference herein.</w:t>
      </w:r>
    </w:p>
    <w:p>
      <w:pPr>
        <w:sectPr>
          <w:pgSz w:w="11900" w:h="16838" w:orient="portrait"/>
          <w:cols w:equalWidth="0" w:num="1">
            <w:col w:w="9019"/>
          </w:cols>
          <w:pgMar w:left="1440" w:top="23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SIGNATURES</w:t>
      </w:r>
    </w:p>
    <w:p>
      <w:pPr>
        <w:spacing w:after="0" w:line="180" w:lineRule="exact"/>
        <w:rPr>
          <w:sz w:val="20"/>
          <w:szCs w:val="20"/>
          <w:color w:val="auto"/>
        </w:rPr>
      </w:pPr>
    </w:p>
    <w:p>
      <w:pPr>
        <w:ind w:left="180" w:right="399"/>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Boston, Massachusetts on the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of April, 2026.</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By: /s/ Daphne Zohar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-101600</wp:posOffset>
            </wp:positionV>
            <wp:extent cx="203962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164" w:lineRule="exact"/>
        <w:rPr>
          <w:sz w:val="20"/>
          <w:szCs w:val="20"/>
          <w:color w:val="auto"/>
        </w:rPr>
      </w:pPr>
    </w:p>
    <w:p>
      <w:pPr>
        <w:ind w:left="180" w:right="419"/>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their capacities and on the date indicated.</w:t>
      </w:r>
    </w:p>
    <w:p>
      <w:pPr>
        <w:spacing w:after="0" w:line="142" w:lineRule="exact"/>
        <w:rPr>
          <w:sz w:val="20"/>
          <w:szCs w:val="20"/>
          <w:color w:val="auto"/>
        </w:rPr>
      </w:pPr>
    </w:p>
    <w:tbl>
      <w:tblPr>
        <w:tblLayout w:type="fixed"/>
        <w:tblInd w:w="180" w:type="dxa"/>
        <w:tblCellMar>
          <w:top w:w="0" w:type="dxa"/>
          <w:left w:w="0" w:type="dxa"/>
          <w:bottom w:w="0" w:type="dxa"/>
          <w:right w:w="0" w:type="dxa"/>
        </w:tblCellMar>
      </w:tblPr>
      <w:tr>
        <w:trPr>
          <w:trHeight w:val="146"/>
        </w:trPr>
        <w:tc>
          <w:tcPr>
            <w:tcW w:w="34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9"/>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Daphne Zohar</w:t>
            </w: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Daphne Zohar</w:t>
            </w:r>
          </w:p>
        </w:tc>
        <w:tc>
          <w:tcPr>
            <w:tcW w:w="180" w:type="dxa"/>
            <w:vAlign w:val="bottom"/>
          </w:tcPr>
          <w:p>
            <w:pPr>
              <w:spacing w:after="0"/>
              <w:rPr>
                <w:sz w:val="15"/>
                <w:szCs w:val="15"/>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r>
      <w:tr>
        <w:trPr>
          <w:trHeight w:val="335"/>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Lauren White</w:t>
            </w: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Chief Financial Officer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Lauren White</w:t>
            </w:r>
          </w:p>
        </w:tc>
        <w:tc>
          <w:tcPr>
            <w:tcW w:w="180" w:type="dxa"/>
            <w:vAlign w:val="bottom"/>
          </w:tcPr>
          <w:p>
            <w:pPr>
              <w:spacing w:after="0"/>
              <w:rPr>
                <w:sz w:val="15"/>
                <w:szCs w:val="15"/>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tc>
      </w:tr>
      <w:tr>
        <w:trPr>
          <w:trHeight w:val="33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Steven M. Paul, M.D.</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33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J. Hombach</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33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Healy, M.D., Ph.D.</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33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Sharon Mates, Ph.D.</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33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Jason Pitts, Ph.D.</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33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Sandra E. Peterson</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33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Denice Tores, J.D.</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33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Wheadon, M.D.</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526"/>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/s/ Daphne Zohar</w:t>
            </w:r>
          </w:p>
        </w:tc>
        <w:tc>
          <w:tcPr>
            <w:tcW w:w="1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46"/>
        </w:trPr>
        <w:tc>
          <w:tcPr>
            <w:tcW w:w="340" w:type="dxa"/>
            <w:vAlign w:val="bottom"/>
          </w:tcPr>
          <w:p>
            <w:pPr>
              <w:spacing w:after="0"/>
              <w:rPr>
                <w:sz w:val="12"/>
                <w:szCs w:val="12"/>
                <w:color w:val="auto"/>
              </w:rPr>
            </w:pPr>
          </w:p>
        </w:tc>
        <w:tc>
          <w:tcPr>
            <w:tcW w:w="2940" w:type="dxa"/>
            <w:vAlign w:val="bottom"/>
            <w:tcBorders>
              <w:top w:val="single" w:sz="8" w:color="auto"/>
            </w:tcBorders>
          </w:tcPr>
          <w:p>
            <w:pPr>
              <w:ind w:left="40"/>
              <w:spacing w:after="0" w:line="146" w:lineRule="exact"/>
              <w:rPr>
                <w:sz w:val="20"/>
                <w:szCs w:val="20"/>
                <w:color w:val="auto"/>
              </w:rPr>
            </w:pPr>
            <w:r>
              <w:rPr>
                <w:rFonts w:ascii="Times New Roman" w:cs="Times New Roman" w:eastAsia="Times New Roman" w:hAnsi="Times New Roman"/>
                <w:sz w:val="14"/>
                <w:szCs w:val="14"/>
                <w:color w:val="auto"/>
              </w:rPr>
              <w:t>Daphne Zohar</w:t>
            </w:r>
          </w:p>
        </w:tc>
        <w:tc>
          <w:tcPr>
            <w:tcW w:w="180" w:type="dxa"/>
            <w:vAlign w:val="bottom"/>
            <w:tcBorders>
              <w:top w:val="single" w:sz="8" w:color="auto"/>
            </w:tcBorders>
          </w:tcPr>
          <w:p>
            <w:pPr>
              <w:spacing w:after="0"/>
              <w:rPr>
                <w:sz w:val="12"/>
                <w:szCs w:val="12"/>
                <w:color w:val="auto"/>
              </w:rPr>
            </w:pPr>
          </w:p>
        </w:tc>
        <w:tc>
          <w:tcPr>
            <w:tcW w:w="5180" w:type="dxa"/>
            <w:vAlign w:val="bottom"/>
          </w:tcPr>
          <w:p>
            <w:pPr>
              <w:spacing w:after="0"/>
              <w:rPr>
                <w:sz w:val="12"/>
                <w:szCs w:val="12"/>
                <w:color w:val="auto"/>
              </w:rPr>
            </w:pPr>
          </w:p>
        </w:tc>
      </w:tr>
      <w:tr>
        <w:trPr>
          <w:trHeight w:val="184"/>
        </w:trPr>
        <w:tc>
          <w:tcPr>
            <w:tcW w:w="340" w:type="dxa"/>
            <w:vAlign w:val="bottom"/>
          </w:tcPr>
          <w:p>
            <w:pPr>
              <w:spacing w:after="0"/>
              <w:rPr>
                <w:sz w:val="15"/>
                <w:szCs w:val="15"/>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Attorney-in-Fact</w:t>
            </w:r>
          </w:p>
        </w:tc>
        <w:tc>
          <w:tcPr>
            <w:tcW w:w="180" w:type="dxa"/>
            <w:vAlign w:val="bottom"/>
          </w:tcPr>
          <w:p>
            <w:pPr>
              <w:spacing w:after="0"/>
              <w:rPr>
                <w:sz w:val="15"/>
                <w:szCs w:val="15"/>
                <w:color w:val="auto"/>
              </w:rPr>
            </w:pPr>
          </w:p>
        </w:tc>
        <w:tc>
          <w:tcPr>
            <w:tcW w:w="5180" w:type="dxa"/>
            <w:vAlign w:val="bottom"/>
          </w:tcPr>
          <w:p>
            <w:pPr>
              <w:spacing w:after="0"/>
              <w:rPr>
                <w:sz w:val="15"/>
                <w:szCs w:val="15"/>
                <w:color w:val="auto"/>
              </w:rPr>
            </w:pPr>
          </w:p>
        </w:tc>
      </w:tr>
    </w:tbl>
    <w:p>
      <w:pPr>
        <w:sectPr>
          <w:pgSz w:w="11900" w:h="16838" w:orient="portrait"/>
          <w:cols w:equalWidth="0" w:num="1">
            <w:col w:w="9019"/>
          </w:cols>
          <w:pgMar w:left="1440" w:top="239" w:right="1440" w:bottom="1440" w:gutter="0" w:footer="0" w:header="0"/>
        </w:sectPr>
      </w:pPr>
    </w:p>
    <w:bookmarkStart w:id="3" w:name="page4"/>
    <w:bookmarkEnd w:id="3"/>
    <w:p>
      <w:pPr>
        <w:ind w:left="8160"/>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-92075</wp:posOffset>
            </wp:positionV>
            <wp:extent cx="1426845" cy="349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6845" cy="349885"/>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620 Eighth Avenue</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New York, NY 10018</w:t>
      </w:r>
    </w:p>
    <w:p>
      <w:pPr>
        <w:spacing w:after="0" w:line="9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goodwinlaw.com</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+1 617 570 1000</w:t>
      </w:r>
    </w:p>
    <w:p>
      <w:pPr>
        <w:spacing w:after="0" w:line="17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3"/>
          <w:szCs w:val="13"/>
          <w:color w:val="auto"/>
        </w:rPr>
        <w:t>April 30, 2026</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Seaport Therapeutics, Inc.</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 Seaport Blvd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Seaport Boston, MA 02210</w:t>
      </w:r>
    </w:p>
    <w:p>
      <w:pPr>
        <w:spacing w:after="0" w:line="185" w:lineRule="exact"/>
        <w:rPr>
          <w:sz w:val="20"/>
          <w:szCs w:val="20"/>
          <w:color w:val="auto"/>
        </w:rPr>
      </w:pPr>
    </w:p>
    <w:p>
      <w:pPr>
        <w:ind w:left="520"/>
        <w:spacing w:after="0"/>
        <w:tabs>
          <w:tab w:leader="none" w:pos="92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Securities Registered under Registration Statement on Form S-1</w:t>
      </w:r>
    </w:p>
    <w:p>
      <w:pPr>
        <w:spacing w:after="0" w:line="178" w:lineRule="exact"/>
        <w:rPr>
          <w:sz w:val="20"/>
          <w:szCs w:val="20"/>
          <w:color w:val="auto"/>
        </w:rPr>
      </w:pPr>
    </w:p>
    <w:p>
      <w:pPr>
        <w:ind w:left="180" w:right="279"/>
        <w:spacing w:after="0" w:line="257" w:lineRule="auto"/>
        <w:rPr>
          <w:sz w:val="20"/>
          <w:szCs w:val="20"/>
          <w:color w:val="auto"/>
        </w:rPr>
      </w:pPr>
      <w:r>
        <w:rPr>
          <w:rFonts w:ascii="Times New Roman" w:cs="Times New Roman" w:eastAsia="Times New Roman" w:hAnsi="Times New Roman"/>
          <w:sz w:val="14"/>
          <w:szCs w:val="14"/>
          <w:color w:val="auto"/>
        </w:rPr>
        <w:t>We have acted as counsel to you in connection with your filing of (i) a Registration Statement on Form S-1 (File No. 333-294976) (as amended or supplemented, the “Initial Registration Statement”) pursuant to the Securities Act of 1933, as amended (the “Securities Act”), and (ii) a second Registration Statement on Form S-1 filed pursuant to Rule 462(b) promulgated under the Securities Act (the “462(b) Registration Statement,” and together with the Initial Registration Statement, the “Registration Statement”). This opinion letter is being furnished to you in connection with your filing of the 462(b) Registration Statement relating to the registration of the offering by Seaport Therapeutics, Inc., a Delaware corporation (the “Company”), of up to 2,714,000 shares (the “Shares”) of the Company’s voting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45" w:lineRule="exact"/>
        <w:rPr>
          <w:sz w:val="20"/>
          <w:szCs w:val="20"/>
          <w:color w:val="auto"/>
        </w:rPr>
      </w:pPr>
    </w:p>
    <w:p>
      <w:pPr>
        <w:ind w:left="180" w:right="219"/>
        <w:spacing w:after="0" w:line="269"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opinion set forth below is limited to the Delaware General Corporation Law.</w:t>
      </w:r>
    </w:p>
    <w:p>
      <w:pPr>
        <w:spacing w:after="0" w:line="178" w:lineRule="exact"/>
        <w:rPr>
          <w:sz w:val="20"/>
          <w:szCs w:val="20"/>
          <w:color w:val="auto"/>
        </w:rPr>
      </w:pPr>
    </w:p>
    <w:p>
      <w:pPr>
        <w:ind w:left="180" w:right="319"/>
        <w:spacing w:after="0" w:line="286" w:lineRule="auto"/>
        <w:rPr>
          <w:sz w:val="20"/>
          <w:szCs w:val="20"/>
          <w:color w:val="auto"/>
        </w:rPr>
      </w:pPr>
      <w:r>
        <w:rPr>
          <w:rFonts w:ascii="Times New Roman" w:cs="Times New Roman" w:eastAsia="Times New Roman" w:hAnsi="Times New Roman"/>
          <w:sz w:val="14"/>
          <w:szCs w:val="14"/>
          <w:color w:val="auto"/>
        </w:rPr>
        <w:t>Based on the foregoing, we are of the opinion that the Shares have been duly authorized and, when delivered and paid for in accordance with the terms of the Underwriting Agreement, will be validly issued, fully paid and non-assessable.</w:t>
      </w:r>
    </w:p>
    <w:p>
      <w:pPr>
        <w:spacing w:after="0" w:line="123" w:lineRule="exact"/>
        <w:rPr>
          <w:sz w:val="20"/>
          <w:szCs w:val="20"/>
          <w:color w:val="auto"/>
        </w:rPr>
      </w:pPr>
    </w:p>
    <w:p>
      <w:pPr>
        <w:ind w:left="180" w:right="379"/>
        <w:spacing w:after="0" w:line="289" w:lineRule="auto"/>
        <w:rPr>
          <w:sz w:val="20"/>
          <w:szCs w:val="20"/>
          <w:color w:val="auto"/>
        </w:rPr>
      </w:pPr>
      <w:r>
        <w:rPr>
          <w:rFonts w:ascii="Times New Roman" w:cs="Times New Roman" w:eastAsia="Times New Roman" w:hAnsi="Times New Roman"/>
          <w:sz w:val="14"/>
          <w:szCs w:val="14"/>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4"/>
          <w:szCs w:val="14"/>
          <w:i w:val="1"/>
          <w:iCs w:val="1"/>
          <w:color w:val="auto"/>
        </w:rPr>
        <w:t>Business Lawyer</w:t>
      </w:r>
      <w:r>
        <w:rPr>
          <w:rFonts w:ascii="Times New Roman" w:cs="Times New Roman" w:eastAsia="Times New Roman" w:hAnsi="Times New Roman"/>
          <w:sz w:val="14"/>
          <w:szCs w:val="14"/>
          <w:color w:val="auto"/>
        </w:rPr>
        <w:t xml:space="preserve"> 815 (Summer 2019).</w:t>
      </w:r>
    </w:p>
    <w:p>
      <w:pPr>
        <w:spacing w:after="0" w:line="123" w:lineRule="exact"/>
        <w:rPr>
          <w:sz w:val="20"/>
          <w:szCs w:val="20"/>
          <w:color w:val="auto"/>
        </w:rPr>
      </w:pPr>
    </w:p>
    <w:p>
      <w:pPr>
        <w:ind w:left="180" w:right="219"/>
        <w:spacing w:after="0" w:line="269" w:lineRule="auto"/>
        <w:rPr>
          <w:sz w:val="20"/>
          <w:szCs w:val="20"/>
          <w:color w:val="auto"/>
        </w:rPr>
      </w:pPr>
      <w:r>
        <w:rPr>
          <w:rFonts w:ascii="Times New Roman" w:cs="Times New Roman" w:eastAsia="Times New Roman" w:hAnsi="Times New Roman"/>
          <w:sz w:val="14"/>
          <w:szCs w:val="14"/>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ectPr>
          <w:pgSz w:w="11900" w:h="16838" w:orient="portrait"/>
          <w:cols w:equalWidth="0" w:num="1">
            <w:col w:w="9019"/>
          </w:cols>
          <w:pgMar w:left="1440" w:top="123" w:right="1440"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Seaport Therapeutics, Inc.</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April 30, 2026</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Page 2</w:t>
      </w:r>
    </w:p>
    <w:p>
      <w:pPr>
        <w:spacing w:after="0" w:line="1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Goodwin Procter LLP</w:t>
      </w:r>
    </w:p>
    <w:p>
      <w:pPr>
        <w:spacing w:after="0" w:line="178"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4"/>
          <w:szCs w:val="14"/>
          <w:color w:val="auto"/>
        </w:rPr>
        <w:t>GOODWIN PROCTER LLP</w:t>
      </w:r>
    </w:p>
    <w:p>
      <w:pPr>
        <w:sectPr>
          <w:pgSz w:w="11900" w:h="16838" w:orient="portrait"/>
          <w:cols w:equalWidth="0" w:num="1">
            <w:col w:w="9019"/>
          </w:cols>
          <w:pgMar w:left="1440" w:top="241" w:right="1440" w:bottom="1440" w:gutter="0" w:footer="0" w:header="0"/>
        </w:sectPr>
      </w:pPr>
    </w:p>
    <w:bookmarkStart w:id="5" w:name="page6"/>
    <w:bookmarkEnd w:id="5"/>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8" w:lineRule="exact"/>
        <w:rPr>
          <w:sz w:val="20"/>
          <w:szCs w:val="20"/>
          <w:color w:val="auto"/>
        </w:rPr>
      </w:pPr>
    </w:p>
    <w:p>
      <w:pPr>
        <w:ind w:left="180" w:right="219"/>
        <w:spacing w:after="0" w:line="261"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S-1 of our report dated February 27, 2026, except for the effects of the reverse stock split discussed in Note 18 to the consolidated financial statements, as to which the date is April 27, 2026, relating to the financial statements, which appears in Amendment No. 1 to the Registration Statement on Form S-1 (No. 333-294976) of Seaport Therapeutics, Inc. We also consent to the reference to us under the heading “Experts” in Amendment No. 1 to the Registration Statement on Form S-1 (No. 333-294976) incorporated by reference in this Registration Statement.</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April 30, 2026</w:t>
      </w:r>
    </w:p>
    <w:p>
      <w:pPr>
        <w:sectPr>
          <w:pgSz w:w="11900" w:h="16838" w:orient="portrait"/>
          <w:cols w:equalWidth="0" w:num="1">
            <w:col w:w="9019"/>
          </w:cols>
          <w:pgMar w:left="1440" w:top="123" w:right="1440" w:bottom="1440" w:gutter="0" w:footer="0" w:header="0"/>
        </w:sectPr>
      </w:pPr>
    </w:p>
    <w:bookmarkStart w:id="6" w:name="page7"/>
    <w:bookmarkEnd w:id="6"/>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Seaport Therapeutics,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7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55"/>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60"/>
              <w:spacing w:after="0" w:line="17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70"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2,714,000</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8"/>
              </w:rPr>
              <w:t>$ 18.00</w:t>
            </w: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$ 6,746.46</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48,852,000.00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$ 6,746.46</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48,852,000.00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$ 6,746.46</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20" w:hanging="183"/>
        <w:spacing w:after="0" w:line="232" w:lineRule="auto"/>
        <w:tabs>
          <w:tab w:leader="none" w:pos="220" w:val="left"/>
        </w:tabs>
        <w:numPr>
          <w:ilvl w:val="0"/>
          <w:numId w:val="4"/>
        </w:numPr>
        <w:rPr>
          <w:rFonts w:ascii="Arial" w:cs="Arial" w:eastAsia="Arial" w:hAnsi="Arial"/>
          <w:sz w:val="21"/>
          <w:szCs w:val="21"/>
          <w:color w:val="auto"/>
          <w:vertAlign w:val="superscript"/>
        </w:rPr>
      </w:pPr>
      <w:r>
        <w:rPr>
          <w:rFonts w:ascii="Arial" w:cs="Arial" w:eastAsia="Arial" w:hAnsi="Arial"/>
          <w:sz w:val="17"/>
          <w:szCs w:val="17"/>
          <w:color w:val="auto"/>
        </w:rPr>
        <w:t>(1) Represents only the additional number of shares being registered and includes 354,000 shares of common stock that the underwriters have the option to purchase. Does not include the securities that the Registrant previously registered on the Registration Statement on Form S-1 (File No. 333-294976), as amended (the "Prior Registration Statement"). (2) Estimated solely for the purpose of computing the registration fee in accordance with Rule 457(a) under the Securities Act of 1933, as amended (the "Securities Act"). (3) The registrant previously registered securities at an aggregate offering price not to exceed $244,260,000.00, which was declared effective by the Securities and Exchange Commission on April 30, 2026. In accordance with Rule 462(b) under the Securities Act, an additional amount of securities having a proposed maximum aggregate offering price of $18.00 per share is hereby registered, which includes shares issuable upon the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62865</wp:posOffset>
            </wp:positionV>
            <wp:extent cx="714692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54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50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8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3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5"/>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6"/>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6"/>
            <w:shd w:val="clear" w:color="auto" w:fill="9ADAF6"/>
          </w:tcPr>
          <w:p>
            <w:pPr>
              <w:jc w:val="center"/>
              <w:ind w:left="275"/>
              <w:spacing w:after="0"/>
              <w:rPr>
                <w:sz w:val="20"/>
                <w:szCs w:val="20"/>
                <w:color w:val="auto"/>
              </w:rPr>
            </w:pPr>
            <w:r>
              <w:rPr>
                <w:rFonts w:ascii="Arial" w:cs="Arial" w:eastAsia="Arial" w:hAnsi="Arial"/>
                <w:sz w:val="17"/>
                <w:szCs w:val="17"/>
                <w:b w:val="1"/>
                <w:bCs w:val="1"/>
                <w:color w:val="auto"/>
              </w:rPr>
              <w:t>Amount of</w:t>
            </w: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5"/>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5"/>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restart"/>
            <w:shd w:val="clear" w:color="auto" w:fill="9ADAF6"/>
          </w:tcPr>
          <w:p>
            <w:pPr>
              <w:jc w:val="center"/>
              <w:ind w:left="275"/>
              <w:spacing w:after="0" w:line="191" w:lineRule="exact"/>
              <w:rPr>
                <w:sz w:val="20"/>
                <w:szCs w:val="20"/>
                <w:color w:val="auto"/>
              </w:rPr>
            </w:pPr>
            <w:r>
              <w:rPr>
                <w:rFonts w:ascii="Arial" w:cs="Arial" w:eastAsia="Arial" w:hAnsi="Arial"/>
                <w:sz w:val="17"/>
                <w:szCs w:val="17"/>
                <w:b w:val="1"/>
                <w:bCs w:val="1"/>
                <w:color w:val="auto"/>
                <w:w w:val="99"/>
              </w:rPr>
              <w:t>Previously</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5"/>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7"/>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5"/>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7"/>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3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
      <w:numFmt w:val="bullet"/>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2026-04-30T17:05:04Z</dcterms:created>
  <dcterms:modified xsi:type="dcterms:W3CDTF">2026-04-30T17:05:04Z</dcterms:modified>
</cp:coreProperties>
</file>