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333-294976</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14,160,000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178435</wp:posOffset>
            </wp:positionV>
            <wp:extent cx="2451735" cy="934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177165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is an initial public offering of shares of common stock of Seaport Therapeutics, Inc. We are offering 14,160,000 shares of our common stock.</w:t>
      </w:r>
    </w:p>
    <w:p>
      <w:pPr>
        <w:spacing w:after="0" w:line="117" w:lineRule="exact"/>
        <w:rPr>
          <w:sz w:val="24"/>
          <w:szCs w:val="24"/>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is $18.00 per share. Our common stock has been approved for listing on the Nasdaq Global Select Market under the symbol “SPTX.”</w:t>
      </w:r>
    </w:p>
    <w:p>
      <w:pPr>
        <w:spacing w:after="0" w:line="54" w:lineRule="exact"/>
        <w:rPr>
          <w:sz w:val="24"/>
          <w:szCs w:val="24"/>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as defined under the U.S. federal securities laws and, as such, we have elected to comply with certain reduced public company reporting requirements in this prospectus. For additional information, see the section titled “Prospectus Summary—Implications of Being an Emerging Growth Company and a Smaller Reporting Company.”</w:t>
      </w:r>
    </w:p>
    <w:p>
      <w:pPr>
        <w:spacing w:after="0" w:line="64" w:lineRule="exact"/>
        <w:rPr>
          <w:sz w:val="24"/>
          <w:szCs w:val="24"/>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the section 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17 to read about factors you should consider before deciding to invest in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0"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4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40" w:type="dxa"/>
            <w:vAlign w:val="bottom"/>
          </w:tcPr>
          <w:p>
            <w:pPr>
              <w:spacing w:after="0"/>
              <w:rPr>
                <w:sz w:val="13"/>
                <w:szCs w:val="13"/>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18.00</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254,880,000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Underwriting discounts and commissions </w:t>
            </w:r>
            <w:r>
              <w:rPr>
                <w:rFonts w:ascii="Times New Roman" w:cs="Times New Roman" w:eastAsia="Times New Roman" w:hAnsi="Times New Roman"/>
                <w:sz w:val="25"/>
                <w:szCs w:val="25"/>
                <w:color w:val="auto"/>
                <w:vertAlign w:val="superscript"/>
              </w:rPr>
              <w:t>(1)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17,841,600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Seaport Therapeutics, Inc.</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16.74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237,038,400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compensation payable to the underwriters, see the section titled “Underwriting.”</w:t>
      </w:r>
    </w:p>
    <w:p>
      <w:pPr>
        <w:spacing w:after="0" w:line="117" w:lineRule="exact"/>
        <w:rPr>
          <w:sz w:val="24"/>
          <w:szCs w:val="24"/>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the option to purchase up to an additional 2,124,000 shares of common stock from us, at the initial public offering price, less the underwriting discounts and commissions.</w:t>
      </w:r>
    </w:p>
    <w:p>
      <w:pPr>
        <w:spacing w:after="0" w:line="54" w:lineRule="exact"/>
        <w:rPr>
          <w:sz w:val="24"/>
          <w:szCs w:val="24"/>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received indications of interest from entities affiliated with General Atlantic to purchase up to $50 million in shares of our common stock in this offering at the initial public offering price per share, on the same terms as the other purchasers in this offering. However, because indications of interest are not binding agreements or commitments to purchase shares, nor a commitment of the Company or the underwriters to allocate or sell shares, more, fewer or no shares may be sold to General Atlantic in this offering. The underwriters will receive the same underwriting discount and commissions on these shares as they will on any other shares sold to the public in this offering.</w:t>
      </w:r>
    </w:p>
    <w:p>
      <w:pPr>
        <w:spacing w:after="0" w:line="75" w:lineRule="exact"/>
        <w:rPr>
          <w:sz w:val="24"/>
          <w:szCs w:val="24"/>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offered by this prospectus for sale, at the initial public offering price, to our directors, officers, certain employees and certain other persons associated with us. See the section “</w:t>
      </w:r>
      <w:r>
        <w:rPr>
          <w:rFonts w:ascii="Times New Roman" w:cs="Times New Roman" w:eastAsia="Times New Roman" w:hAnsi="Times New Roman"/>
          <w:sz w:val="18"/>
          <w:szCs w:val="18"/>
          <w:i w:val="1"/>
          <w:iCs w:val="1"/>
          <w:color w:val="auto"/>
        </w:rPr>
        <w:t>Underwriting—Directed Share Program</w:t>
      </w:r>
      <w:r>
        <w:rPr>
          <w:rFonts w:ascii="Times New Roman" w:cs="Times New Roman" w:eastAsia="Times New Roman" w:hAnsi="Times New Roman"/>
          <w:sz w:val="18"/>
          <w:szCs w:val="18"/>
          <w:color w:val="auto"/>
        </w:rPr>
        <w:t>.”</w:t>
      </w:r>
    </w:p>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on or about May 4, 2026.</w:t>
      </w:r>
    </w:p>
    <w:p>
      <w:pPr>
        <w:spacing w:after="0" w:line="113" w:lineRule="exact"/>
        <w:rPr>
          <w:sz w:val="24"/>
          <w:szCs w:val="24"/>
          <w:color w:val="auto"/>
        </w:rPr>
      </w:pPr>
    </w:p>
    <w:p>
      <w:pPr>
        <w:ind w:left="120"/>
        <w:spacing w:after="0"/>
        <w:tabs>
          <w:tab w:leader="none" w:pos="4720" w:val="left"/>
          <w:tab w:leader="none" w:pos="6660" w:val="left"/>
          <w:tab w:leader="none" w:pos="9060" w:val="left"/>
          <w:tab w:leader="none" w:pos="10520" w:val="left"/>
        </w:tabs>
        <w:rPr>
          <w:sz w:val="20"/>
          <w:szCs w:val="20"/>
          <w:color w:val="auto"/>
        </w:rPr>
      </w:pPr>
      <w:r>
        <w:rPr>
          <w:rFonts w:ascii="Times New Roman" w:cs="Times New Roman" w:eastAsia="Times New Roman" w:hAnsi="Times New Roman"/>
          <w:sz w:val="23"/>
          <w:szCs w:val="23"/>
          <w:b w:val="1"/>
          <w:bCs w:val="1"/>
          <w:color w:val="auto"/>
        </w:rPr>
        <w:t>Goldman Sachs &amp; Co. LLC</w:t>
      </w:r>
      <w:r>
        <w:rPr>
          <w:sz w:val="20"/>
          <w:szCs w:val="20"/>
          <w:color w:val="auto"/>
        </w:rPr>
        <w:tab/>
      </w:r>
      <w:r>
        <w:rPr>
          <w:rFonts w:ascii="Times New Roman" w:cs="Times New Roman" w:eastAsia="Times New Roman" w:hAnsi="Times New Roman"/>
          <w:sz w:val="23"/>
          <w:szCs w:val="23"/>
          <w:b w:val="1"/>
          <w:bCs w:val="1"/>
          <w:color w:val="auto"/>
        </w:rPr>
        <w:t>J.P. Morgan</w:t>
      </w:r>
      <w:r>
        <w:rPr>
          <w:sz w:val="20"/>
          <w:szCs w:val="20"/>
          <w:color w:val="auto"/>
        </w:rPr>
        <w:tab/>
      </w:r>
      <w:r>
        <w:rPr>
          <w:rFonts w:ascii="Times New Roman" w:cs="Times New Roman" w:eastAsia="Times New Roman" w:hAnsi="Times New Roman"/>
          <w:sz w:val="23"/>
          <w:szCs w:val="23"/>
          <w:b w:val="1"/>
          <w:bCs w:val="1"/>
          <w:color w:val="auto"/>
        </w:rPr>
        <w:t>Leerink Partners</w:t>
      </w:r>
      <w:r>
        <w:rPr>
          <w:sz w:val="20"/>
          <w:szCs w:val="20"/>
          <w:color w:val="auto"/>
        </w:rPr>
        <w:tab/>
      </w:r>
      <w:r>
        <w:rPr>
          <w:rFonts w:ascii="Times New Roman" w:cs="Times New Roman" w:eastAsia="Times New Roman" w:hAnsi="Times New Roman"/>
          <w:sz w:val="23"/>
          <w:szCs w:val="23"/>
          <w:b w:val="1"/>
          <w:bCs w:val="1"/>
          <w:color w:val="auto"/>
        </w:rPr>
        <w:t>Citigroup</w:t>
      </w:r>
      <w:r>
        <w:rPr>
          <w:sz w:val="20"/>
          <w:szCs w:val="20"/>
          <w:color w:val="auto"/>
        </w:rPr>
        <w:tab/>
      </w:r>
      <w:r>
        <w:rPr>
          <w:rFonts w:ascii="Times New Roman" w:cs="Times New Roman" w:eastAsia="Times New Roman" w:hAnsi="Times New Roman"/>
          <w:sz w:val="23"/>
          <w:szCs w:val="23"/>
          <w:b w:val="1"/>
          <w:bCs w:val="1"/>
          <w:color w:val="auto"/>
        </w:rPr>
        <w:t>Stifel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172085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dated April 30, 2026</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PROSPECTUS SUMMARY</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0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160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720" w:type="dxa"/>
            <w:vAlign w:val="bottom"/>
            <w:tcBorders>
              <w:top w:val="single" w:sz="8" w:color="0000EE"/>
            </w:tcBorders>
            <w:gridSpan w:val="9"/>
          </w:tcPr>
          <w:p>
            <w:pPr>
              <w:spacing w:after="0"/>
              <w:rPr>
                <w:sz w:val="17"/>
                <w:szCs w:val="17"/>
                <w:color w:val="auto"/>
              </w:rPr>
            </w:pPr>
          </w:p>
        </w:tc>
        <w:tc>
          <w:tcPr>
            <w:tcW w:w="44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2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196"/>
        </w:trPr>
        <w:tc>
          <w:tcPr>
            <w:tcW w:w="89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196"/>
        </w:trPr>
        <w:tc>
          <w:tcPr>
            <w:tcW w:w="24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4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DIRECTOR COMPENSATION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41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r>
      <w:tr>
        <w:trPr>
          <w:trHeight w:val="196"/>
        </w:trPr>
        <w:tc>
          <w:tcPr>
            <w:tcW w:w="23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STOCKHOLDERS</w:t>
            </w:r>
          </w:p>
        </w:tc>
        <w:tc>
          <w:tcPr>
            <w:tcW w:w="740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212</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216</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8"/>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60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FOR NON-U.S. HOLDERS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225</w:t>
            </w:r>
          </w:p>
        </w:tc>
      </w:tr>
      <w:tr>
        <w:trPr>
          <w:trHeight w:val="196"/>
        </w:trPr>
        <w:tc>
          <w:tcPr>
            <w:tcW w:w="682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96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r>
      <w:tr>
        <w:trPr>
          <w:trHeight w:val="20"/>
        </w:trPr>
        <w:tc>
          <w:tcPr>
            <w:tcW w:w="4400" w:type="dxa"/>
            <w:vAlign w:val="bottom"/>
            <w:gridSpan w:val="1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INDEX TO THE CONSOLIDATED FINANCIAL STATEMENTS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to “Seaport,” the “company,” “we,” “our,” “us,” or similar terms refer to Seaport Therapeutics, Inc. and its wholly owned subsidiaries, or either or all of them as the context may require.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own, have applied for, or have rights to use one or more registered and common law trademarks, service marks, and/or trade names in connection with our business in the United States, which may be used throughout this prospectus. This prospectus also includes trademarks, tradenames, and service marks of third parties which are the property of their respective owners. Our use or display of third-parties’ trademarks, service marks,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 xml:space="preserve">tradenames, or products in this prospectus and our other public filings is not intended to, and does not imply a relationship with, or endorsement or sponsorship by us. Solely for convenience, the trademarks, service marks, logos and trade names referred to in this prospectus and our other public filings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p>
    <w:p>
      <w:pPr>
        <w:spacing w:after="0" w:line="1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as SP Therapeutics, Inc. on April 1, 2024 and changed our name to Seaport Therapeutics, Inc. on April 2, 2024. Our wholly owned subsidiary, SPTX, Inc., was a result of the incorporation of a predecessor company under the laws of the State of Delaware in February 2024 under the name Seaport Therapeutics, Inc., which subsequently changed its name to Seaport Therapeutics Holdings, Inc. in March 2024 and to SPTX, Inc. in April 2024. In April 2024, we entered into a share exchange agreement, or the Share Exchange Agreement, with SPTX, Inc., which resulted in SPTX, Inc. becoming our wholly owned subsidiary. On April 8, 2024, or the Asset Transfer Date,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their right, title, and interest in, to and under the assets related to its Glyph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technology or products, subject to the terms set forth in the Asset Transfer Agreement.</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financial statements presented in this prospectus for periods prior to the Asset Transfer Date, which are included in the consolidated financial statements for the year ended December 31, 2024, have been prepared on a “carve-out” basis from the financial statements of PureTech Health plc, or PureTech, to represent our financial position and performance as if we had existed on a standalone basis. The financial statements presented in this prospectus for periods from and after the Asset Transfer Date reflect our financial position and performance as a standalone entity. All of our assets, liabilities and expenses as of and for the periods prior to the Asset Transfer Date were identified based on the assets and liabilities contributed to us from PureTech, as well as indirect costs that were not specifically identifiable to us or our related programs but were considered necessary to operate as a standalone company. Management believes the assumptions underlying our carve-out financial statements are reasonable. Nevertheless, the carve-out financial statements may not include all of the actual expenses that would have been incurred had we operated as a standalone company during the periods presented, and may not reflect our results of operations, financial position, and cash flows had we operated as a standalone company during the periods presented. Actual costs that would have been incurred if we had operated as a standalone company would depend on multiple factors, including organizational structure and strategic decisions made in various areas.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“Management’s Discussion and Analysis of Financial Condition and Results of Operations” and our consolidated financial statements and the related notes included elsewhere in this prospectus, before making an investment decision.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39"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to overcome those limitations and invent innovative oral therapies. Glyph is a lymphatic-targeting prodrug technology which is designed to bypass first-pass metabolism and thereby enhance a drug’s oral bioavailability and reduce side effects. This process, which we call “Glyphing,” also creates new composition of matter intellectual property. Our experienced team of industry leaders has a proven track record in neuropsychiatry drug discovery and development and delivering successful business outcomes. We aim to develop novel, leading treatment options that will make a significant impact for patients and their families.</w:t>
      </w:r>
    </w:p>
    <w:p>
      <w:pPr>
        <w:spacing w:after="0" w:line="203" w:lineRule="exact"/>
        <w:rPr>
          <w:sz w:val="20"/>
          <w:szCs w:val="20"/>
          <w:color w:val="auto"/>
        </w:rPr>
      </w:pPr>
    </w:p>
    <w:p>
      <w:pPr>
        <w:ind w:left="300" w:firstLine="426"/>
        <w:spacing w:after="0" w:line="241" w:lineRule="auto"/>
        <w:rPr>
          <w:sz w:val="20"/>
          <w:szCs w:val="20"/>
          <w:color w:val="auto"/>
        </w:rPr>
      </w:pPr>
      <w:r>
        <w:rPr>
          <w:rFonts w:ascii="Times New Roman" w:cs="Times New Roman" w:eastAsia="Times New Roman" w:hAnsi="Times New Roman"/>
          <w:sz w:val="18"/>
          <w:szCs w:val="18"/>
          <w:color w:val="auto"/>
        </w:rPr>
        <w:t>Our lead product candidate,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or Glyph Allopregnanolone), is a novel, Glyphed oral prodrug of allopregnanolone, an endogenous molecule that has been clinically validated in third-party trials for the treatment of postpartum depression, or PPD, a form of major depressive disorder, or MDD, that shares symptomatology with MDD, as a rapidly acting antidepressant with anxiolytic and sleep-promoting effects. Additionally, an oral synthetic analog of allopregnanolone, zuranolone, demonstrated a rapid antidepressant effect that deepened while patients were on drug and met the primary endpoint in five of the six trials in MDD.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We have initiated the Phase 2b BUOY-1 trial in patients with MDD with or without anxious distress and anticipate topline data in the first half of 2027.</w:t>
      </w:r>
    </w:p>
    <w:p>
      <w:pPr>
        <w:spacing w:after="0" w:line="197" w:lineRule="exact"/>
        <w:rPr>
          <w:sz w:val="20"/>
          <w:szCs w:val="20"/>
          <w:color w:val="auto"/>
        </w:rPr>
      </w:pPr>
    </w:p>
    <w:p>
      <w:pPr>
        <w:ind w:left="300" w:right="80" w:firstLine="426"/>
        <w:spacing w:after="0" w:line="242" w:lineRule="auto"/>
        <w:rPr>
          <w:sz w:val="20"/>
          <w:szCs w:val="20"/>
          <w:color w:val="auto"/>
        </w:rPr>
      </w:pPr>
      <w:r>
        <w:rPr>
          <w:rFonts w:ascii="Times New Roman" w:cs="Times New Roman" w:eastAsia="Times New Roman" w:hAnsi="Times New Roman"/>
          <w:sz w:val="18"/>
          <w:szCs w:val="18"/>
          <w:color w:val="auto"/>
        </w:rPr>
        <w:t>Our second product candidate, GlyphAgo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(SPT-320 or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or AEs, were observed. We plan to initiate a Phase 2a proof-of-pharmacology trial designed to evaluate the potential sleep benefit of GlyphAgo in patients with GAD and sleep disturbance, with topline data expected in early 2028 and, in parallel, a Phase 2b trial designed to evaluate efficacy and safety of GlyphAgo in patients with GAD, with topline data expected by the end of 2028.</w:t>
      </w: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24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40" w:firstLine="426"/>
        <w:spacing w:after="0" w:line="224" w:lineRule="auto"/>
        <w:rPr>
          <w:sz w:val="20"/>
          <w:szCs w:val="20"/>
          <w:color w:val="auto"/>
        </w:rPr>
      </w:pPr>
      <w:r>
        <w:rPr>
          <w:rFonts w:ascii="Times New Roman" w:cs="Times New Roman" w:eastAsia="Times New Roman" w:hAnsi="Times New Roman"/>
          <w:sz w:val="18"/>
          <w:szCs w:val="18"/>
          <w:color w:val="auto"/>
        </w:rPr>
        <w:t>We are also advancing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9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Globally, over one billion people are living with mental illness as of 2021, comparable in prevalence to obesity or hypertension. According to the World Health Organization, as of 2021, depression affects approximately 332 million people worldwide and anxiety affects approximately 359 million people worldwide, and there is a significant need for novel treatment options. Currently approved drugs for MDD and GAD have significant limitations, including modest efficacy, slow onset of action, and unfavorable side effects. Advancement of novel therapies has been limited by a lack of understanding of disease pathophysiology, poor drug-like properties, and challenges in clinical trial design and execution leading to high clinical development failure rates.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We are uniquely positioned to overcome the challenges of developing medicines for depression, anxiety, and other neuropsychiatric disorders by leveraging our differentiated, three-pillar approach:</w:t>
      </w:r>
    </w:p>
    <w:p>
      <w:pPr>
        <w:spacing w:after="0" w:line="158" w:lineRule="exact"/>
        <w:rPr>
          <w:sz w:val="20"/>
          <w:szCs w:val="20"/>
          <w:color w:val="auto"/>
        </w:rPr>
      </w:pPr>
    </w:p>
    <w:p>
      <w:pPr>
        <w:ind w:left="300" w:right="60" w:firstLine="4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Identify clinically validated mechanisms held back by issues that can be addressed by our proprietary Glyph platform. </w:t>
      </w:r>
      <w:r>
        <w:rPr>
          <w:rFonts w:ascii="Times New Roman" w:cs="Times New Roman" w:eastAsia="Times New Roman" w:hAnsi="Times New Roman"/>
          <w:sz w:val="18"/>
          <w:szCs w:val="18"/>
          <w:color w:val="auto"/>
        </w:rPr>
        <w:t>We select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based on well-established clinical data, defined as demonstrated meaningful benefits compared to placebo in multiple randomized, placebo-controlled clinical trials in a large number of patients. We identify drugs matching this profile where clinical and commercial potential have been limited by high first-pass metabolism, low bioavailability, and/or side effects. We advance candidates that have the potential to be novel medicines and to impact a large number of patients.</w:t>
      </w:r>
    </w:p>
    <w:p>
      <w:pPr>
        <w:spacing w:after="0" w:line="179"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Create novel medicines with strong intellectual property using Glyph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Glyph is our proprietary technology platform which uses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lymphatic system to enable and enhance the oral administration of drugs. Typically, non-Glyphed oral small molecules undergo first-pass metabolism, where the concentration of drug is significantly reduced by metabolic enzymes in the liver prior to systemic circulation. First-pass metabolism can lead to low bioavailability (i.e., reduced concentration of active drug available to target organs) and/or side effects, including liver enzyme elevations or hepatotoxicity. Glyph leverages a separate absorption path taken by dietary fats. A Glyphed molecule uses this alternative route via the intestinal lymphatic system to bypass first-pass metabolism and transit directly into systemic circulation. The Glyph platform has the potential to be widely applied to many therapeutic molecules that have high first-pass metabolism. For each program, we use Glyph to create unique sets of prodrugs with differentiated profiles, and evaluate these prodrugs as potential candidates to advance into preclinical and clinical studies. Glyph has been applied to create novel product candidates for our pipeline resulting in new intellectual property, including composition of matter patents.</w:t>
      </w: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3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4361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Benefits of Our Proprietary Glyph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00" w:firstLine="426"/>
        <w:spacing w:after="0"/>
        <w:rPr>
          <w:sz w:val="20"/>
          <w:szCs w:val="20"/>
          <w:color w:val="auto"/>
        </w:rPr>
      </w:pPr>
      <w:r>
        <w:rPr>
          <w:rFonts w:ascii="Times New Roman" w:cs="Times New Roman" w:eastAsia="Times New Roman" w:hAnsi="Times New Roman"/>
          <w:sz w:val="18"/>
          <w:szCs w:val="18"/>
          <w:b w:val="1"/>
          <w:bCs w:val="1"/>
          <w:i w:val="1"/>
          <w:iCs w:val="1"/>
          <w:color w:val="auto"/>
        </w:rPr>
        <w:t>Apply our team’s expertise to optimize the design and execution of clinical trials and drive successful business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industry leaders with a proven track record of building successful companies that have developed and commercialized innovative neuropsychiatric medicines. This includes Zyprexa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Cymbalta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Latuda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Zurzuvae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Cobenfy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(xanomeline-trospium or KarXT), which was approved by the FDA in September 2024 and is the first new class of medicines in over 30 years for patients living with schizophrenia. Leveraging our team’s track record of success in neuropsychiatry discovery and clinical development is important as we select new product candidates and as we implement key design elements in our clinical trials to optimize treatment effect and duration and reduce placebo response. In parallel, we apply our deep experience in building successful companies to establish clear goals, drive strategic decision-making, and maintain financial discipline. Drawing on our track record of success in neuropsychiatry, we aim to drive successful outcomes for patients and shareholders.</w:t>
      </w:r>
    </w:p>
    <w:p>
      <w:pPr>
        <w:spacing w:after="0" w:line="3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70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We are developing a pipeline of novel potential treatments for neuropsychiatric disorders with significant unmet need. We retain exclusive, worldwide development and commercialization rights to all of our product candidates and discovery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Glyph aims to unlock the therapeutic potential of drugs in CNS and beyond. In addition to our three lead candidates, we have robust discovery programs and multiple pipeline programs underway.</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GlyphAllo: Potential Differentiated Therapy for MDD</w:t>
      </w:r>
    </w:p>
    <w:p>
      <w:pPr>
        <w:spacing w:after="0" w:line="31" w:lineRule="exact"/>
        <w:rPr>
          <w:sz w:val="20"/>
          <w:szCs w:val="20"/>
          <w:color w:val="auto"/>
        </w:rPr>
      </w:pPr>
    </w:p>
    <w:p>
      <w:pPr>
        <w:jc w:val="both"/>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an endogenous neurosteroid and gamma-aminobutyric acid A, or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positive allosteric modulator, or PAM. Allopregnanolone is a naturally occurring molecule that reduces stress, with levels that peak during the third trimester of pregnancy. An intravenous infusion formulation of allopregnanolone was approved for the treatment of PPD, a form of MDD.</w:t>
      </w:r>
    </w:p>
    <w:p>
      <w:pPr>
        <w:spacing w:after="0" w:line="1" w:lineRule="exact"/>
        <w:rPr>
          <w:sz w:val="20"/>
          <w:szCs w:val="20"/>
          <w:color w:val="auto"/>
        </w:rPr>
      </w:pPr>
    </w:p>
    <w:p>
      <w:pPr>
        <w:ind w:left="300"/>
        <w:spacing w:after="0" w:line="237" w:lineRule="auto"/>
        <w:rPr>
          <w:sz w:val="20"/>
          <w:szCs w:val="20"/>
          <w:color w:val="auto"/>
        </w:rPr>
      </w:pPr>
      <w:r>
        <w:rPr>
          <w:rFonts w:ascii="Times New Roman" w:cs="Times New Roman" w:eastAsia="Times New Roman" w:hAnsi="Times New Roman"/>
          <w:sz w:val="18"/>
          <w:szCs w:val="18"/>
          <w:color w:val="auto"/>
        </w:rPr>
        <w:t>Allopregnanolone has been clinically validated in two third-party trials, which were sponsored by Sage Therapeutics in the United States for the treatment of PPD and powered for statistical significance, as a rapidly acting antidepressant with anxiolytic and sleep-promoting effects. Due to the shared symptomatology between MDD and PPD, we believe data for MDD are relevant from such third-party trials. In each trial, allopregnanolone demonstrated statistically significant results on the primary endpoint of change in baseline at 60 hours in the Hamilton Depression Rating Scale-17, or HAMD-17, a regulatory-standard depression severity rating scale. However, its scope of clinical use has been constrained by oral bioavailability limitations that the Glyph platform is uniquely designed to solve. For example, a previous third-party clinical trial showed that oral administration of allopregnanolone resulted in plasma exposure levels with an AUC</w:t>
      </w:r>
      <w:r>
        <w:rPr>
          <w:rFonts w:ascii="Times New Roman" w:cs="Times New Roman" w:eastAsia="Times New Roman" w:hAnsi="Times New Roman"/>
          <w:sz w:val="26"/>
          <w:szCs w:val="26"/>
          <w:color w:val="auto"/>
          <w:vertAlign w:val="subscript"/>
        </w:rPr>
        <w:t>inf</w:t>
      </w:r>
      <w:r>
        <w:rPr>
          <w:rFonts w:ascii="Times New Roman" w:cs="Times New Roman" w:eastAsia="Times New Roman" w:hAnsi="Times New Roman"/>
          <w:sz w:val="18"/>
          <w:szCs w:val="18"/>
          <w:color w:val="auto"/>
        </w:rPr>
        <w:t xml:space="preserve"> of 0.7 ng*hr/mL per 1 mg of allopregnanolone dosed.</w:t>
      </w:r>
    </w:p>
    <w:p>
      <w:pPr>
        <w:spacing w:after="0" w:line="2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GlyphAllo: Preclinical Results</w:t>
      </w:r>
    </w:p>
    <w:p>
      <w:pPr>
        <w:spacing w:after="0" w:line="119"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In our preclinical studies conducted in non-human primates, or NHPs, oral dosing of GlyphAllo resulted in a greater than nine-fold increase in bioavailability compared to oral unmodified allopregnanolone over 24 hours. In these preclinical studies, evaluations of GlyphAllo and unmodified allopregnanolone were conducted simultaneously or sequentially using the same species.</w:t>
      </w:r>
    </w:p>
    <w:p>
      <w:pPr>
        <w:spacing w:after="0" w:line="28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GlyphAllo: Clinical Results</w:t>
      </w:r>
    </w:p>
    <w:p>
      <w:pPr>
        <w:spacing w:after="0" w:line="119" w:lineRule="exact"/>
        <w:rPr>
          <w:sz w:val="20"/>
          <w:szCs w:val="20"/>
          <w:color w:val="auto"/>
        </w:rPr>
      </w:pPr>
    </w:p>
    <w:p>
      <w:pPr>
        <w:ind w:left="300" w:right="40" w:firstLine="426"/>
        <w:spacing w:after="0" w:line="230" w:lineRule="auto"/>
        <w:rPr>
          <w:sz w:val="20"/>
          <w:szCs w:val="20"/>
          <w:color w:val="auto"/>
        </w:rPr>
      </w:pPr>
      <w:r>
        <w:rPr>
          <w:rFonts w:ascii="Times New Roman" w:cs="Times New Roman" w:eastAsia="Times New Roman" w:hAnsi="Times New Roman"/>
          <w:sz w:val="18"/>
          <w:szCs w:val="18"/>
          <w:color w:val="auto"/>
        </w:rPr>
        <w:t>In our Phase 1 clinical trial conducted in Australia in 99 participants, GlyphAllo demonstrated therapeutically relevant exposures with a favorable tolerability profile that supports chronic dosing. No treatment-related severe or serious adverse events were reported. Oral administration of GlyphAllo in our Phase 1 trial of GlyphAllo resulted in plasma exposure levels with an AUC</w:t>
      </w:r>
      <w:r>
        <w:rPr>
          <w:rFonts w:ascii="Times New Roman" w:cs="Times New Roman" w:eastAsia="Times New Roman" w:hAnsi="Times New Roman"/>
          <w:sz w:val="26"/>
          <w:szCs w:val="26"/>
          <w:color w:val="auto"/>
          <w:vertAlign w:val="subscript"/>
        </w:rPr>
        <w:t>inf</w:t>
      </w:r>
      <w:r>
        <w:rPr>
          <w:rFonts w:ascii="Times New Roman" w:cs="Times New Roman" w:eastAsia="Times New Roman" w:hAnsi="Times New Roman"/>
          <w:sz w:val="18"/>
          <w:szCs w:val="18"/>
          <w:color w:val="auto"/>
        </w:rPr>
        <w:t xml:space="preserve"> of 6.6 ng*hr/mL per 1 mg of allopregnanolone dosed.</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73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GlyphAllo has also demonstrated initial proof-of-concept in a Phase 2a randomized, placebo-controlled trial conducted in Australia in</w:t>
      </w:r>
    </w:p>
    <w:p>
      <w:pPr>
        <w:spacing w:after="0" w:line="27" w:lineRule="exact"/>
        <w:rPr>
          <w:sz w:val="20"/>
          <w:szCs w:val="20"/>
          <w:color w:val="auto"/>
        </w:rPr>
      </w:pPr>
    </w:p>
    <w:p>
      <w:pPr>
        <w:ind w:left="300"/>
        <w:spacing w:after="0" w:line="251" w:lineRule="auto"/>
        <w:rPr>
          <w:sz w:val="20"/>
          <w:szCs w:val="20"/>
          <w:color w:val="auto"/>
        </w:rPr>
      </w:pPr>
      <w:r>
        <w:rPr>
          <w:rFonts w:ascii="Times New Roman" w:cs="Times New Roman" w:eastAsia="Times New Roman" w:hAnsi="Times New Roman"/>
          <w:sz w:val="18"/>
          <w:szCs w:val="18"/>
          <w:color w:val="auto"/>
        </w:rPr>
        <w:t>80 participants, using the Trier Social Stress Test, or TSST, a validated clinical model of anxiety in healthy volunteers. No severe or serious adverse events were reported. Based on these Phase 1 and Phase 2a data, we believe GlyphAllo has the potential to become a leading treatment for MDD. We advanced GlyphAllo into what we believe is a registration-enabling Phase 2b BUOY-1 trial conducted in the US and EU in July 2025. BUOY-1 is a global, randomized, double-blind, placebo-controlled trial evaluating the efficacy, safety, and tolerability of GlyphAllo in adults with MDD, with or without anxious distress. MDD with anxious distress is a form of MDD characterized by significant anxiety. Approximately 60% of patients with MDD meet the criteria for anxious distress. This trial is expected to enroll up to approximately 360 patients, randomized 1:1 to receive either GlyphAllo or placebo once-daily over a six-week treatment period. This randomized, double-blind, multiregional, placebo-controlled trial is designed to be registration-enabling, subject to review by the FDA and other comparable regulatory authorities, as an adequate and well-controlled investigation that seeks to help provide substantial evidence of effectiveness by assessing GlyphAllo’s efficacy and safety in several hundred patients. Additional clinical trials may be required prior to the submission of a new drug application even if this trial is successful or positive. The primary endpoint of the trial is the change from baseline at six weeks in HAMD-17. Following the initial treatment period, eligible patients may enter an open-label extension trial, in which all participants will receive GlyphAllo for up to six additional weeks.</w:t>
      </w:r>
    </w:p>
    <w:p>
      <w:pPr>
        <w:spacing w:after="0" w:line="19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Previous clinical development of allopregnanolone and its synthetic analog, which has been evaluated by Sage Therapeutics in multiple late-stage clinical trials for the treatment of MDD, has been generally hindered by poor oral bioavailability, safety concerns, and clinical trial design limitations. GlyphAllo is designed to enhance the oral bioavailability of allopregnanolone and achieve systemic exposures comparable to an intravenous infusion of allopregnanolone, with once-daily oral dosing. We believe our ongoing Phase 2b BUOY-1 trial improves upon the design of previous third-party clinical trials that evaluated a synthetic analog of allopregnanolone in several important ways.</w:t>
      </w:r>
    </w:p>
    <w:p>
      <w:pPr>
        <w:spacing w:after="0" w:line="183"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improving durable efficacy by treating patients for the full six-week duration of the primary endpoint time frame, as opposed to previous trials that treated patients for only the first two weeks and assessed efficacy after six weeks. As allopregnanolone also has an anxiolytic effect, we are also enrolling patients that have MDD with or without anxious distress. To reduce placebo response, we are optimizing the frequency of clinician-administered assessments, as our comprehensive meta-analysis of recent antidepressant trials demonstrated that the frequency of these assessments is positively correlated with the magnitude of the placebo response in MDD trials. We are also including a single treatment arm and will flex dose to a target dose, similar to the strategy implemented at Karuna Therapeutics, since the number of active arms is positively associated with increased placebo response. Additionally, we are scrutinizing site selection and patient enrollment to ensure appropriate diagnosis and exclude inappropriate patients, including those with inflated baseline ratings and those who are concurrently participating in other studies. We expect topline data from the Phase 2b BUOY-1 trial in the first half of 2027.</w:t>
      </w:r>
    </w:p>
    <w:p>
      <w:pPr>
        <w:spacing w:after="0" w:line="2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GlyphAgo: Potential Differentiated Therapy for GAD</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GlyphAgo is a novel, Glyphed oral prodrug of agomelatine that we are advancing in a key Phase 1 proof-of-concept trial for the treatment of GAD in Australia, in which we plan to enroll up to approximately 190 participants. Agomelatine, a clinically validated MT1/MT2 melatonin receptor agonist and serotonin 2C (5-HT2C) receptor antagonist, is an effective anxiolytic and antidepressant approved for the treatment of GAD in Australia and MDD in Australia and the EU. In GAD, agomelatine has demonstrated statistically significant</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42" w:lineRule="auto"/>
        <w:rPr>
          <w:sz w:val="20"/>
          <w:szCs w:val="20"/>
          <w:color w:val="auto"/>
        </w:rPr>
      </w:pPr>
      <w:r>
        <w:rPr>
          <w:rFonts w:ascii="Times New Roman" w:cs="Times New Roman" w:eastAsia="Times New Roman" w:hAnsi="Times New Roman"/>
          <w:sz w:val="18"/>
          <w:szCs w:val="18"/>
          <w:color w:val="auto"/>
        </w:rPr>
        <w:t>separation from placebo in four third-party placebo-controlled studies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Based on two of the largest non-head-to- head literature meta-analyses of clinical trials of pharmacological agents for the treatment of GAD, agomelatine has been shown to have favorable efficacy and tolerability relative to other therapeutic agents. Specifically, in the first of these meta-analyses, which included two of the placebo-controlled studies of agomelatine, agomelatine was observed to have better efficacy and tolerability than certain standard-of-care drugs, such as selective serotonin-reuptake inhibitors, or SSRIs, which can result in sexual dysfunction and weight gain, and benzodiazepines, which can result in dependence and abuse. In the second of these meta-analyses, which included three of the placebo-controlled studies of agomelatine, agomelatine was found to be the most favorable drug in terms of both efficacy and tolerability among the analyzed competitors (venlafaxine, escitalopram, paroxetine, duloxetine, and pregabalin). However, despite this positive profile, over 90% of unmodified agomelatine is lost to first-pass liver metabolism and its use has been limited by dose-dependent liver enzyme elevations. Its label in both Australia and the EU requires liver function testing before initiating treatment, during treatment, and upon increasing the dose. Agomelatine is not approved in the United States.</w:t>
      </w:r>
    </w:p>
    <w:p>
      <w:pPr>
        <w:spacing w:after="0" w:line="196"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Using our proprietary Glyph platform, GlyphAgo is designed to avoid first-pass liver metabolism and increase systemic exposure of agomelatine, enabling exposure levels of agomelatine that are effective in GAD but at a lower dose that reduces liver exposure and reduces or eliminates the need for liver function testing. Based on internal analyses, we believe a two-fold increase in the bioavailability of agomelatine with GlyphAgo dosing will reduce or eliminate liver enzyme elevations. In preclinical studies in NHPs we showed that oral dosing of GlyphAgo increased plasma exposure of agomelatine versus agomelatine alone above this two-fold target. Therefore, based on the data we have generated to date, we believe GlyphAgo has the potential to become a leading treatment for GAD. The ongoing Phase 1 trial will be conducted in multiple parts to evaluate the safety, tolerability, and pharmacokinetics of GlyphAgo and compare the pharmacokinetics of GlyphAgo to agomelatine alone. It will include single- and multiple-ascending dose cohorts, as well as a food-effect crossover portion, using both open-label and placebo-controlled designs.</w:t>
      </w:r>
    </w:p>
    <w:p>
      <w:pPr>
        <w:spacing w:after="0" w:line="188"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In April 2026, we reported topline data from the SAD and crossover portions of our Phase 1 proof-of-concept clinical trial of GlyphAgo. In the head-to-head crossover portion of the trial, GlyphAgo demonstrated a 6.8-fold increase in bioavailability of agomelatine compared to unmodified orally administered agomelatine. GlyphAgo also showed significantly lower (10-fold) PK variability compared to unmodified agomelatine. The crossover portion included participants who were taking estrogen-containing oral contraceptives that are known to increase agomelatine exposure due to liver drug-drug interaction. In contrast, GlyphAgo exposure was unaffected by oral contraceptives, further supporting the ability of GlyphAgo to bypass first-pass liver metabolism. GlyphAgo demonstrated a 9.6 to 14.5-fold increase in dose-normalized exposure compared to agomelatine in a separate SAD portion of the trial in which no participants were on oral contraceptives. GlyphAgo was well tolerated and no liver-related AEs were observed. We plan to initiate a Phase 2a proof-of-pharmacology trial designed to evaluate the potential sleep benefit of GlyphAgo in patients with GAD and sleep disturbance, with topline data expected in early 2028.</w:t>
      </w:r>
    </w:p>
    <w:p>
      <w:pPr>
        <w:spacing w:after="0" w:line="188"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also plan to initiate, in parallel, a randomized, double-blind, placebo-controlled Phase 2b trial evaluating the efficacy and safety of GlyphAgo in patients with GAD, with topline data expected by the end of 2028. This multiregional trial is designed to be registration-enabling, subject to review by the FDA and other comparable regulatory authorities, as an adequate and well-controlled investigation that seeks to provide substantial evidence</w:t>
      </w:r>
    </w:p>
    <w:p>
      <w:pPr>
        <w:spacing w:after="0" w:line="148" w:lineRule="exact"/>
        <w:rPr>
          <w:sz w:val="20"/>
          <w:szCs w:val="20"/>
          <w:color w:val="auto"/>
        </w:rPr>
      </w:pPr>
    </w:p>
    <w:p>
      <w:pPr>
        <w:ind w:left="500" w:hanging="202"/>
        <w:spacing w:after="0" w:line="231" w:lineRule="auto"/>
        <w:tabs>
          <w:tab w:leader="none" w:pos="500"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statements above relating to the placebo-controlled studies of agomelatine in GAD are based on the following, which represents a complete list of all placebo-controlled studies of agomelatine in GAD: Dan J. Stein, et al., Efficacy and safety of agomelatine (10 or 25 mg/day) in non-depressed out-patients with generalized anxiety disorder: A 12-week, double-blind, placebo-controlled study, European Neuropsychopharmacology, Volume 27, Issue 5, 2017 (Also included in meta-analyses); Dan J. Stein, et al., Agomelatine in Generalized Anxiety Disorder: An Active Comparator and Placebo-Controlled Study, J Clin Psychiatry 2014;75(4):362-368 (Also included in meta-analyses); Dan J. Stein, et al., Agomelatine Prevents Relapse in Generalized Anxiety Disorder: A 6-Month Randomized, Double-Blind, Placebo-Controlled Discontinuation Study, J Clin Psychiatry 2012;73(7):1002-1008; Dan J. Stein, et al., Journal of Clinical Psychopharmacology 28(5):p 561-566, October 2008 (Also included in meta-analyses).</w:t>
      </w: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0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103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of effectiveness by assessing GlyphAgo’s efficacy and safety in several hundred patients. Although this trial is designed to be registration-enabling, additional clinical trials may be required prior to the submission of a new drug application even if this trial is successful or positive.</w:t>
      </w:r>
    </w:p>
    <w:p>
      <w:pPr>
        <w:spacing w:after="0" w:line="162" w:lineRule="exact"/>
        <w:rPr>
          <w:sz w:val="20"/>
          <w:szCs w:val="20"/>
          <w:color w:val="auto"/>
        </w:rPr>
      </w:pPr>
    </w:p>
    <w:p>
      <w:pPr>
        <w:ind w:left="300" w:right="300" w:firstLine="426"/>
        <w:spacing w:after="0" w:line="282" w:lineRule="auto"/>
        <w:rPr>
          <w:sz w:val="20"/>
          <w:szCs w:val="20"/>
          <w:color w:val="auto"/>
        </w:rPr>
      </w:pPr>
      <w:r>
        <w:rPr>
          <w:rFonts w:ascii="Times New Roman" w:cs="Times New Roman" w:eastAsia="Times New Roman" w:hAnsi="Times New Roman"/>
          <w:sz w:val="18"/>
          <w:szCs w:val="18"/>
          <w:color w:val="auto"/>
        </w:rPr>
        <w:t>Although the development and commercialization of GlyphAgo for the treatment of GAD is our primary focus, as part of our longer-term growth strategy, we may evaluate GlyphAgo in other indications as well, including MDD.</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Glyph2BLSD and Additional Applications of the Glyph Platform</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Glyph2BLSD is our novel, Glyphed oral prodrug of 2-bromo-LSD, a differentiated non-hallucinogenic neuroplastogen. Glyph2BLSD is designed to harness the differentiated and non-hallucinogenic profile of 2-bromo-LSD, which has rapidly acting clinical activity and is not expected to exhibit the fibrosis, cardiovascular effects, or hallucinations characteristic of some other neuroplastogens. Glyph2BLSD is designed to improve the pharmacokinetic and tolerability profile of 2-bromo-LSD while maintaining therapeutic exposure levels.</w:t>
      </w:r>
    </w:p>
    <w:p>
      <w:pPr>
        <w:spacing w:after="0" w:line="180"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Glyph2BLSD’s non-hallucinogenic profile unlocks the potential to enable convenient outpatient and repeat dosing to improve efficacy. We are advancing Glyph2BLSD through preclinical studies and are developing Glyph2BLSD for the treatment of depressive disorders, including TRD, PTSD, and headache disorders with significant unmet need. We are currently conducting first-in-human-enabling studies of Glyph2BLSD.</w:t>
      </w:r>
    </w:p>
    <w:p>
      <w:pPr>
        <w:spacing w:after="0" w:line="176"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are also leveraging the power of the Glyph platform to explore additional applications in central nervous system, or CNS, and non-CNS diseases and advance programs that address significant unmet needs in these areas.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Seaport was founded by pioneers in the neuropsychiatry field and is led by a team of seasoned industry veterans with a shared mission to transform the treatment of neuropsychiatric disorders and improve patients’ lives. We have assembled an experienced group of individuals with a proven track record of building successful companies that have developed and commercialized innovative neuropsychiatric medicines. Members of our leadership team have collaborated successfully over several decades on the discovery, development, and commercialization of neuropsychiatric medicines including Cobenfy, Latuda, Zyprexa, Cymbalta, and Zurzuvae. Our co-founders, Daphne Zohar and Dr. Steven Paul, were central to the success of Karuna Therapeutics, which invented and advanced the first-in-class medicine Cobenfy, and was acquired by Bristol Myers Squibb in March 2024 for $14 billion. Cobenfy was approved by the FDA in September 2024 and is the first drug to provide a new mechanism of action for schizophrenia in over 30 years. Cobenfy is estimated to achieve annual peak sales of over $5 billion. Despite the prior experience of our team, our limited operating history as a standalone company makes any reliance on past performance uncertain.</w:t>
      </w:r>
    </w:p>
    <w:p>
      <w:pPr>
        <w:spacing w:after="0" w:line="188"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Since our inception, we have raised $325 million in net proceeds from leading life science investors, including shareholders with holdings greater than 5%: ARCH Venture Partners, General Atlantic, Sofinnova Investments, Third Rock Ventures, and our founder, PureTech. Prospective investors should not rely on the investment decisions of our existing investors, as these investors may have different risk tolerances and in certain cases received their shares in prior offerings at prices lower than the price offered to the public in this offering.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founded our company with a mission to develop life-changing treatments for patients with depression, anxiety, and other neuropsychiatric disorders. The key elements of our business strategy are to:</w:t>
      </w:r>
    </w:p>
    <w:p>
      <w:pPr>
        <w:spacing w:after="0" w:line="67" w:lineRule="exact"/>
        <w:rPr>
          <w:sz w:val="20"/>
          <w:szCs w:val="20"/>
          <w:color w:val="auto"/>
        </w:rPr>
      </w:pPr>
    </w:p>
    <w:p>
      <w:pPr>
        <w:ind w:left="1240" w:right="560" w:hanging="415"/>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advance GlyphAllo through clinical development for the treatment of patients with MDD with or without anxious distress.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advance GlyphAgo through clinical development for the treatment of patients with GAD.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robust pipeline of differentiated programs for neuropsychiatric and other CNS disorders by leveraging our Glyph platform.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pursue strategic partnerships to maximize the value of our Glyph platform.</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uniquely positioned to develop novel medicines that will make a significant impact for patients and their families through our differentiated, three-pillar approach: 1) identify clinically validated mechanisms held back by issues that can be addressed by our proprietary Glyph platform, 2) create novel medicines with strong intellectual property using Glyph, and 3) apply our team’s expertise to optimize the design and execution of clinical trials and drive successful business outcomes. We believe our approach will enable us to develop transformative treatments for patients and build a leading neuropsychiatry company.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These risks include, but are not limited to, the following:</w:t>
      </w:r>
    </w:p>
    <w:p>
      <w:pPr>
        <w:spacing w:after="0" w:line="67" w:lineRule="exact"/>
        <w:rPr>
          <w:sz w:val="20"/>
          <w:szCs w:val="20"/>
          <w:color w:val="auto"/>
        </w:rPr>
      </w:pPr>
    </w:p>
    <w:p>
      <w:pPr>
        <w:ind w:left="1240" w:right="20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81" w:lineRule="exact"/>
        <w:rPr>
          <w:rFonts w:ascii="Times New Roman" w:cs="Times New Roman" w:eastAsia="Times New Roman" w:hAnsi="Times New Roman"/>
          <w:sz w:val="18"/>
          <w:szCs w:val="18"/>
          <w:color w:val="auto"/>
        </w:rPr>
      </w:pPr>
    </w:p>
    <w:p>
      <w:pPr>
        <w:ind w:left="1240" w:right="26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81" w:lineRule="exact"/>
        <w:rPr>
          <w:rFonts w:ascii="Times New Roman" w:cs="Times New Roman" w:eastAsia="Times New Roman" w:hAnsi="Times New Roman"/>
          <w:sz w:val="18"/>
          <w:szCs w:val="18"/>
          <w:color w:val="auto"/>
        </w:rPr>
      </w:pPr>
    </w:p>
    <w:p>
      <w:pPr>
        <w:ind w:left="1240" w:right="180" w:hanging="415"/>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product candidates, particularly GlyphAllo for the treatment of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85" w:lineRule="exact"/>
        <w:rPr>
          <w:rFonts w:ascii="Times New Roman" w:cs="Times New Roman" w:eastAsia="Times New Roman" w:hAnsi="Times New Roman"/>
          <w:sz w:val="18"/>
          <w:szCs w:val="18"/>
          <w:color w:val="auto"/>
        </w:rPr>
      </w:pPr>
    </w:p>
    <w:p>
      <w:pPr>
        <w:jc w:val="both"/>
        <w:ind w:left="1240" w:right="18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81"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81" w:lineRule="exact"/>
        <w:rPr>
          <w:rFonts w:ascii="Times New Roman" w:cs="Times New Roman" w:eastAsia="Times New Roman" w:hAnsi="Times New Roman"/>
          <w:sz w:val="18"/>
          <w:szCs w:val="18"/>
          <w:color w:val="auto"/>
        </w:rPr>
      </w:pPr>
    </w:p>
    <w:p>
      <w:pPr>
        <w:ind w:left="1240" w:right="20" w:hanging="415"/>
        <w:spacing w:after="0" w:line="25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the BUOY-1 clinical trial will be registration-enabling lies solely within the discretion of the FDA and/or other comparable regulatory authorities, based on whether such body views this trial as an adequate and well-controlled clinical investigation that can support regulatory decision making, and whether the resulting data from the trial provide substantial evidence of effectiveness. There can be no assurance that our clinical trials will ultimately be successful or support further clinical development of our product candidates, and we may have to complete multiple additional clinical trials, which may be differently designed than prior clinical trials, to support a submission for marketing authorization for this product candidate.</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67" w:lineRule="exact"/>
        <w:rPr>
          <w:rFonts w:ascii="Times New Roman" w:cs="Times New Roman" w:eastAsia="Times New Roman" w:hAnsi="Times New Roman"/>
          <w:sz w:val="18"/>
          <w:szCs w:val="18"/>
          <w:color w:val="auto"/>
        </w:rPr>
      </w:pPr>
    </w:p>
    <w:p>
      <w:pPr>
        <w:ind w:left="1240" w:right="6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unexpected costs or experience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58"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associated with adverse events, or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88"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research and development efforts on the treatment of disorders of the brain and central nervous system, a field that faces certain challenges in drug development.</w:t>
      </w:r>
    </w:p>
    <w:p>
      <w:pPr>
        <w:spacing w:after="0" w:line="67" w:lineRule="exact"/>
        <w:rPr>
          <w:rFonts w:ascii="Times New Roman" w:cs="Times New Roman" w:eastAsia="Times New Roman" w:hAnsi="Times New Roman"/>
          <w:sz w:val="18"/>
          <w:szCs w:val="18"/>
          <w:color w:val="auto"/>
        </w:rPr>
      </w:pPr>
    </w:p>
    <w:p>
      <w:pPr>
        <w:ind w:left="1240" w:right="6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potential future 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85"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 candidates, leverage our Glyph platform and our future growth depends on attracting, hiring, and retaining our key personnel and recruiting additional qualified personnel.</w:t>
      </w:r>
    </w:p>
    <w:p>
      <w:pPr>
        <w:spacing w:after="0" w:line="67" w:lineRule="exact"/>
        <w:rPr>
          <w:rFonts w:ascii="Times New Roman" w:cs="Times New Roman" w:eastAsia="Times New Roman" w:hAnsi="Times New Roman"/>
          <w:sz w:val="18"/>
          <w:szCs w:val="18"/>
          <w:color w:val="auto"/>
        </w:rPr>
      </w:pPr>
    </w:p>
    <w:p>
      <w:pPr>
        <w:ind w:left="1240" w:right="38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85" w:lineRule="exact"/>
        <w:rPr>
          <w:rFonts w:ascii="Times New Roman" w:cs="Times New Roman" w:eastAsia="Times New Roman" w:hAnsi="Times New Roman"/>
          <w:sz w:val="18"/>
          <w:szCs w:val="18"/>
          <w:color w:val="auto"/>
        </w:rPr>
      </w:pPr>
    </w:p>
    <w:p>
      <w:pPr>
        <w:ind w:left="1240" w:right="26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85"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reliant upon the Amended and Restated License Agreement with Monash University, or the Monash License Agreement, pursuant to which we have been granted an exclusive, royalty-bearing license to certain patent rights that are important or necessary to the development of our proprietary technology and product candidates.</w:t>
      </w:r>
    </w:p>
    <w:p>
      <w:pPr>
        <w:spacing w:after="0" w:line="81"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85" w:lineRule="exact"/>
        <w:rPr>
          <w:rFonts w:ascii="Times New Roman" w:cs="Times New Roman" w:eastAsia="Times New Roman" w:hAnsi="Times New Roman"/>
          <w:sz w:val="18"/>
          <w:szCs w:val="18"/>
          <w:color w:val="auto"/>
        </w:rPr>
      </w:pPr>
    </w:p>
    <w:p>
      <w:pPr>
        <w:jc w:val="both"/>
        <w:ind w:left="1240" w:right="560" w:hanging="415"/>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for the period from January 1, 2024 to April 7, 2024, which are included in the consolidated financial statements for the year ended December 31, 2024, have been prepared on a “carve-out” basis based on management estimates, assumptions, and judgments about appropriate</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9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spacing w:after="0" w:line="282" w:lineRule="auto"/>
        <w:rPr>
          <w:sz w:val="20"/>
          <w:szCs w:val="20"/>
          <w:color w:val="auto"/>
        </w:rPr>
      </w:pPr>
      <w:r>
        <w:rPr>
          <w:rFonts w:ascii="Times New Roman" w:cs="Times New Roman" w:eastAsia="Times New Roman" w:hAnsi="Times New Roman"/>
          <w:sz w:val="18"/>
          <w:szCs w:val="18"/>
          <w:color w:val="auto"/>
        </w:rPr>
        <w:t>allocation and may not be indicative of what they would have been had we actually been an independent standalone entity throughout such period.</w:t>
      </w:r>
    </w:p>
    <w:p>
      <w:pPr>
        <w:spacing w:after="0" w:line="67" w:lineRule="exact"/>
        <w:rPr>
          <w:sz w:val="20"/>
          <w:szCs w:val="20"/>
          <w:color w:val="auto"/>
        </w:rPr>
      </w:pPr>
    </w:p>
    <w:p>
      <w:pPr>
        <w:ind w:left="1240" w:hanging="415"/>
        <w:spacing w:after="0"/>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prior public market for our common stock, and an active trading market may not develop or be sustained.</w:t>
      </w:r>
    </w:p>
    <w:p>
      <w:pPr>
        <w:spacing w:after="0" w:line="225"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in the section titled “Risk Factors” and the other information set forth in this prospectus, including our consolidated financial statements and the related notes, as well as in other documents that we file with the Securities and Exchange Commission, or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as SP Therapeutics, Inc. on April 1, 2024 and changed our name to Seaport Therapeutics, Inc. on April 2, 2024. Our wholly owned subsidiary, SPTX, Inc., was a result of the incorporation of a predecessor company under the laws of the State of Delaware in February 2024 under the name Seaport Therapeutics, Inc., which subsequently changed its name to Seaport Therapeutics Holdings, Inc. in March 2024 and to SPTX, Inc. in April 2024. In April 2024, we entered into a share exchange agreement, or the Share Exchange Agreement, with SPTX, Inc., which resulted in SPTX, Inc. becoming our wholly owned subsidiary. At the time of the Share Exchange Agreement, we were a wholly-owned subsidiary of PureTech. Our principal executive offices are located at 101 Seaport Blvd., Floor 12, Boston, Massachusetts 02210, and our telephone number is (617) 807-4062. We have three subsidiaries, Seaport Therapeutics Securities Corporation, formed in December 2024 under the laws of the Commonwealth of Massachusetts, SPTX, Inc., formed in February 2024 under the laws of the State of Delaware, and Seaport Therapeutics Australia Pty Ltd, formed in February 2025 under the laws of Australia. Our website address is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240" w:right="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or the Sarbanes-Oxley Act; and</w:t>
      </w:r>
    </w:p>
    <w:p>
      <w:pPr>
        <w:spacing w:after="0" w:line="67" w:lineRule="exact"/>
        <w:rPr>
          <w:rFonts w:ascii="Times New Roman" w:cs="Times New Roman" w:eastAsia="Times New Roman" w:hAnsi="Times New Roman"/>
          <w:sz w:val="18"/>
          <w:szCs w:val="18"/>
          <w:color w:val="auto"/>
        </w:rPr>
      </w:pPr>
    </w:p>
    <w:p>
      <w:pPr>
        <w:ind w:left="1240" w:right="10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remain an emerging growth company for up to five years from the date of the first sale in this offering. We would cease to be an emerging growth company on the date that is the earliest of (i) the last day of</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27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may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have in the past chosen and may in the future choose to early adopt any new or revised accounting standards whenever such early adoption is permitted for private companies.</w:t>
      </w:r>
    </w:p>
    <w:p>
      <w:pPr>
        <w:spacing w:after="0" w:line="18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w:t>
      </w:r>
    </w:p>
    <w:p>
      <w:pPr>
        <w:spacing w:after="0" w:line="3" w:lineRule="exact"/>
        <w:rPr>
          <w:sz w:val="20"/>
          <w:szCs w:val="20"/>
          <w:color w:val="auto"/>
        </w:rPr>
      </w:pPr>
    </w:p>
    <w:p>
      <w:pPr>
        <w:ind w:left="300" w:right="40"/>
        <w:spacing w:after="0" w:line="253" w:lineRule="auto"/>
        <w:rPr>
          <w:sz w:val="20"/>
          <w:szCs w:val="20"/>
          <w:color w:val="auto"/>
        </w:rPr>
      </w:pPr>
      <w:r>
        <w:rPr>
          <w:rFonts w:ascii="Times New Roman" w:cs="Times New Roman" w:eastAsia="Times New Roman" w:hAnsi="Times New Roman"/>
          <w:sz w:val="18"/>
          <w:szCs w:val="18"/>
          <w:color w:val="auto"/>
        </w:rPr>
        <w:t>$700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320" w:top="455" w:right="7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24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66"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common stock offered by us</w:t>
      </w:r>
    </w:p>
    <w:p>
      <w:pPr>
        <w:spacing w:after="0" w:line="200" w:lineRule="exact"/>
        <w:rPr>
          <w:sz w:val="20"/>
          <w:szCs w:val="20"/>
          <w:color w:val="auto"/>
        </w:rPr>
      </w:pPr>
    </w:p>
    <w:p>
      <w:pPr>
        <w:spacing w:after="0" w:line="205" w:lineRule="exact"/>
        <w:rPr>
          <w:sz w:val="20"/>
          <w:szCs w:val="20"/>
          <w:color w:val="auto"/>
        </w:rPr>
      </w:pPr>
    </w:p>
    <w:p>
      <w:pPr>
        <w:ind w:left="380" w:right="1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14,160,000 shares</w:t>
      </w:r>
    </w:p>
    <w:p>
      <w:pPr>
        <w:spacing w:after="0" w:line="26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We have granted the underwriters an option for a period of 30 days to purchase up to 2,124,000 additional shares of common stock from us at the public offering price, less underwriting discounts and commissions on the same terms as set forth in this prospectus.</w:t>
      </w:r>
    </w:p>
    <w:p>
      <w:pPr>
        <w:spacing w:after="0" w:line="18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53,027,817 shares (or 55,151,817 shares if the underwriters exercise their option to purchase additional shares of common stock in full)</w:t>
      </w:r>
    </w:p>
    <w:p>
      <w:pPr>
        <w:spacing w:after="0" w:line="17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will have two series of common stock authorized immediately following this offering: voting common stock and non-voting common stock. We are offering voting stock in this offering and unless otherwise noted, all references in this prospectus to our “common stock” refer to our voting common stock. The non-voting common stock will not be listed for trading on any securities exchange. Immediately after consummation of this offering, no shares of non-voting stock will be outstanding, and we have no present intention to issue any shares of non-voting common stock.</w:t>
      </w:r>
    </w:p>
    <w:p>
      <w:pPr>
        <w:spacing w:after="0" w:line="200" w:lineRule="exact"/>
        <w:rPr>
          <w:sz w:val="20"/>
          <w:szCs w:val="20"/>
          <w:color w:val="auto"/>
        </w:rPr>
      </w:pPr>
    </w:p>
    <w:p>
      <w:pPr>
        <w:sectPr>
          <w:pgSz w:w="11900" w:h="16838" w:orient="portrait"/>
          <w:cols w:equalWidth="0" w:num="2">
            <w:col w:w="3800" w:space="540"/>
            <w:col w:w="6800"/>
          </w:cols>
          <w:pgMar w:left="320" w:top="455" w:right="439" w:bottom="1440" w:gutter="0" w:footer="0" w:header="0"/>
          <w:type w:val="continuous"/>
        </w:sectPr>
      </w:pP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will</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 approximately $233.9 million (or approximately $269.5 million if the underwriters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exercise their option to purchase an additional 2,124,000 shares of common stock in full),</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based on the initial public offering price of $18.00 per share, after deducting the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intend to use the net proceeds we receive from this offering, together with our existing</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line="216" w:lineRule="exact"/>
              <w:rPr>
                <w:sz w:val="20"/>
                <w:szCs w:val="20"/>
                <w:color w:val="auto"/>
              </w:rPr>
            </w:pPr>
            <w:r>
              <w:rPr>
                <w:rFonts w:ascii="Times New Roman" w:cs="Times New Roman" w:eastAsia="Times New Roman" w:hAnsi="Times New Roman"/>
                <w:sz w:val="17"/>
                <w:szCs w:val="17"/>
                <w:color w:val="auto"/>
              </w:rPr>
              <w:t>cash, cash equivalents, and investments, to advance development of GlyphAllo</w:t>
            </w:r>
            <w:r>
              <w:rPr>
                <w:rFonts w:ascii="Times New Roman" w:cs="Times New Roman" w:eastAsia="Times New Roman" w:hAnsi="Times New Roman"/>
                <w:sz w:val="25"/>
                <w:szCs w:val="25"/>
                <w:color w:val="auto"/>
                <w:vertAlign w:val="superscript"/>
              </w:rPr>
              <w:t>TM</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line="216" w:lineRule="exact"/>
              <w:rPr>
                <w:sz w:val="20"/>
                <w:szCs w:val="20"/>
                <w:color w:val="auto"/>
              </w:rPr>
            </w:pPr>
            <w:r>
              <w:rPr>
                <w:rFonts w:ascii="Times New Roman" w:cs="Times New Roman" w:eastAsia="Times New Roman" w:hAnsi="Times New Roman"/>
                <w:sz w:val="17"/>
                <w:szCs w:val="17"/>
                <w:color w:val="auto"/>
              </w:rPr>
              <w:t>(SPT-300), GlyphAgo</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(SPT-320), and Glyph2BLSD</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(SPT-348), as well as to fund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research and development activities for additional programs, and the remainder for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working capital and general corporate purposes. For additional information, see the section</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titled “Use of Proceeds.”</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Directed share program</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being offered by this prospectus for sale at the initial public offering price to our directors,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officers, certain employees, and certain other persons associated with us. The sales will be</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made by Goldman Sachs &amp; Co. LLC, an underwriter of this offering, through a directed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share program. We do not know if these persons will choose to purchase all or any portion</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 these reserved shares, but any purchases they do make will reduce the number of shares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 common stock available to the general public. Any reserved shares not so purchased will</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 offered by the underwriters to the general public on the same terms as the other shares</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of common stock. Except for reserved shares</w:t>
            </w:r>
          </w:p>
        </w:tc>
      </w:tr>
      <w:tr>
        <w:trPr>
          <w:trHeight w:val="172"/>
        </w:trPr>
        <w:tc>
          <w:tcPr>
            <w:tcW w:w="304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spacing w:after="0"/>
              <w:rPr>
                <w:sz w:val="14"/>
                <w:szCs w:val="14"/>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140"/>
          </w:cols>
          <w:pgMar w:left="320" w:top="455"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50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60"/>
        <w:spacing w:after="0" w:line="266" w:lineRule="auto"/>
        <w:rPr>
          <w:sz w:val="20"/>
          <w:szCs w:val="20"/>
          <w:color w:val="auto"/>
        </w:rPr>
      </w:pPr>
      <w:r>
        <w:rPr>
          <w:rFonts w:ascii="Times New Roman" w:cs="Times New Roman" w:eastAsia="Times New Roman" w:hAnsi="Times New Roman"/>
          <w:sz w:val="18"/>
          <w:szCs w:val="18"/>
          <w:color w:val="auto"/>
        </w:rPr>
        <w:t>purchased by our executive officers and directors, these reserved shares will not be subject to the lock-up restrictions described elsewhere in this prospectus. For additional information, see the section titled “Underwriting—Directed Share Program.”</w:t>
      </w:r>
    </w:p>
    <w:p>
      <w:pPr>
        <w:sectPr>
          <w:pgSz w:w="11900" w:h="16838" w:orient="portrait"/>
          <w:cols w:equalWidth="0" w:num="1">
            <w:col w:w="10920"/>
          </w:cols>
          <w:pgMar w:left="320" w:top="455" w:right="659" w:bottom="1440" w:gutter="0" w:footer="0" w:header="0"/>
        </w:sect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Indications of interest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received indications of interest from entities affiliated with General Atlantic to purchase up to $50 million in shares of our common stock in this offering at the initial public offering price per share, on the same terms as the other purchasers in this offering. However, because indications of interest are not binding agreements or commitments to purchase, nor a commitment of the Company or the underwriters to allocate or sell, more, fewer or no shares may be sold to General Atlantic in this offering. The underwriters will receive the same underwriting discount and commissions on these shares as they will on any other shares sold to the public in this offering.</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For a discussion of factors you should carefully consider before deciding whether to invest in our common stock, see the section titled “Risk Factors.”</w:t>
      </w:r>
    </w:p>
    <w:p>
      <w:pPr>
        <w:spacing w:after="0" w:line="189"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“SPTX”</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9"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Unless otherwise noted, the number of shares of our common stock that will be outstanding after this offering is based on 38,867,817 shares of common stock (which includes 154,778 shares of unvested restricted common stock) outstanding as of December 31, 2025, after giving effect to the conversion of all outstanding shares of our convertible preferred stock into an aggregate of 36,272,475 shares of common stock immediately prior to the completion of this offering, or the Preferred Stock Conversion, and excludes:</w:t>
      </w:r>
    </w:p>
    <w:p>
      <w:pPr>
        <w:spacing w:after="0" w:line="85" w:lineRule="exact"/>
        <w:rPr>
          <w:sz w:val="20"/>
          <w:szCs w:val="20"/>
          <w:color w:val="auto"/>
        </w:rPr>
      </w:pPr>
    </w:p>
    <w:p>
      <w:pPr>
        <w:ind w:left="1240" w:right="12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8,798,389 shares of common stock issuable upon exercise of outstanding stock options as of December 31, 2025, which includes 228,770 performance-based awards that have not yet been deemed granted for accounting purposes, under our 2024 Equity Incentive Plan, as amended, or the 2024 Plan, with a weighted-average exercise price of $4.68 per share;</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962,655 shares of common stock issuable upon exercise of outstanding stock options granted after December 31, 2025 pursuant to our 2024 Plan, with a weighted-average exercise price of $10.31 per share;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1,503,698 shares of common stock reserved for future issuance as of December 31, 2025 under the 2024 Plan, which ceased to be available for issuance at the time that our 2026 Stock Option and Incentive Plan, or the 2026 Plan, became effective;</w:t>
      </w:r>
    </w:p>
    <w:p>
      <w:pPr>
        <w:spacing w:after="0" w:line="67" w:lineRule="exact"/>
        <w:rPr>
          <w:rFonts w:ascii="Times New Roman" w:cs="Times New Roman" w:eastAsia="Times New Roman" w:hAnsi="Times New Roman"/>
          <w:sz w:val="18"/>
          <w:szCs w:val="18"/>
          <w:color w:val="auto"/>
        </w:rPr>
      </w:pPr>
    </w:p>
    <w:p>
      <w:pPr>
        <w:ind w:left="1240" w:hanging="415"/>
        <w:spacing w:after="0" w:line="255"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2,477,978 shares of our common stock to be granted to an executive officer and a director under the 2026 Plan, issuable upon the exercise of stock options to be granted in connection with this offering, with an exercise price that is equal to the initial public offering price in this offering, or a number of shares of restricted common stock, as applicable, or the IPO Grants, to maintain an aggregate of approximately 12.5% of the number of shares of our common stock to be outstanding upon the closing of this offering calculated on a fully diluted basis. (See the sections titled “Executive Compensation—Narrative disclosure to the 2025 Summary Compensation Table —Equity Incentive Compensation” and “Director Compensation” for more information on such grants, including a description of how the number of shares issuable pursuant to such grants will be determined);</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518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51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hanging="415"/>
        <w:spacing w:after="0" w:line="258"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6,020,000 shares of our common stock that are available for future issuance under our 2026 Plan, including shares reserved for the IPO Grants, which became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and</w:t>
      </w:r>
    </w:p>
    <w:p>
      <w:pPr>
        <w:spacing w:after="0" w:line="88"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510,000 shares of common stock reserved for future issuance under our 2026 Employee Stock Purchase Plan, or the ESPP, which became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 reflects or assumes the following:</w:t>
      </w:r>
    </w:p>
    <w:p>
      <w:pPr>
        <w:spacing w:after="0" w:line="131" w:lineRule="exact"/>
        <w:rPr>
          <w:sz w:val="20"/>
          <w:szCs w:val="20"/>
          <w:color w:val="auto"/>
        </w:rPr>
      </w:pPr>
    </w:p>
    <w:p>
      <w:pPr>
        <w:ind w:left="1240" w:right="36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1-for-3.1407 reverse stock split of our common stock and a proportionate adjustment in the ratio at which our preferred stock is convertible into our common stock, which became effective on April 24, 2026;</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convertible preferred stock as of December 31, 2025 into an aggregate of 36,272,475 shares of common stock immediately prior to the completion of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stock options described above after December 31,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up to an additional 2,124,000 shares of common stock in this offering;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purchases by existing stockholders or their affiliates pursuant to the directed share program; and</w:t>
      </w:r>
    </w:p>
    <w:p>
      <w:pPr>
        <w:spacing w:after="0" w:line="130" w:lineRule="exact"/>
        <w:rPr>
          <w:rFonts w:ascii="Times New Roman" w:cs="Times New Roman" w:eastAsia="Times New Roman" w:hAnsi="Times New Roman"/>
          <w:sz w:val="18"/>
          <w:szCs w:val="18"/>
          <w:color w:val="auto"/>
        </w:rPr>
      </w:pPr>
    </w:p>
    <w:p>
      <w:pPr>
        <w:jc w:val="both"/>
        <w:ind w:left="1240" w:right="50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immediately prior to the completion of this offering and the adoption of our amended and restated bylaws upon the effectiveness of the registration statement of which this prospectus forms a part.</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320" w:top="455" w:right="6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right="60" w:firstLine="426"/>
        <w:spacing w:after="0" w:line="270" w:lineRule="auto"/>
        <w:rPr>
          <w:sz w:val="20"/>
          <w:szCs w:val="20"/>
          <w:color w:val="auto"/>
        </w:rPr>
      </w:pPr>
      <w:r>
        <w:rPr>
          <w:rFonts w:ascii="Times New Roman" w:cs="Times New Roman" w:eastAsia="Times New Roman" w:hAnsi="Times New Roman"/>
          <w:sz w:val="17"/>
          <w:szCs w:val="17"/>
          <w:color w:val="auto"/>
        </w:rPr>
        <w:t>The following tables set forth our summary consolidated statements of operations data for the years ended December 31, 2025 and 2024 and our summary consolidated balance sheet data as of December 31, 2025. We have derived the summary consolidated statements of operations data for years ended December 31, 2025 and 2024, and the summary consolidated balance sheet data as of December 31, 2025, from our audited consolidated financial statements included elsewhere in this prospectus. The historical results for the period from January 1, 2024 to April 7, 2024, which are included in the consolidated financial statements for the year ended December 31, 2024, have been prepared on a “carve-out” basis and are not necessarily indicative of results that may be expected in the future, nor are our other historical results necessarily indicative of the results that may be expected for any period in the future. You should read the following summary financial data together with “Management’s Discussion and Analysis of Financial Condition and Results of Operations” and our consolidated financial statements and the related notes included elsewhere in this prospectus. The summary consolidated financial data included in this section are not intended to replace the consolidated financial statements and are qualified in their entirety by our consolidated financial statements and the related notes included elsewhere in this prospectus.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0" w:type="dxa"/>
            <w:vAlign w:val="bottom"/>
            <w:gridSpan w:val="5"/>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data)</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stock-based compensation expense of</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$2.3 million and $0.7 million for 2025 and 2024, respectively) </w:t>
            </w:r>
            <w:r>
              <w:rPr>
                <w:rFonts w:ascii="Times New Roman" w:cs="Times New Roman" w:eastAsia="Times New Roman" w:hAnsi="Times New Roman"/>
                <w:sz w:val="26"/>
                <w:szCs w:val="26"/>
                <w:color w:val="auto"/>
                <w:vertAlign w:val="superscript"/>
              </w:rPr>
              <w:t>(1)</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66,313</w:t>
            </w:r>
          </w:p>
        </w:tc>
        <w:tc>
          <w:tcPr>
            <w:tcW w:w="8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25,070</w:t>
            </w:r>
          </w:p>
        </w:tc>
        <w:tc>
          <w:tcPr>
            <w:tcW w:w="0" w:type="dxa"/>
            <w:vAlign w:val="bottom"/>
          </w:tcPr>
          <w:p>
            <w:pPr>
              <w:spacing w:after="0"/>
              <w:rPr>
                <w:sz w:val="1"/>
                <w:szCs w:val="1"/>
                <w:color w:val="auto"/>
              </w:rPr>
            </w:pPr>
          </w:p>
        </w:tc>
      </w:tr>
      <w:tr>
        <w:trPr>
          <w:trHeight w:val="198"/>
        </w:trPr>
        <w:tc>
          <w:tcPr>
            <w:tcW w:w="6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(including stock-based compensation expense of</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900" w:type="dxa"/>
            <w:vAlign w:val="bottom"/>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$4.6 million and $15.2 million for 2025 and 2024, respectively) </w:t>
            </w:r>
            <w:r>
              <w:rPr>
                <w:rFonts w:ascii="Times New Roman" w:cs="Times New Roman" w:eastAsia="Times New Roman" w:hAnsi="Times New Roman"/>
                <w:sz w:val="26"/>
                <w:szCs w:val="26"/>
                <w:color w:val="auto"/>
                <w:vertAlign w:val="superscript"/>
              </w:rPr>
              <w:t>(2)</w:t>
            </w: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87,294</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52,416</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(87,294)</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income, net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(expense), net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(74,108)</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(74,881)</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Net loss per share, basic and diluted </w:t>
            </w:r>
            <w:r>
              <w:rPr>
                <w:rFonts w:ascii="Times New Roman" w:cs="Times New Roman" w:eastAsia="Times New Roman" w:hAnsi="Times New Roman"/>
                <w:sz w:val="24"/>
                <w:szCs w:val="24"/>
                <w:color w:val="auto"/>
                <w:vertAlign w:val="superscript"/>
              </w:rPr>
              <w:t>(3)</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(31.54)</w:t>
            </w:r>
          </w:p>
        </w:tc>
        <w:tc>
          <w:tcPr>
            <w:tcW w:w="5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(49.72)</w:t>
            </w:r>
          </w:p>
        </w:tc>
        <w:tc>
          <w:tcPr>
            <w:tcW w:w="0" w:type="dxa"/>
            <w:vAlign w:val="bottom"/>
          </w:tcPr>
          <w:p>
            <w:pPr>
              <w:spacing w:after="0"/>
              <w:rPr>
                <w:sz w:val="1"/>
                <w:szCs w:val="1"/>
                <w:color w:val="auto"/>
              </w:rPr>
            </w:pPr>
          </w:p>
        </w:tc>
      </w:tr>
      <w:tr>
        <w:trPr>
          <w:trHeight w:val="223"/>
        </w:trPr>
        <w:tc>
          <w:tcPr>
            <w:tcW w:w="690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Weighted-average common shares outstanding, basic and diluted </w:t>
            </w:r>
            <w:r>
              <w:rPr>
                <w:rFonts w:ascii="Times New Roman" w:cs="Times New Roman" w:eastAsia="Times New Roman" w:hAnsi="Times New Roman"/>
                <w:sz w:val="25"/>
                <w:szCs w:val="25"/>
                <w:color w:val="auto"/>
                <w:vertAlign w:val="superscript"/>
              </w:rPr>
              <w:t>(3)</w:t>
            </w: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2,373,985</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(unaudited) </w:t>
            </w:r>
            <w:r>
              <w:rPr>
                <w:rFonts w:ascii="Times New Roman" w:cs="Times New Roman" w:eastAsia="Times New Roman" w:hAnsi="Times New Roman"/>
                <w:sz w:val="26"/>
                <w:szCs w:val="26"/>
                <w:color w:val="auto"/>
                <w:vertAlign w:val="superscript"/>
              </w:rPr>
              <w:t>(4)</w:t>
            </w:r>
          </w:p>
        </w:tc>
        <w:tc>
          <w:tcPr>
            <w:tcW w:w="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Pro forma weighted-average common shares outstanding, basic and diluted (unaudited) </w:t>
            </w:r>
            <w:r>
              <w:rPr>
                <w:rFonts w:ascii="Times New Roman" w:cs="Times New Roman" w:eastAsia="Times New Roman" w:hAnsi="Times New Roman"/>
                <w:sz w:val="26"/>
                <w:szCs w:val="26"/>
                <w:color w:val="auto"/>
                <w:vertAlign w:val="superscript"/>
              </w:rPr>
              <w:t>(4)</w:t>
            </w: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38,646,460</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20" w:right="280" w:hanging="422"/>
        <w:spacing w:after="0" w:line="261" w:lineRule="auto"/>
        <w:tabs>
          <w:tab w:leader="none" w:pos="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related-party amounts of $0.3 million and $14.2 million for research and development expenses for the years ended December 31, 2025 and 2024, respectively. See Note 17 to our consolidated financial statements included elsewhere in this prospectus.</w:t>
      </w: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604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604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20" w:right="80" w:hanging="422"/>
        <w:spacing w:after="0" w:line="233" w:lineRule="auto"/>
        <w:tabs>
          <w:tab w:leader="none" w:pos="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related-party amounts of $0.1 million and $5.8 million for general administrative expenses for the years ended December 31, 2025 and 2024, respectively. See Note 17 to our consolidated financial statements included elsewhere in this prospectus.</w:t>
      </w:r>
    </w:p>
    <w:p>
      <w:pPr>
        <w:ind w:left="720" w:right="40" w:hanging="422"/>
        <w:spacing w:after="0" w:line="221" w:lineRule="auto"/>
        <w:tabs>
          <w:tab w:leader="none" w:pos="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2 and 16 to our consolidated financial statements included elsewhere in this prospectus for details on the calculation of basic and diluted net loss per share attributable to common stockholders.</w:t>
      </w:r>
    </w:p>
    <w:p>
      <w:pPr>
        <w:ind w:left="720" w:right="60" w:hanging="422"/>
        <w:spacing w:after="0" w:line="228" w:lineRule="auto"/>
        <w:tabs>
          <w:tab w:leader="none" w:pos="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 weighted-average common shares outstanding for the period. Pro forma weighted-average common shares outstanding is computed by adjusting the weighted-average common shares outstanding to give pro forma effect to the Preferred Stock Conversion as if such conversion had occurred on January 1, 2025. Pro forma basic and diluted net loss per share attributable to common stockholders does not include the effect of the shares expected to be sold in this offering.</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300" w:type="dxa"/>
            <w:vAlign w:val="bottom"/>
            <w:tcBorders>
              <w:bottom w:val="single" w:sz="8" w:color="auto"/>
            </w:tcBorders>
            <w:gridSpan w:val="2"/>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Pro</w:t>
            </w: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360" w:type="dxa"/>
            <w:vAlign w:val="bottom"/>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 xml:space="preserve">Forma </w:t>
            </w:r>
            <w:r>
              <w:rPr>
                <w:rFonts w:ascii="Times New Roman" w:cs="Times New Roman" w:eastAsia="Times New Roman" w:hAnsi="Times New Roman"/>
                <w:sz w:val="10"/>
                <w:szCs w:val="10"/>
                <w:b w:val="1"/>
                <w:bCs w:val="1"/>
                <w:color w:val="auto"/>
              </w:rPr>
              <w:t>(1)</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2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$ 233,653</w:t>
            </w:r>
          </w:p>
        </w:tc>
        <w:tc>
          <w:tcPr>
            <w:tcW w:w="13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$ 233,653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$ 468,465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Working capital </w:t>
            </w:r>
            <w:r>
              <w:rPr>
                <w:rFonts w:ascii="Times New Roman" w:cs="Times New Roman" w:eastAsia="Times New Roman" w:hAnsi="Times New Roman"/>
                <w:sz w:val="25"/>
                <w:szCs w:val="25"/>
                <w:color w:val="auto"/>
                <w:vertAlign w:val="superscript"/>
              </w:rPr>
              <w:t>(3)</w:t>
            </w:r>
          </w:p>
        </w:tc>
        <w:tc>
          <w:tcPr>
            <w:tcW w:w="32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210,448</w:t>
            </w:r>
          </w:p>
        </w:tc>
        <w:tc>
          <w:tcPr>
            <w:tcW w:w="13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210,448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249,009</w:t>
            </w:r>
          </w:p>
        </w:tc>
        <w:tc>
          <w:tcPr>
            <w:tcW w:w="13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249,009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16,226</w:t>
            </w:r>
          </w:p>
        </w:tc>
        <w:tc>
          <w:tcPr>
            <w:tcW w:w="13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16,226</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325,328</w:t>
            </w: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(114,109)</w:t>
            </w:r>
          </w:p>
        </w:tc>
        <w:tc>
          <w:tcPr>
            <w:tcW w:w="13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(114,109)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(114,109)</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2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(92,545)</w:t>
            </w:r>
          </w:p>
        </w:tc>
        <w:tc>
          <w:tcPr>
            <w:tcW w:w="136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232,783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720" w:right="60" w:hanging="422"/>
        <w:spacing w:after="0" w:line="233"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balance sheet data give effect to (i) the Preferred Stock Conversion and (ii) the filing and effectiveness of our amended and restated certificate of incorporation in Delaware immediately prior to the completion of this offering.</w:t>
      </w:r>
    </w:p>
    <w:p>
      <w:pPr>
        <w:ind w:left="720" w:right="40" w:hanging="422"/>
        <w:spacing w:after="0"/>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balance sheet data give effect to (i) the pro forma adjustments set forth in footnote (1) above and (ii) the issuance and sale of shares of our common stock in this offering at the initial public offering price of $18.00 per share, after deducting the underwriting discounts and commissions and estimated offering expenses payable by us.</w:t>
      </w:r>
    </w:p>
    <w:p>
      <w:pPr>
        <w:spacing w:after="0" w:line="123" w:lineRule="exact"/>
        <w:rPr>
          <w:rFonts w:ascii="Times New Roman" w:cs="Times New Roman" w:eastAsia="Times New Roman" w:hAnsi="Times New Roman"/>
          <w:sz w:val="14"/>
          <w:szCs w:val="14"/>
          <w:color w:val="auto"/>
        </w:rPr>
      </w:pPr>
    </w:p>
    <w:p>
      <w:pPr>
        <w:ind w:left="720" w:right="120" w:hanging="422"/>
        <w:spacing w:after="0" w:line="239" w:lineRule="auto"/>
        <w:tabs>
          <w:tab w:leader="none" w:pos="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consolidated financial statements appearing elsewhere in this prospectus for further details regarding our current assets and current liabilities.</w:t>
      </w:r>
    </w:p>
    <w:p>
      <w:pPr>
        <w:spacing w:after="0" w:line="3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included elsewhere in this prospectus and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This prospectus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Need for Additional Capital</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therapeutics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175"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We are a clinical-stage therapeutics company with a limited operating history. We were formed by PureTech Health plc, or PureTech, in April 2024 and our operations to date have been limited to organizing and staffing our company, business planning, raising capital, advancing our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and technology, identifying potential product candidates, securing intellectual property rights, and planning and undertaking preclinical studies and clinical trials. Our Glyph platform was being developed by members of our current team during their tenure at PureTech up to the date of our entry into an Asset Transfer Agreement , or the Asset Transfer Agreement, with PureTech Health LLC, or PureTech Health, and PureTech LYT, Inc., or PureTech LYT, at which time we became a standalone company. As such, our results of operations for the period from January 1, 2024 to April 7, 2024, which are included in the consolidated financial statements for the year ended December 31, 2024, have been carved out from the results of operations of PureTech that were attributable to operations related to our Glyph platform and our product candidates, based on management estimates, assumptions, and judgments about appropriate allocation and may not be indicative of what they would have been had we actually been an independent standalone entity throughout such period, nor are they necessarily indicative of our future results of operations, financial position, and cash flows.</w:t>
      </w:r>
    </w:p>
    <w:p>
      <w:pPr>
        <w:spacing w:after="0" w:line="196" w:lineRule="exact"/>
        <w:rPr>
          <w:sz w:val="20"/>
          <w:szCs w:val="20"/>
          <w:color w:val="auto"/>
        </w:rPr>
      </w:pPr>
    </w:p>
    <w:p>
      <w:pPr>
        <w:ind w:left="120" w:right="100" w:firstLine="440"/>
        <w:spacing w:after="0" w:line="227" w:lineRule="auto"/>
        <w:rPr>
          <w:sz w:val="20"/>
          <w:szCs w:val="20"/>
          <w:color w:val="auto"/>
        </w:rPr>
      </w:pPr>
      <w:r>
        <w:rPr>
          <w:rFonts w:ascii="Times New Roman" w:cs="Times New Roman" w:eastAsia="Times New Roman" w:hAnsi="Times New Roman"/>
          <w:sz w:val="18"/>
          <w:szCs w:val="18"/>
          <w:color w:val="auto"/>
        </w:rPr>
        <w:t>At Seaport, we have not yet demonstrated an ability to generate product or collaboration revenues, obtain regulatory approvals, manufacture any product on a commercial scale or arrange for a third party to do so on our behalf or conduct sales and marketing activities necessary for successful product commercialization. All preclinical and early clinical development of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certain preclinical development of GlyphAgo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(SPT-320) and our other candidates prior to our formation was conducted when we were part of PureTech. Despite our affiliation with PureTech, and members of our current team’s involvement in the development of the Glyph platform while at PureTech, our limited operating history as a standalone company makes any reliance on past performance uncertain. We will encounter risks and difficulties frequently experienced by early-stage therapeutics companies in rapidly evolving fields, and we have not yet demonstrated an ability to successfully overcome such risks and difficulties. If we do not address these risks and difficulties successfully, our business will suffer.</w:t>
      </w:r>
    </w:p>
    <w:p>
      <w:pPr>
        <w:spacing w:after="0" w:line="20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based on our Glyph platform. We do not know whether we will be able to develop any product candidates that succeed through clinical development or to develop products of commercial value.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have no products approved for commercial sale and have not generated any revenue from product sales or collaboration arrangements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$74.9 million and $46.9 million for the years ended December 31, 2025 and 2024, respectively. As of December 31, 2025, we have not yet generated product or collaboration revenue and had an accumulated deficit of $114.1 million. We expect to continue to incur significant losses for the foreseeable future, and we expect these losses to increase as we continue our research and development of, and seek regulatory approvals for, our product candidates. The success of our product candidates will depend on several factors, including the following:</w:t>
      </w:r>
    </w:p>
    <w:p>
      <w:pPr>
        <w:spacing w:after="0" w:line="97" w:lineRule="exact"/>
        <w:rPr>
          <w:sz w:val="20"/>
          <w:szCs w:val="20"/>
          <w:color w:val="auto"/>
        </w:rPr>
      </w:pPr>
    </w:p>
    <w:p>
      <w:pPr>
        <w:ind w:left="1080" w:right="3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with favorable results, including toxicology and other studies designed to be compliant with good laboratory practice, or GLP, requirements;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to proceed with clinical trials under Investigational New Drug applications, or INDs, by the United States Food and Drug Administration, or the FDA, or of similar regulatory submissions by comparable foreign regulatory authorities for the conduct of clinical trials of our product candidates;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and completion of clinical studies in accordance with good clinical practice, or GCPs, requirements and other applicable rules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or AEs, observed in clinical trials;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or CROs, and clinical sites for the clinical development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and efficacy of our product candidates to the satisfaction of the FDA and other applicable regulatory authorities;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approvals of New Drug applications, or NDAs, from the FDA, and maintaining any such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clinical or commercial manufacturing capabilities;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 candidates, if and when approved, either alone or in collaboration with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establishing, and maintaining patent and trade secret protection or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following regulatory approval, if any;</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by patients, the medical community and third-party payors.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preclinical and clinical development, including advancing GlyphAllo and GlyphAgo through later-stage clinical trials, and other candidates through discovery and early clinical and preclinical stages;</w:t>
      </w:r>
    </w:p>
    <w:p>
      <w:pPr>
        <w:spacing w:after="0" w:line="67" w:lineRule="exact"/>
        <w:rPr>
          <w:rFonts w:ascii="Times New Roman" w:cs="Times New Roman" w:eastAsia="Times New Roman" w:hAnsi="Times New Roman"/>
          <w:sz w:val="18"/>
          <w:szCs w:val="18"/>
          <w:color w:val="auto"/>
        </w:rPr>
      </w:pPr>
    </w:p>
    <w:p>
      <w:pPr>
        <w:ind w:left="1080" w:right="11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 from the U.S. Food and Drug Administration, or the FDA, and/or other foreign comparable regulatory authorities;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internal capabilities to support clinical-stage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as we expand our research and development organization, and pre-commercial planning activities;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activities to establish sales, marketing, and distribution capabilities in preparation for commercialization, as applicable, including hiring additional personnel to support such operations;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heightened regulatory scrutiny;</w:t>
      </w:r>
    </w:p>
    <w:p>
      <w:pPr>
        <w:spacing w:after="0" w:line="130" w:lineRule="exact"/>
        <w:rPr>
          <w:rFonts w:ascii="Times New Roman" w:cs="Times New Roman" w:eastAsia="Times New Roman" w:hAnsi="Times New Roman"/>
          <w:sz w:val="18"/>
          <w:szCs w:val="18"/>
          <w:color w:val="auto"/>
        </w:rPr>
      </w:pPr>
    </w:p>
    <w:p>
      <w:pPr>
        <w:ind w:left="1080" w:right="76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milestone, royalty, or other payments due under the Asset Transfer Agreement and/or the License Agreement with Monash University, or the Monash License Agreement, and any future in-license or collaboration agreements with third parties;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Therapeutic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therapeutics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comparable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172" w:lineRule="exact"/>
        <w:rPr>
          <w:sz w:val="20"/>
          <w:szCs w:val="20"/>
          <w:color w:val="auto"/>
        </w:rPr>
      </w:pPr>
    </w:p>
    <w:p>
      <w:pPr>
        <w:ind w:left="120" w:right="2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this offering is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3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Developing therapeutic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approval for, our product candidates.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candidates, continue to identify additional targets using our Glyph platform, commence additional preclinical studies and clinical trials, and continue to identify and develop additional product candidates either through internal development or through acquisitions or in-licensing product candidates.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2025, we had $233.7 million of cash, cash equivalents and investments. Based upon our current operating plan, we believe that our existing cash, cash equivalents, and investments, together with the net proceeds from this offering, will enable us to fund our operating expenses and capital expenditure requirements into 2029.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future capital requirements will depend on many factors, including but not limited to:</w:t>
      </w:r>
    </w:p>
    <w:p>
      <w:pPr>
        <w:spacing w:after="0" w:line="94" w:lineRule="exact"/>
        <w:rPr>
          <w:sz w:val="20"/>
          <w:szCs w:val="20"/>
          <w:color w:val="auto"/>
        </w:rPr>
      </w:pPr>
    </w:p>
    <w:p>
      <w:pPr>
        <w:ind w:left="1080" w:right="4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or future product candidates and effectiveness of our Glyph platform;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Times New Roman" w:cs="Times New Roman" w:eastAsia="Times New Roman" w:hAnsi="Times New Roman"/>
          <w:sz w:val="18"/>
          <w:szCs w:val="18"/>
          <w:color w:val="auto"/>
        </w:rPr>
      </w:pPr>
    </w:p>
    <w:p>
      <w:pPr>
        <w:ind w:left="1080" w:right="500" w:hanging="424"/>
        <w:spacing w:after="0" w:line="312"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45" w:lineRule="exact"/>
        <w:rPr>
          <w:rFonts w:ascii="Times New Roman" w:cs="Times New Roman" w:eastAsia="Times New Roman" w:hAnsi="Times New Roman"/>
          <w:sz w:val="17"/>
          <w:szCs w:val="17"/>
          <w:color w:val="auto"/>
        </w:rPr>
      </w:pPr>
    </w:p>
    <w:p>
      <w:pPr>
        <w:ind w:left="1080" w:right="40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fluctuating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candidates, we expect to incur significant commercialization expenses related to product manufacturing, marketing, sales, and distribution which make it difficult to predict when or if we will be able to achieve or maintain profitability. Furthermore, upon the completion of this offering, we expect to incur additional costs associated with operating as a public company. Accordingly, we will need to obtain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176"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cash equivalents, and investments, the net proceeds from this offering, any future equity, debt, royalty, other financings, or any future proceeds received under any licenses or collaborations, if any.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Attempting to secure additional financing may also divert management from our day-to-day activities. Any of these occurrences may have a material adverse effect on our business, financial condition, results of operations, and prospects.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particularly GlyphAllo for the treatment of major depressive disorder, or MDD, with or without anxious distress and GlyphAgo for the treatment of generalized anxiety disorder, or GAD, and MDD. If we are unable to successfully complete clinical development, obtain regulatory approval for or commercialize one or more of our product candidates, or if we experience delays in doing so, our business will be materially harmed.</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candidates and nearly all of our candidates remain in early-stage clinical or preclinical development. Our future success and ability to generate revenue from our product candidates is dependent on our ability to successfully develop, obtain regulatory approval for, and commercialize one or more of our product candidates. All of our product candidates that we pursue will require substantial additional investment for clinical development, regulatory review, and approval in one or more jurisdictions. If any of our product candidates, particularly GlyphAllo for MDD with or without anxious distress, and GlyphAgo for GAD and MDD, encounters safety or efficacy problems, development delays or regulatory issues, or other problems, our development plans and business would be materially harmed.</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67" w:lineRule="exact"/>
        <w:rPr>
          <w:sz w:val="20"/>
          <w:szCs w:val="20"/>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other comparable regulatory authorities that our product candidates are safe and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clinical trials and preclinical studies;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AEs experienced by subjects in our clinical trials, including unexpected toxicity results, or by individuals using drugs or therapeutic biologics similar to our product candidates;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application, a New Drug Application, or an NDA, or other regulatory submission to the FDA or other comparable regulatory authorities, delays or failure in obtaining the necessary approvals from regulators to commence a clinical trial, or a suspension, termination, or hold, of a clinical trial once commenced;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other comparable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comparable regulatory authority inspection and review of our clinical trial sites, manufacturing sites, or those of our partners;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existing platforms, product candidates, or therapies;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activities to prepare for launch, commercialization and/or resources to address coverage and reimbursement matters to the extent any of our products receive approval;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or other comparable regulatory authorities.</w:t>
      </w:r>
    </w:p>
    <w:p>
      <w:pPr>
        <w:spacing w:after="0" w:line="2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and preclinical development involves a lengthy and expensive process and is highly uncertain. Any difficulties or delays in the commencement or completion, or the termination or suspension, of our current or planned clinical trials could result in increased costs to us, delay or limit our ability to generate revenue or adversely affect our commercial prospects.</w:t>
      </w:r>
    </w:p>
    <w:p>
      <w:pPr>
        <w:spacing w:after="0" w:line="17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other comparable regulatory authorities along with other information, including information about product candidate chemistry, manufacturing and controls, and our proposed clinical trial protocol, as part of an IND or similar regulatory submission. The FDA or other comparable regulatory authorities may require us to conduct additional preclinical studies for any product candidate before it allows 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on time or be completed on schedule, if at all. The timing for commencement, data readouts, and completion of clinical trials can be delayed for a number of reasons, including delays related to:</w:t>
      </w:r>
    </w:p>
    <w:p>
      <w:pPr>
        <w:spacing w:after="0" w:line="65" w:lineRule="exact"/>
        <w:rPr>
          <w:sz w:val="20"/>
          <w:szCs w:val="20"/>
          <w:color w:val="auto"/>
        </w:rPr>
      </w:pPr>
    </w:p>
    <w:p>
      <w:pPr>
        <w:ind w:left="1080" w:right="240" w:hanging="424"/>
        <w:spacing w:after="0" w:line="284"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6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allowance or approval from regulatory authorities to commence a trial or reaching a consensus with regulatory authorities on trial design;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disagreeing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 or ethics committees at clinical trial sites;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amendments to the clinical trial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our product candidates for use in clinical trials;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trials at the rate we expect, or failing to return for post-treatment follow-up, including subjects failing to remain in our trials;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choosing an alternative product for the indications for which we are developing our product candidates, or participating in competing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a clinical trial or costs being greater than we anticipate;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serious unexpected drug-related AEs;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AEs in trials of the same class of agents conducted by other companies that could be considered similar to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extended analysis of the resulting data;</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contract manufacturing organization, or CMO, delays or failure by our CMOs or us to make any necessary changes to such manufacturing process, or failure of our CMOs to produce clinical trial materials in accordance with current Good Manufacturing Practice, or cGMP, regulations or other applicable requirements;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 in a timely manner.</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Clinical trials must be conducted in accordance with the FDA and other comparable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other comparable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or other comparable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w:t>
      </w:r>
    </w:p>
    <w:p>
      <w:pPr>
        <w:spacing w:after="0" w:line="17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are currently doing and may do for our current or future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results of operations, and prospects.</w:t>
      </w:r>
    </w:p>
    <w:p>
      <w:pPr>
        <w:spacing w:after="0" w:line="17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uncertainty regarding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17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seek to invent and develop new medicines for patients with depression, anxiety, and other debilitating neuropsychiatric disorders. Our lead product candidate, GlyphAllo for the treatment of MDD, with or without anxious distress, has been evaluated in Phase 1 and Phase 2a studies in healthy volunteers and is currently in Phase 2b clinical development in our BUOY-1 trial. Our second product candidate, GlyphAgo, is being evaluated in an ongoing Phase 1 trial and we intend to advance GlyphAgo into parallel Phase 2a and Phase 2b clinical trials. Our third product candidate, Glyph2BLSD, is in preclinical studies and our other programs are at various stages of discovery and preclinical development.</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disorders of the brain and nervous system, our business, financial condition, and results of operations could be materially and adversely affected. As a result, we may fail to capitalize on viable commercial products or profitable market opportunities, be required to forego or delay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154"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third parties on which we rely, and our service providers are, or may become,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(such as our third-party CROs, and other contractors and consultants)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and is likely to remain uncertain for the foreseeable future. Numerous federal, state, and local laws and regulations, including federal and state information security and data breach notification laws and regulations, federal and state consumer protection laws (e.g., Section 5 of the Federal Trade Commission Act), and other similar laws (e.g., wiretapping laws) govern the processing of health-related and other personal data. Many of these laws and regulations differ from each other and from the Health Insurance Portability and Accountability Act of 1996, or HIPAA, thus complicating compliance efforts. Failure to comply with these laws, where applicable, can result in the imposition of significant civil and/or criminal penalties, private litigation, and injunctive relief. In the event that we are subject to or affected by HIPAA or other domestic privacy and data protection laws, any liability from failure to comply with the requirements of these laws could adversely affect our financial condition.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 comprehensive privacy laws that are in effect at the state level generally exempt certain data processed in the context of clinical trials, the continued development of new privacy laws at the state level may further complicate compliance efforts, and increase legal risk and compliance costs for us and the third parties upon whom we rely. Further proposed privacy legislation, if enacted, may add additional complexity, variation in requirements, restrictions and potential legal risk, require additional investment of resources in compliance programs, impact strategies and the availability of data and information that could be of potential use to the growth and development of our business, and could result in increased compliance costs and/or the necessity of making changes in our business practices and policies. The continued further development of privacy laws in different states in the country would make our compliance obligations more complex and costly and may increase the likelihood that we may be subject to enforcement actions or otherwise incur liability for noncompliance.</w:t>
      </w:r>
    </w:p>
    <w:p>
      <w:pPr>
        <w:spacing w:after="0" w:line="192" w:lineRule="exact"/>
        <w:rPr>
          <w:sz w:val="20"/>
          <w:szCs w:val="20"/>
          <w:color w:val="auto"/>
        </w:rPr>
      </w:pPr>
    </w:p>
    <w:p>
      <w:pPr>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Additionally, we may be subject to new laws governing the privacy of certain specific types of data, including, most notably, consumer health data. For example, Washington State’s My Health My Data Act broadly defines consumer health data, creates a private right of action to allow individuals to sue for violations of the law, imposes stringent consent requirements, and grants consumers certain rights with respect to their health</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data, including to request deletion of their information. Connecticut and Nevada have also passed similar laws regulating consumer health data. State laws are changing rapidly and there is ongoing discussion in the U.S. Congress of a new comprehensive federal data privacy law to which we would likely become subject, if enacted. These various privacy and data security laws may impact our business activities, including our identification of research subjects, relationships with business partners, and ultimately the marketing and distribution of our products.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privacy and data security. For example, the European Union’s General Data Protection Regulation, or EU GDPR, and the United Kingdom’s, or UK’s, GDPR, or UK GDPR, impose strict requirements for processing personal data. The EU GDPR and the UK GDPR, or together, GDPR, establish stringent requirements regarding the processing of personal data, including strict requirements relating to processing of sensitive data (such as health data), ensuring there is a legal basis or condition to justify the processing of personal data, where required strict requirements relating to obtaining consent of individuals, expanded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w:t>
      </w:r>
    </w:p>
    <w:p>
      <w:pPr>
        <w:spacing w:after="0" w:line="192"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condition, and results of operations.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193"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successful. We may publish privacy policies and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 Obligations related to privacy and data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financial condition, or results of operations,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or Future Product Candidates</w:t>
      </w:r>
    </w:p>
    <w:p>
      <w:pPr>
        <w:spacing w:after="0" w:line="117" w:lineRule="exact"/>
        <w:rPr>
          <w:sz w:val="20"/>
          <w:szCs w:val="20"/>
          <w:color w:val="auto"/>
        </w:rPr>
      </w:pPr>
    </w:p>
    <w:p>
      <w:pPr>
        <w:ind w:left="120" w:right="16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regulatory authorities are lengthy, time-consuming and inherently unpredictable, and if we are ultimately unable to obtain regulatory approval for our product candidates, our business will be substantially harmed.</w:t>
      </w:r>
    </w:p>
    <w:p>
      <w:pPr>
        <w:spacing w:after="0" w:line="13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regulatory approval from the FDA. Other comparable regulatory authorities impose similar requirements. The time required to obtain approval by the FDA or other comparable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 may have different requirements for regulatory approval, which may require us to conduct additional clinical, nonclinical, or chemistry, manufacturing, and control studies. To date, we have not submitted an NDA to the FDA or similar drug approval submissions to other comparable regulatory authorities for any product candidate. We must complete additional preclinical studies and clinical trials to demonstrate the safety and efficacy of our product candidates in humans before we will be able to obtain these approvals.</w:t>
      </w:r>
    </w:p>
    <w:p>
      <w:pPr>
        <w:spacing w:after="0" w:line="19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our clinical trials will be conducted as planned or completed on schedule, if at all. The clinical development of our initial and potential additional product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candidates is susceptible to the risk of failure inherent at any stage of development, including failure to demonstrate efficacy in a clinical trial or across a broad population of patients, the occurrence of AEs that are severe or medically or commercially unacceptable, failure to comply with protocols or applicable regulatory requirements and determination by the FDA or other comparable regulatory authorities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AEs or other AEs, as well as tolerability issues, could hinder or prevent market acceptance of the product candidate at issue.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regulatory authorities that a product candidate is safe and effective for its proposed indication;</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other comparable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our interpretation of data from clinical trials or preclinical studies;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regulatory authorities may significantly change in a manner rendering our clinical data insufficient for approval.</w:t>
      </w:r>
    </w:p>
    <w:p>
      <w:pPr>
        <w:spacing w:after="0" w:line="16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regulatory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other comparable regulatory authorities. Furthermore,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 The revisions may, however, have a significant impact on the pharmaceutical industry and our business in the long term.</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FDA or other comparable regulatory authorities may disagree with our regulatory plan for our product candidates.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general approach for FDA approval of a new drug is dispositive data from two or more adequate and well-controlled clinical trials of the product candidate in the relevant patient population. Adequate and well-controlled clinical trials typically involve a large number of patients, have significant costs and take years to complete. The FDA or other comparable regulatory authorities may disagree with us about whether a clinical trial is adequate and well-controlled or may request that we conduct additional clinical trials prior to regulatory approval.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For instance, if we elect to pursue an indication of MDD with anxious distress, we will need to be able to reliably and consistently identify this sub-population of MDD patients, and we will need to demonstrate that GlyphAllo has a differentiated effect in these patients. However, the FDA may not agree with our proposed development plans, and our clinical trial results may not support approval of our product candidates for our target indications. In addition, our product candidates could fail to receive regulatory approval, or regulatory approval could be delayed, for many reasons, including the following:</w:t>
      </w:r>
    </w:p>
    <w:p>
      <w:pPr>
        <w:spacing w:after="0" w:line="100"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not file or accept our NDA or marketing application for substantive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the dosing regimen,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determine there is not substantial evidence of effectiveness to support approval;</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other comparable regulatory authorities that our product candidates are safe and effective for any of their proposed indications;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other comparable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other comparable regulatory authorities to support the submission of an NDA or other comparable submission in foreign jurisdictions or to obtain regulatory approval in the United States or elsewhere;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regulatory authorities may significantly change in a manner rendering our clinical data insufficient for approval.</w:t>
      </w:r>
    </w:p>
    <w:p>
      <w:pPr>
        <w:spacing w:after="0" w:line="158"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Glyph platform is based on a novel approach that may not result in approvable or marketable products, which exposes us to unforeseen risks and makes it difficult for us to predict the time and cost of product development and potential for regulatory approval.</w:t>
      </w:r>
    </w:p>
    <w:p>
      <w:pPr>
        <w:spacing w:after="0" w:line="15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utilizing our proprietary Glyph platform, which is designed to leverage the lymphatic system to enable and enhance the oral administration of drugs, avoid first-pass liver metabolism and reduce side effects that have previously impeded the development of certain active drugs. Despite favorable results in third-party clinical trials of the active moiety that is chemically identical to the active moiety within our product candidates and the favorable results in clinical trials of our molecules and mechanisms to date, the scientific research that forms the basis of our approach is still ongoing. Each of our current product candidates utilizes our Glyph platform. As a result, we are exposed to a number of unforeseen risks related to our Glyph platform, and these risks could impact each of our product candidates.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our research and development efforts to date have resulted in a development portfolio of programs and product candidates, we may not be able to discover or identify additional candidates that could appropriately utilize our Glyph platform and thus not be able to develop product candidates to expand our development portfolio. Even if we are successful in continuing to build and expand our development portfolio, the potential product candidates that we identify may not be successful in clinical development. For example, even though our Glyph platform is intended to reduce certain side effects, our product candidates may nonetheless be shown to have harmful side effects or other characteristics that indicate that they are unlikely to offer an improvement over standard of care or receive marketing approval and achieve market acceptance. If we do not successfully develop and commercialize product candidates, we will not be able to obtain drug revenues in future periods, which likely would result in significant harm to our financial position and adversely affect our stock price.</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our product candidates.</w:t>
      </w:r>
    </w:p>
    <w:p>
      <w:pPr>
        <w:spacing w:after="0" w:line="15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our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preclinical animal models may not translate to similar results in patients, and results from our initial studies in healthy volunteers may not translate to clinical trials in patients with MDD or GAD.</w:t>
      </w:r>
    </w:p>
    <w:p>
      <w:pPr>
        <w:spacing w:after="0" w:line="180"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There can be no assurance that any of our clinical trials will ultimately be successful or support further clinical development of any of our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AEs. Additionally, GlyphAllo is a novel, Glyphed oral prodrug of allopregnanolone, an endogenous neurosteroid with a well-established, clinically validated antidepressant, anxiolytic, and sleep-promoting effect, and GlyphAgo is a novel, Glyphed oral prodrug of agomelatine, a clinically validated antidepressant and anxiolytic. We may be unable to replicate the previous clinical efficacy observed with such molecules in clinical trials utilizing our Glyph platform.</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Additionally, we may in the future utilize an “open-label” clinical trial design for certain of our future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other comparable regulatory authority approval.</w:t>
      </w:r>
    </w:p>
    <w:p>
      <w:pPr>
        <w:spacing w:after="0" w:line="172" w:lineRule="exact"/>
        <w:rPr>
          <w:sz w:val="20"/>
          <w:szCs w:val="20"/>
          <w:color w:val="auto"/>
        </w:rPr>
      </w:pPr>
    </w:p>
    <w:p>
      <w:pPr>
        <w:ind w:left="120" w:right="1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5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and effective in humans. We have and may in the future experience delays in our clinical trials or preclinical studies and initiating or completing additional clinical trials or preclinical studies, including as a result of regulators not allowing or delay in allowing clinical trials to proceed under an IND or similar foreign authorization (e.g. regulatory hold), or not approving or delaying approval for any clinical trial grant or similar approval we need to initiate a clinical trial or a hold on an ongoing clinical trial. We may also experience numerous unforeseen events during our clinical trials that could delay or prevent our ability to receive marketing approval or commercialize the product candidates we develop, including:</w:t>
      </w:r>
    </w:p>
    <w:p>
      <w:pPr>
        <w:spacing w:after="0" w:line="94" w:lineRule="exact"/>
        <w:rPr>
          <w:sz w:val="20"/>
          <w:szCs w:val="20"/>
          <w:color w:val="auto"/>
        </w:rPr>
      </w:pPr>
    </w:p>
    <w:p>
      <w:pPr>
        <w:ind w:left="1080" w:right="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not authorize us or our investigators to commence a clinical trial, to conduct, or continue a clinical trial at a prospective or specific trial site;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380"/>
        <w:spacing w:after="0" w:line="266" w:lineRule="auto"/>
        <w:rPr>
          <w:sz w:val="20"/>
          <w:szCs w:val="20"/>
          <w:color w:val="auto"/>
        </w:rPr>
      </w:pPr>
      <w:r>
        <w:rPr>
          <w:rFonts w:ascii="Times New Roman" w:cs="Times New Roman" w:eastAsia="Times New Roman" w:hAnsi="Times New Roman"/>
          <w:sz w:val="18"/>
          <w:szCs w:val="18"/>
          <w:color w:val="auto"/>
        </w:rPr>
        <w:t>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81" w:lineRule="exact"/>
        <w:rPr>
          <w:sz w:val="20"/>
          <w:szCs w:val="20"/>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other comparable regulatory authorities to significantly change in a manner rendering our clinical data insufficient for approval.</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comparable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our product candidates in such other indications. We do not know whether any clinical trials that we conduct will demonstrate adequate efficacy and safety to result 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188"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associated with adverse side effects, AEs, or other undesirable properties or safety risks, which could delay or prevent their regulatory approval, cause us to suspend or discontinue clinical trials or abandon a product candidate, limit the commercial profile of an approved label, or result in significant negative consequences following regulatory approval, if obtained, or result in other significant negative consequences that could severely harm our business, financial condition, results of operations, and prospects.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the inclusion of a Risk Evaluation and Mitigation Strategy, or REMS, or the delay or denial of regulatory approval by the FDA or other comparable regulatory authorities.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observe safety or tolerability issues beyond those we anticipate with our product candidates in ongoing or future clinical trials. For example, to date, we have only completed clinical studies evaluating GlyphAllo in healthy volunteers, and it is possible that serious AEs related to GlyphAllo may occur in this clinical program or in our clinical programs for other product candidates. Additionally, it is possible that human subjects with MDD may experience greater side effects in our clinical program for GlyphAllo than observed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healthy volunteers. We continue to learn more about our product candidates, and unfavorable profiles could lead to adverse outcomes or concerns by the FDA or other comparable regulatory authorities.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At any time, we may decide to terminate or greatly narrow the target population for a clinical development program due to unacceptable side effects or safety concerns.</w:t>
      </w:r>
    </w:p>
    <w:p>
      <w:pPr>
        <w:spacing w:after="0" w:line="183"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If unacceptable side effects arise in the development of our product candidates, we, the FDA or other comparable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other comparable regulatory authorities could order us to cease clinical trials or deny approval of our product candidates for any or all targeted indications. We may be unable to overcome any such suspensions or holds that are placed on our clinical trials.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materially adversely affect our business, financial condition, results of operations, and prospects.</w:t>
      </w:r>
    </w:p>
    <w:p>
      <w:pPr>
        <w:spacing w:after="0" w:line="17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some of our product candidates utilize prodrugs of drugs that have been approved by regulatory authorities, such as the FDA and other comparable regulatory authorities, which if such approval is revoked, could negatively impact the success of our own products. For example, GlyphAllo is an oral prodrug of allopregnanolone, and brexanolone, a synthetic formulation of allopregnanolone, is currently approved by FDA for the treatment of postpartum depression. GlyphAgo is an oral prodrug of agomelatine, which has been approved for the treatment of GAD in Australia and MDD in Australia and Europe. It is possible that one or more of the active moieties of our product candidates has also been approved by FDA or other comparable regulatory authorities. In addition, even if our product candidates were to receive marketing approval or be commercialized, we would continue to be subject to the risks that the FDA or other comparable regulatory authorities could revoke approval of an active moiety that is chemically identical to the active moiety within our product candidates or any active moiety as our product candidates, if applicable, or that efficacy or safety issues could arise with any active moiety that is chemically identical to the active moiety within our product candidates or active moiety as our product candidates, if applicable, which could negatively impact the commercial opportunity for our own products.</w:t>
      </w:r>
    </w:p>
    <w:p>
      <w:pPr>
        <w:spacing w:after="0" w:line="19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education, certification of health care professionals or specific monitoring, if we or others later identify undesirable side effects caused by any product that we develop alone. Other potentially significant negative consequences associated with AEs include:</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a product;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a product for patients, or to conduct post-marketing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become less competitive, and our reputation may suffer.</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58"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5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comparable regulatory authorities in the United States, and by other comparable foreign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team expects to rely, in addition to in-house regulatory personnel, on third-party CROs and regulatory consultants to assist us in submitting and supporting the applications necessary to gain marketing approvals.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89"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approval or rejection of an application. The FDA and other comparable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83"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58"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and preclinical studies. Such announcements or publications are typically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4"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financial condition, and results of operations may be harmed.</w:t>
      </w:r>
    </w:p>
    <w:p>
      <w:pPr>
        <w:spacing w:after="0" w:line="15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8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comparable regulatory authorities and the timing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financial condition, and results of operations may be harmed.</w:t>
      </w:r>
    </w:p>
    <w:p>
      <w:pPr>
        <w:spacing w:after="0" w:line="158"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disorders of the brain and central nervous system, a field that faces certain challenges in drug development.</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disorders of the brain and central nervous system. Developing a product candidate for treatment of these diseases is difficult and subjects us to a number of challenges specific to central nervous system, or CNS, companies. In particular, many neuropsychiatric disorders, such as MDD and GAD, rely on subjective patient-reported outcomes as key clinical endpoints. This makes them more vulnerable to the placebo effect as compared to evaluating outcomes with more objective endpoints. For example, our Phase 2b BUOY-1 trial of GlyphAllo is using endpoints based on subjective assessment scales such as the HAMD-17 and the Clinical Global Impressions-Severity scale.</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Moreover, given the history of clinical failures in this field, future clinical or regulatory failures by us or others may result in further negative perception of the likelihood of success in this field, which may significantly and adversely affect the market price of our common stock. We intend to work closely with the FDA and other comparable regulatory authorities to perform the requisite scientific analyses and evaluation in an effort to obtain regulatory approval for our product candidates; however, the process of developing our product candidates may be complex and time-consuming for the reasons described herein. We cannot be certain that our approach will lead to the development of product candidates that effectively and safely address the underlying diseases.</w:t>
      </w:r>
    </w:p>
    <w:p>
      <w:pPr>
        <w:spacing w:after="0" w:line="183"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Patient enrollment is a significant factor impacting the duration of our clinical trials, along with treatment duration and completion of required follow-up periods. We may experience difficulties in patient enrollment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Patient enrollment is affected by many factors, including:</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misrepresentation of their eligibility or non-compliance with the clinical trial protocol, resulting in the need to drop such patients from the clinical trial, increase the needed enrollment size for the clinical trial, or extend the clinical trial’s duration;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We may experience challenges in recruiting principal investigators and patients to participate in ongoing and future clinical trials for such product candidates if we are unable to sufficiently demonstrate the potential of such product candidates to them. Furthermore, we may experience difficulties in reliably and consistently identifying the subpopulation of MDD patients with anxious distress, which may delay our recruitment efforts for our Phase 2b BUOY-1 trial. We also plan to take additional screening steps for patients beyond what certain other sponsors have done in similar trials, which may further narrow the eligible population of patients for our trials and cause delays in our recruitment efforts.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AEs or other side effects are observed in any of our clinical trials, we may have difficulty recruiting patients to our trials and patients may drop out of our trials. Additionally, patients, including patients in any control groups, may withdraw from the clinical trial for various reasons, including but not limited to if they are not experiencing improvement in their underlying disease or condition, or if they experience other difficulties or issues relating to their underlying disease or condition. Participants with neuropsychiatric disorders such as MDD and GAD constitute a vulnerable patient population and may withdraw from the clinical trial if they are not experiencing improvement in their underlying disease or condition or if they experience other difficulties or issues relating to their underlying disease or condition or otherwise, which may or may not be related to our product candidate in clinical trial. Withdrawal of patients from our clinical trials may compromise the quality of our data.</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our value to decline, and limit our ability to obtain additional financing if needed.</w:t>
      </w:r>
    </w:p>
    <w:p>
      <w:pPr>
        <w:spacing w:after="0" w:line="18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our product candidates outside of the United States and the FDA may not accept data from such trials, in which case our development plans may be delayed, which could materially harm our business.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conducted and are conducting clinical trials for our product candidates outside the United States. The acceptance of study data from clinical trials conducted outside the U.S. or another jurisdiction by the FDA or other comparable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would be subject to the applicable local laws of the foreign jurisdictions where the trials are conducted. There can be no assurance that the FDA or any other comparable regulatory authorities will accept data from trials conducted outside of the United States or the relevant jurisdiction. If the FDA or any other comparable regulatory authority does not accept such data, it may result in the need for additional trials, which could be costly and time-consuming, and which may result in current or future product candidates that we may develop not receiving approval for commercialization in the applicable jurisdiction.</w:t>
      </w:r>
    </w:p>
    <w:p>
      <w:pPr>
        <w:spacing w:after="0" w:line="19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175"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are approved by the appropriate regulatory authorities for marketing and sale, it may nonetheless fail to achieve sufficient market acceptance by physicians, patients, third-party payors and others in the medical community. The commercial success of any of our product candidates will depend significantly on the broad adoption and use of the resulting product by these individuals and organizations for approved indications. For example,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in development for the treatment of depressive disorders, including treatment-resistant depression, or TRD, post-traumatic stress disorder, or PTSD, and headache disorders, is a Glyphed oral prodrug of the non-hallucinogenic neuroplastogen, 2-bromo-LSD. There has been recent interest in psychedelics in part because of their potential to demonstrate therapeutic effects in neuropsychiatric disorders. Although Glyph2BLSD is not a psychedelic, there is a risk that it will be viewed as such by investors and the public, or could be classified as such by regulatory authorities based on its final structure. Treatments containing controlled substances or drugs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that have similar effects or characteristics of controlled substances may generate public controversy or unfavorable views, which could lead to delays in, and increased expenses for, and limit or restrict the introduction and marketing of such types of therapeutic candidates. For more information on controlled substances, see subsection titled “—Certain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Many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inadequate coverage or reimbursement by third-party payors. Even if we are able to demonstrate our product candidates’ safety and efficacy to the FDA and other comparable regulatory authorities, safety or efficacy concerns in the medical community may hinder market acceptance.</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85" w:lineRule="exact"/>
        <w:rPr>
          <w:sz w:val="20"/>
          <w:szCs w:val="20"/>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including as compared to any more-established products or other alternative products that may later be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the product is approved,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the product in the absence of sufficient third-party coverage and adequate reimbursement;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acceptance into standard of care treatment algorithms by medical societies that could limit payor and physician uptake;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 including any price concessions required by third-party payors to obtain coverage;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or favorable publicity about competitive products.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58"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discover, develop, and commercialize other product candidates, we may be unable to grow our business and our ability to achieve our strategic objectives would be impaired.</w:t>
      </w:r>
    </w:p>
    <w:p>
      <w:pPr>
        <w:spacing w:after="0" w:line="15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development and commercialization of our current product candidates are our initial focus, as part of our longer-term growth strategy, we may seek to develop other product candidates leveraging our Glyph platform.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Any other potential product candidates will require additional, time-consuming development efforts prior to commercial sale, including preclinical studies, clinical trials, and approval by the FDA or other comparable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18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intend to devote capital and resources for basic research to discover and identify additional product candidates. These research programs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25"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To finance any acquisitions, we may choose to issue shares of our common stock as consideration, which could dilute the ownership of our stockholders. If the price of our common stock is low or volatile, we may be unable to consummate any acquisitions using our common stock as consideration. Additional funds may not be available on terms that are favorable to us, or at all.</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158" w:lineRule="exact"/>
        <w:rPr>
          <w:sz w:val="20"/>
          <w:szCs w:val="20"/>
          <w:color w:val="auto"/>
        </w:rPr>
      </w:pPr>
    </w:p>
    <w:p>
      <w:pPr>
        <w:ind w:left="120"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diseases and disorders for which we are developing our product candidates has not been established with precision. If the actual number of patients with the diseases or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 candidates may be smaller than we expect and our revenue potential and ability to achieve profitability may be materially adversely affected.</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pipeline includes product candidates for a variety of neuropsychiatric disorders, including MDD and GAD.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MDD and GAD,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 candidates,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ability to generate revenues and achieve profitability or to meet our expectations with respect to the foregoing.</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clinical and commercial landscapes for the treatment of neuropsychiatric disorders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CNS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are aware that a significant number of product candidates are currently under development for MDD, GAD, and other indications that we are currently pursuing and may pursue, and some or all may become commercially available in the future for the treatment of conditions for which we are trying or may try to develop product candidates. Additionally, if our product candidates were to be approved, they would likely compete with historical standard of care therapies. Our potential competitors include large pharmaceutical and biotechnology companies, specialty pharmaceutical and generic drug companies, academic institutions, government agencies, and research institutions. For examples of the competition that our product candidates face, see the section titled “Business—Competition” included elsewhere in this prospectus.</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 products that are more effective or less costly than our product candidates, which could render our product candidates obsolete and noncompetitive.</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176"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5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our failure to educate an adequate number of physicians on the benefits of any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 If we do not establish sales and marketing capabilities successfully, either on our own or in collaboration with third parties, we will not be successful in commercializing our product candidates.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15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of April 1, 2026, we had 58 full-time employees. We expect to experience significant growth in the number of our employees and the scope of our operations over time.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88"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product candidates, leverage our Glyph platform and our future growth depends on attracting, hiring, and retaining our key personnel and recruiting additional qualified personnel.</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candidates. Given the specialized nature of neuropsychiatric disorders and our approach, there is an inherent scarcity of experienced personnel in these fields. As we continue developing our product candidates in our pipeline, we will require personnel with medical, scientific, or technical qualifications specific to each program. The loss of key personnel, in particular our Co-Founder and Chief Executive Officer, Co-Founder, and Chair of the Board, Chief Financial Officer, Chief Medical Officer, Co-Founder and Chief Scientific Officer, General Counsel, and clinical development personnel, would delay our research and development activities. The competition for qualified personnel in the therapeutics,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our clinical operations and research and development programs depend on our ability to attract and retain highly skilled employees across multiple functions, particularly in Massachusetts. There is powerful competition for skilled personnel in this geographical market,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Furthermore,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appreciated in value relative to the original purchase prices of the shares, or if the exercise prices of the options they hold are significantly below the market price of our common stock, particularly after the expiration of the lock-up agreements described herein. If we fail to attract new personnel or fail to retain and motivate our current personnel, our business and future growth prospects would be harmed.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and preclinical studies. If they do not successfully carry out their contractual duties, comply with applicable regulatory requirements, or meet expected deadlines, we may not be able to obtain regulatory approval or commercialize our product candidates, or such approval or commercialization may be delayed, and our business could be substantially harmed.</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preclinical studies and expect to rely on these third parties to conduct clinical trials and preclinical studies of any other product candidate that we develop. Our ability to complete clinical trials in a timely fashion depends on a number of key factors. These factors include protocol design, regulatory, and IRB approval, patient enrollment rates, and compliance with GCPs.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for any reason,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macroeconomic environment and the inexperience of new employees. Additionally, at clinical trial sites, the availability of staff and trial participants has been limited due to a decrease in the number of clinical investigative sites across the globe.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 In addition, principal investigators for our clinical trials may be asked to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or foreign regulatory authorities of any NDA or foreign application we submit. Any such delay or rejection could prevent us from commercializing our product candidates.</w:t>
      </w:r>
    </w:p>
    <w:p>
      <w:pPr>
        <w:spacing w:after="0" w:line="194"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We may not be able to enter into alternative arrangements or do so on commercially reasonable terms. In addition, even if there are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prospects.</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we currently and may in the future rely on foreign CROs and CMOs. Such foreign CROs and CMOs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in January 2024, there was congressional activity, including the introduction of the BIOSECURE Act (H.R. 7085) in the House of Representatives and a substantially similar Senate bill (S.3558). In September 2024, the U.S. House of Representatives passed a version of the BIOSECURE Act (H.R. 8333), however, the Senate did not approve that legislation. In October 2025, both the U.S. House of Representatives and Senate passed their respective versions of the National Defense Authorization Act of 2026 (NDAA), each including an amendment often referred to as “BIOSECURE 2.0.” While BIOSECURE 2.0 has not yet been enacted and must still be reconciled in conference, the current text would establish federal government contracting, grant, and loan restrictions similar in effect to prior BIOSECURE proposals. However, unlike earlier versions of BIOSECURE that named specific Chinese companies, BIOSECURE 2.0 would implement a process-based designation system through which biotechnology companies “of concern” would be identified based on whether companies fall within statutorily define categories, including entities identified on the Department of Defense’s Section 1260H list of “Chinese military companies” and other entities that are subject to the direction, control, or jurisdiction of a foreign adversary’s government which pose national security risks based on specified criteria. If BIOSECURE 2.0 becomes law or similar laws are passed, they would have the potential to severely restrict the ability of therapeutics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our product candidates, including those located outside of the United States, may increase the risk that we will not have sufficient quantities of our product candidates, raw materials, active pharmaceutical ingredients, or APIs, or drug products when needed or at an acceptable cost.</w:t>
      </w:r>
    </w:p>
    <w:p>
      <w:pPr>
        <w:spacing w:after="0" w:line="17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 including in jurisdictions outside of the United States.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 and the final drug product formulation of all of our product candidates that are being used in our clinical trials and preclinical studies. If we were to need an alternate manufacturer, we would incur added costs and delays in identifying and qualifying any such replacement. In addition, we typically order raw materials, API,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Some of the third-party manufacturers we rely on have only recently begun working with us and have limited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67" w:lineRule="exact"/>
        <w:rPr>
          <w:sz w:val="20"/>
          <w:szCs w:val="20"/>
          <w:color w:val="auto"/>
        </w:rPr>
      </w:pPr>
    </w:p>
    <w:p>
      <w:pPr>
        <w:ind w:left="1080" w:right="10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produce materials with acceptable quality on a larger scale;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comparable regulatory authorities.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other comparable regulatory authorities. We may be unsuccessful in demonstrating the comparability of clinical supplies, which could require 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197"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If any of our product candidates is approved by any regulatory agency, we intend to utilize arrangements with third-party contract manufacturers for the commercial production of those products. This process is difficult and time-consuming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16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Some of our manufacturers are located outside of the United States. There is currently significant uncertainty about the future relationship between the United States and various other countries with respect to trade policies, treaties, government regulations, and tariffs. Increased tariffs or pending legislation that would impose federal contracting or federal funding limitations on parties directly using or connected to those using the services or equipment of certain foreign entities with known or alleged associations with foreign adversaries could potentially disrupt our existing supply chains and impose additional costs on our business. Additionally, it is possible further tariffs may be imposed that could affect imports of any APIs used in our product candidates in the future, or our business may be adversely impacted by retaliatory trade measures taken by China or other countries, including restricted access to such raw materials used in our product candidates. Given the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and financial condition.</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and are required to register their facilities with the FDA, subjecting them to inspections to assess whether these facilities are in compliance with cGMPs.</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compliance with cGMPs and comparable foreign requirements. If our contract manufacturers cannot successfully manufacture material that conforms to our specifications and the strict regulatory requirements of the FDA or other comparable regulatory authorities, we may not be able to secure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comparable foreign requirements. Any failure to comply with cGMP requirements or other FDA and comparable foreign regulatory requirements could adversely affect our clinical research activities and our ability to develop our product candidates and market our products, if approved.</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and other comparable regulatory requirements could adversely affect our clinical research activities and our ability to develop our product candidates and market our products following approval, if obtained.</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should we decide to use any APIs in any of our product candidates that are proprietary to one or more third parties, we would need to maintain licenses to those APIs from those third parties. If we are unable to gain or continue to access rights to such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18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in the future opportunistically pursue strategic partnerships or collaborations, as the advancement of our product candidates and development programs and the potential commercialization of our current and future product candidates will require substantial additional cash to fund expenses. If we believe that partnerships or collaborations can accelerate the development or maximize the market potential of our product candidates, we will consider entering into product, target and/or geographic specific strategic partnerships or collaborations on an opportunistic basis. Likely collaborators may include large and mid-size pharmaceutical companies, regional and national pharmaceutical companies, and biotechnology companies. In addition, if we are able to obtain regulatory approval for product candidates from foreign regulatory authorities, we may enter into partnerships or collaborations with international biotechnology or pharmaceutical companies for the commercialization of such product candidates.</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partnership or collaboration will depend, among other things, upon our assessment of the collaborator’s resources and expertise, the terms and conditions of the proposed partnerships or collaboration, and the proposed collaborator’s evaluation of a number of factors. Those factors may include the potential differentiation of our product candidate from competing product candidates, design, or results of clinical trials, the likelihood of approval by the FDA or other comparable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partnership or collaboration and whether such a partnership or collaboration could be more attractive than the one with us for our product candidate. If we elect to increase our expenditures to fund development or commercialization activities on our own, we may need to</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obtain additional capital, which may not be available to us on acceptable terms or at all. If we do not have sufficient funds, we may not be able to further develop our product candidates or bring them to market and generate product revenue.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Partnerships and collaborations are each complex and time-consuming to negotiate and document. Further, there have been a significant number of recent business combinations among large pharmaceutical companies that have resulted in a reduced number of potential future collaborators. Any partnership or collaboration agreements that we enter into in the future may contain restrictions on our ability to enter into potential partnerships or collaborations or to otherwise develop specified product candidates. We may not be able to negotiate partnerships or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w:t>
      </w:r>
    </w:p>
    <w:p>
      <w:pPr>
        <w:spacing w:after="0" w:line="19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Furthermore, if conflicts arise between our collaborators and us, the other party may act in a manner adverse to us and could limit our ability to implement our strategies. Our collaborators could conduct multiple product development efforts and could develop, either alone or with others, products in related fields that are competitive with the product candidates we may develop that are the subject of these partnerships or collaborations with us.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Competing products may preclude us from entering into partnerships or collaborations with their competitors, fail to obtain timely regulatory approvals, prevent us from obtaining timely regulatory approvals, terminate their agreements with us prematurely or fail to devote sufficient resources to the partnership or collaboration efforts, including development, delivery, manufacturing, and commercialization of products. Any of these developments could harm our company and product development efforts.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collaborations with third parties for the development and/or commercialization of our product candidates, our prospects with respect to those product candidates will depend in significant part on the success of those collaborations.</w:t>
      </w:r>
    </w:p>
    <w:p>
      <w:pPr>
        <w:spacing w:after="0" w:line="15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enter into collaborations with third parties for the development and/or commercialization of certain of our product candidates. If we enter into such collaborations, we will have limited control over the amount and timing of resources that our collaborators will dedicate to the development or commercialization of our product candidates.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Collaborations involving our product candidates pose a number of risks, including the following:</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jc w:val="both"/>
        <w:ind w:left="1080" w:right="46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and/or commercialization of our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such product or products;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72" w:lineRule="exact"/>
        <w:rPr>
          <w:sz w:val="20"/>
          <w:szCs w:val="20"/>
          <w:color w:val="auto"/>
        </w:rPr>
      </w:pPr>
    </w:p>
    <w:p>
      <w:pPr>
        <w:ind w:left="120"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5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financial condition, and results of operations.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and similar foreign notifications and approvals.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or delay in obtaining regulatory approval in one jurisdiction may have a negative effect on the regulatory approval process in others. For example, even if the FDA grants marketing approval of a product candidate, the European Commission or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also submit marketing authorization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3" w:lineRule="exact"/>
        <w:rPr>
          <w:sz w:val="20"/>
          <w:szCs w:val="20"/>
          <w:color w:val="auto"/>
        </w:rPr>
      </w:pPr>
    </w:p>
    <w:p>
      <w:pPr>
        <w:jc w:val="both"/>
        <w:ind w:left="120" w:right="6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distribution, AE reporting, advertising, promotion, sampling, import, export,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comparable foreign requirements) and GCP requirements for any clinical trials that we conduct post-approval.</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other comparable regulatory authority approves our product candidates, we will have to comply with requirements including submissions of safety and other post-marketing information and reports and registration.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AEs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5540" w:right="240" w:hanging="4884"/>
        <w:spacing w:after="0" w:line="454" w:lineRule="auto"/>
        <w:tabs>
          <w:tab w:leader="none" w:pos="10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 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withdrawal of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policies of the FDA and other comparable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and other comparable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and other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For example, we may seek a Fast Track Designation for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188"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Where appropriate, we may secure approval from the FDA or other comparable regulatory authorities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other comparable regulatory authorities, if our confirmatory trials do not verify clinical benefit, or if we do not comply with rigorous post-marketing requirements, the FDA or such other comparable regulatory authorities may seek to withdraw any accelerated approval we have obtained.</w:t>
      </w:r>
    </w:p>
    <w:p>
      <w:pPr>
        <w:spacing w:after="0" w:line="186" w:lineRule="exact"/>
        <w:rPr>
          <w:sz w:val="20"/>
          <w:szCs w:val="20"/>
          <w:color w:val="auto"/>
        </w:rPr>
      </w:pPr>
    </w:p>
    <w:p>
      <w:pPr>
        <w:ind w:left="120" w:right="60" w:firstLine="440"/>
        <w:spacing w:after="0" w:line="271" w:lineRule="auto"/>
        <w:rPr>
          <w:sz w:val="20"/>
          <w:szCs w:val="20"/>
          <w:color w:val="auto"/>
        </w:rPr>
      </w:pPr>
      <w:r>
        <w:rPr>
          <w:rFonts w:ascii="Times New Roman" w:cs="Times New Roman" w:eastAsia="Times New Roman" w:hAnsi="Times New Roman"/>
          <w:sz w:val="17"/>
          <w:szCs w:val="17"/>
          <w:color w:val="auto"/>
        </w:rPr>
        <w:t>We may seek an accelerated approval pathway for our one or more of our therapeutic candidates from the FDA or other comparable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 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Prior to seeking accelerated approval, we would seek feedback from the FDA or other comparable regulatory authorities and would otherwise evaluate our ability to seek and receive such accelerated approval.</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after our evaluation of the feedback and other factors we will decide to pursue or submit an NDA for accelerated approval or any other form of expedited development, review, or approval. Similarly, there can be no assurance that after subsequent feedback from the FDA or other comparable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or other comparable regulatory authorities could also require us to conduct further studies prior to considering our application or granting approval of any type, including, for example, if other products are approved via the accelerated pathway and subsequently converted by FDA to full approval.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w:t>
      </w:r>
    </w:p>
    <w:p>
      <w:pPr>
        <w:spacing w:after="0" w:line="190"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may be regulated as controlled substances, the making, use, sale, importation, exportation, and distribution of which are subject to significant regulation by the U.S. Drug Enforcement Administration and other regulatory agencies.</w:t>
      </w:r>
    </w:p>
    <w:p>
      <w:pPr>
        <w:spacing w:after="0" w:line="15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do not yet fully understand the potential for GlyphAllo or Glyph2BLSD to be classified as controlled substances, but brexanolone is currently classified as a Schedule IV controlled substance under the Controlled Substances Act, or CSA and although non-hallucinogenic 2-bromo-LSD is not a controlled substance, it is an analogue of LSD, which is a Schedule I controlled substance under the CSA. Accordingly, we may need to conduct studies to assess the abuse potential of GlyphAllo and/or Glyph2BLSD, and pending the outcome of such evaluations, we may be required to provide a proposal for scheduling by the Drug Enforcement Administration, or the DEA, when submitting an NDA, which could cause delays in our development process or commercialization timing.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DEA regulates controlled substances as Schedule I, II, III, IV, or V substances. Schedule I substances by definition have no established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medicinal use and may not be marketed or sold in the United States. A pharmaceutical product may be listed as Schedule II, III, IV, or V, with Schedule</w:t>
      </w:r>
    </w:p>
    <w:p>
      <w:pPr>
        <w:spacing w:after="0" w:line="9" w:lineRule="exact"/>
        <w:rPr>
          <w:sz w:val="20"/>
          <w:szCs w:val="20"/>
          <w:color w:val="auto"/>
        </w:rPr>
      </w:pPr>
    </w:p>
    <w:p>
      <w:pPr>
        <w:jc w:val="both"/>
        <w:ind w:left="120" w:right="140" w:hanging="4"/>
        <w:spacing w:after="0" w:line="253" w:lineRule="auto"/>
        <w:tabs>
          <w:tab w:leader="none" w:pos="2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substances considered to present the highest risk of abuse and Schedule V substances the lowest relative risk of abuse among such substances. If any of our product candidates were to become subject to DEA oversight, such product candidates would be subject to additional restrictions regarding their manufacture, shipment, storage, sale, and use, depending on the scheduling of the active ingredients, and may limit the commercial potential of any of our product candidates, if approved.</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If any of our product candidates is classified as a controlled substance, we or our collaborators would also be required to obtain separate state registrations in order to be able to obtain, handle, and distribute controlled substances for clinical trials or for commercial sale, and failure to meet applicable regulatory requirements could lead to enforcement and sanctions from the states in addition to those from the DEA or otherwise arising under federal law.</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any of our product candidates that may be classified as controlled substances, we and our suppliers, manufacturers, contractors, customers, and distributors are required to obtain and maintain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storage,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188" w:lineRule="exact"/>
        <w:rPr>
          <w:sz w:val="20"/>
          <w:szCs w:val="20"/>
          <w:color w:val="auto"/>
        </w:rPr>
      </w:pPr>
    </w:p>
    <w:p>
      <w:pPr>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subject us to anti-kickback, fraud and abuse and other healthcare laws and regulations, which could increase our compliance costs, and expose us to criminal sanctions, civil penalties, contractual damages, reputational harm and diminished profits, and future earnings.</w:t>
      </w:r>
    </w:p>
    <w:p>
      <w:pPr>
        <w:spacing w:after="0" w:line="17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pharmacies, consultants, marketing personnel, third-party payors, patient organizations, and customers expose us to broadly applicable foreign, federal and state fraud and abuse, and other healthcare laws and regulations. These laws include foreign, federal, and state anti-kickback laws, false claims statutes, civil monetary penalties laws, healthcare data privacy, and security laws, and consumer protection and unfair competition laws, as well as transparency laws regarding payments or other items of value provided to healthcare providers, and laws related to price reporting. Healthcare providers, physicians, and third-party payors in the United States and elsewhere play a primary role in the recommendation and prescription of pharmaceutical products. These laws may constrain the business or financial arrangements and relationships through which we conduct our operations, including how we research, market, sell, and distribute any product for which we obtain regulatory approval. For more information on healthcare laws and regulations that may impact our company, see the section titled “Business—Government Regulation—Other Healthcare Laws” included elsewhere in this prospectus.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both internally and with third parties will comply with applicable healthcare and privacy laws and regulations will involve ongoing substantial costs. It is possible that governmental and enforcement authorities will conclude that our business practices may not comply with current or future statutes, regulations, or case law interpreting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or arrangements might be challenged under one or more of these laws.</w:t>
      </w:r>
    </w:p>
    <w:p>
      <w:pPr>
        <w:spacing w:after="0" w:line="187"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time-consuming, resource-intensive, and can divert a company’s attention from the business.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our business practices or operations are found to be in violation of any of fraud and abuse, or other healthcare laws or governmental laws, regulations, agency guidance, or case law that may apply to us, we may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subject to significant penalties, including administrative, civil, and criminal penalties, damages, fines, disgorgement, the exclusion from participation in federal and state healthcare programs, such as Medicare and Medicaid, integrity oversight, and reporting obligations, contractual damages, individual imprisonment, reputational harm, diminished profits, and future earnings,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4"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any of our product candidates, if approved, will depend in part on the extent to which governmental authorities and health insurers establish coverage, adequate reimbursement levels and favorable pricing policies. Coverage and reimbursement may be limited or unavailable in certain market segments for our product candidates, which could make it difficult for us to sell any approved product candidates profitably.</w:t>
      </w:r>
    </w:p>
    <w:p>
      <w:pPr>
        <w:spacing w:after="0" w:line="180"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including governmental healthcare programs such as Medicare and Medicaid, private health insurers and other third-party payors. Patients who are provided medical treatment for their conditions generally rely on third-party payors to reimburse all or part of the costs associated with their treatment. Our ability to achieve coverage and acceptable levels of reimbursement for our product candidates by third-party payors will have an effect on our ability to successfully commercialize those products. We cannot be sure that coverage and reimbursement will be available for, or accurately estimate the potential revenue from, any product that we may develop. For more information on the laws and regulations that may impact coverage and reimbursement of our product candidates, see the section titled “Business—Government Regulation—Coverage and Reimbursement” included elsewhere in this prospectus.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8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300" w:firstLine="440"/>
        <w:spacing w:after="0" w:line="277"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if approved, on a payor-by-payor basis, with no assurance that coverage and adequate reimbursement will be obtained. Furthermore, rules and regulations regarding reimbursement change frequently, and, in some cases, at short notice, and we believe that additional changes in these rules and regulations are likely.</w:t>
      </w:r>
    </w:p>
    <w:p>
      <w:pPr>
        <w:spacing w:after="0" w:line="16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Even if we obtain coverage for a given product, if approved, the resulting reimbursement payment rates might not be adequate for us to achieve or sustain profitability or may require cost-sharing (e.g., co-payments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coinsurance) that patients find unacceptably high. There is significant uncertainty related to insurance coverage and reimbursement of newly approved products. In the United States, the principal decisions about reimbursement for new medicines are typically made by U.S. Centers for Medicare &amp; Medicaid Services, or CMS. CMS decides whether and to what extent a new medicine will be covered and reimbursed under Medicare, and private payors tend to follow CMS coverage determinations to a substantial degree. Additionally, third-party payors may not cover or provide adequate reimbursement for a given product or, long-term follow-up evaluations, or other ancillary services required following the use of product candidates, once approved. Some third-party payors may require pre-approval of coverage or implement prior authorization or step therapy programs for new or innovative drug therapies before they will reimburse patients who use such therapies which may be time-consuming or costly for patients and lead to a reduction in revenue. Patients are unlikely to use our product candidates, once approved, unless coverage is provided and reimbursement is adequate to cover a significant portion of their cost. It is difficult to predict at this time what third-party payors will decide with respect to the coverage and reimbursement for our product candidates.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jc w:val="both"/>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therapeutics products and services, and many third-party payors may refuse to provide coverage and reimbursement for particular drugs when an equivalent generic drug or a less expensive therapy is available. It is possible that a third-party payor may consider our product candidates as substitutable and offer to reimburse patients only for a less expensive competitor product.</w:t>
      </w:r>
    </w:p>
    <w:p>
      <w:pPr>
        <w:spacing w:after="0" w:line="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Even if we are successful in demonstrating improved efficacy or improved convenience of administration with our product candidates, pricing of existing drugs may limit the amount we will be able to charge for our products, if approved.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if approved, and may not be able to obtain a satisfactory financial return on products that we may develop.</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If, for example, we participate in the Medicaid Drug Rebate Program or other governmental pricing programs, in certain circumstances, our products, if approved,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if approved.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our product candidates, if any, may be.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product must be approved before it may be lawfully marketed. The requirements governing product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184"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and cost containment initiatives may have a material adverse effect on our business and results of operations and increase the difficulty and cost for us to obtain coverage for and commercialize any of our current or future product candidates and may adversely affect the prices we may set.</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w:t>
      </w:r>
    </w:p>
    <w:p>
      <w:pPr>
        <w:spacing w:after="0" w:line="27" w:lineRule="exact"/>
        <w:rPr>
          <w:sz w:val="20"/>
          <w:szCs w:val="20"/>
          <w:color w:val="auto"/>
        </w:rPr>
      </w:pPr>
    </w:p>
    <w:p>
      <w:pPr>
        <w:ind w:left="380" w:hanging="264"/>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(2) additions or modifications to product labeling, (3) the recall or discontinuation of our products, or</w:t>
      </w:r>
    </w:p>
    <w:p>
      <w:pPr>
        <w:spacing w:after="0" w:line="9" w:lineRule="exact"/>
        <w:rPr>
          <w:rFonts w:ascii="Times New Roman" w:cs="Times New Roman" w:eastAsia="Times New Roman" w:hAnsi="Times New Roman"/>
          <w:sz w:val="18"/>
          <w:szCs w:val="18"/>
          <w:color w:val="auto"/>
        </w:rPr>
      </w:pPr>
    </w:p>
    <w:p>
      <w:pPr>
        <w:ind w:left="120" w:right="180" w:hanging="4"/>
        <w:spacing w:after="0" w:line="253" w:lineRule="auto"/>
        <w:tabs>
          <w:tab w:leader="none" w:pos="3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Current and future legislation and regulations may increase the difficulty and cost for us to commercialize our drugs, if approved, and affect the prices we may obtain, including changes in coverage and reimbursement policies in certain market segments for our product candidates, which could make it difficult for us to sell our product candidates, if approved, profitably. If any such changes were to be imposed, they could adversely affect the operation of our business. See the section titled “Business—Current and Future U.S. Healthcare Reform” included elsewhere in this prospectus.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For example, in March 2010, the ACA, was passed, which substantially changed the way healthcare is financed by both the government and private insurers, and continues to significantly impact the U.S. pharmaceutical industry. Since its enactment, certain provisions of the ACA have been subject to judicial, executive, and legislative challenges and may be subject to additional challenges in the future.</w:t>
      </w:r>
    </w:p>
    <w:p>
      <w:pPr>
        <w:spacing w:after="0" w:line="183"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effective April 1, 2013, which, due to subsequent legislative amendments, will stay in effect through 2032 unless additional congressional action is taken. In January 2013, the American Taxpayer Relief Act of 2012 was signed into law, which, among other things, reduced Medicare payments to several providers, and increased the statute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limitations period for the government to recover overpayments to providers from three to five years. 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 which could adversely affect our sales of any of our product candidates that we commercialize. These laws and regulatory changes may result in additional reductions in Medicare and other healthcare funding, which could have a material adverse effect on prescribers of our product candidates, if approved, and accordingly, our financial operations.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 For example, the American Rescue Plan Act of 2021 eliminated the Medicaid statutory rebate cap of 100% of average manufacturer price as of January 1, 2024. Elimination of this cap may require pharmaceutical manufacturers to pay more in rebates than it receives on the sale of products, which could have a material impact on our business.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Most significantly, in August 2022, President Biden signed the Inflation Reduction Act of 2022, or the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manufacturer discount program (beginning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or the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The impact of the IRA on us and the pharmaceutical industry cannot yet be fully determined, but is likely to be significant.</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the Trump administration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Additional drug pricing proposals could appear in future legislation and it is possible that Congress could enact additional laws that negatively affect the pharmaceutical industry. Adoption of price controls and cost-containment measures, and adoption of more restrictive policies in jurisdictions with existing controls and measures, could further limit our revenue generated from the sale of any approved products.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8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At the state level, state governments have become increasingly active in developing proposals, passing legislation, and implementing regulations designed to control pharmaceutical and biological product pricing, including price or reimbursement constraints, discounts, formulary flexibility, restrictions on certain product access and marketing cost disclosure, drug price increase reporting, and transparency measures, and, in some cases, designed to encourage importation from other countries and bulk purchasing. Some states have enacted legislation creating so-called prescription drug affordability boards with the goal of imposing price limits on certain drugs in these states, while some states are also seeking to implement general, across the board price caps for pharmaceuticals, or are seeking to regulate drug distribution. These types of initiatives may result in additional reductions in Medicare, Medicaid, and other healthcare funding.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any of our current and future product candidates, if approved, or put pressure on our product pricing, which could negatively affect our business, financial condition, results of operations and prospects.</w:t>
      </w:r>
    </w:p>
    <w:p>
      <w:pPr>
        <w:spacing w:after="0" w:line="18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expect that these and other state and federal healthcare reform measures may be adopted in the future, any of which may result in additional reductions in Medicare and other healthcare funding, more rigorous coverage criteria, new payment methodologies, impose price controls, and additional downward pressure on the price that we receive for any approved product candidate for which we may obtain regulatory approval, and the frequency with which any such product candidate is prescribed or used. Any reduction in reimbursement from Medicare or other government programs may result in a similar reduction in payments from private payors. The implementation of cost containment measures, changes in healthcare spending and policy, or other healthcare reforms may prevent us from being able to generate revenue, attain profitability, or commercialize our product candidates, and materially affect our business. If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or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229"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exclusion from participation in government-funded healthcare programs, such as Medicare and Medicaid, equitable remedies, including disgorgement, injunctive relief and/or other sanctions against us, and remediation of any such findings could have an adverse effect on our business operations.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integrity oversight and reporting obligations,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15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We are exposed to the risk of employee fraud or other illegal activity by our current and any future employees, independent contractors, consultants, CMOs, and vendors. Misconduct by these parties could include intentional, reckless, and/or negligent conduct that fails to comply with the regulations set forth by the FDA or other comparable regulatory authorities,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any of our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regulatory authorities actively enforce the laws and regulations prohibiting the promotion of off-label uses.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FDA. While physicians in the United States may choose, and are generally permitted, to prescribe drugs for uses that are not described in the product’s labeling and for uses that differ from those tested in clinical trials and approved by the regulatory authorities, we may only promote or market our products in a manner that is consistent with their FDA-approved labeling. Similar requirements may apply in foreign jurisdictions.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any product candidates, if approved,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or other comparable regulatory authorities or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Disruptions at the FDA or other comparable regulatory authorities or government agencies may also slow the time necessary for new drugs to be reviewed and/or approved by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If a prolonged government shutdown occurs, including as a result of reaching the debt ceiling,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54"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15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potentially in selected foreign jurisdictions. If we obtain approval in one or more foreign jurisdictions for our 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reward improper performance generally is typically governed by the national anti-bribery laws of EU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European Union.</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For example, some EU Member States have the option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therapeutics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93"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3" w:lineRule="exact"/>
        <w:rPr>
          <w:sz w:val="20"/>
          <w:szCs w:val="20"/>
          <w:color w:val="auto"/>
        </w:rPr>
      </w:pPr>
    </w:p>
    <w:p>
      <w:pPr>
        <w:ind w:left="120" w:right="44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13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to ours and our ability to successfully develop and commercialize our product candidates may be adversely affected.</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rights protection through patents, trademarks, and trade secrets in the United States and other countries with respect to our technology and product candidates.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and our licensors have filed patent applications and may file other patent applications in the United States or abroad related to our product candidates that are important to our business. In particular, we are heavily reliant on patent rights we have exclusively in-licensed from Monash University pursuant to the Monash License Agreement. The patent application process is expensive, time-consuming and complex. We may not be able to file, prosecute, maintain, enforce or license all necessary or desirable patent applications at a reasonable cost or in a timely manner.</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the inventions and consequently, we may not be able to prevent third parties from using such inventions.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owned or in-licensed patents have, or that any of our owned or in-licensed pending patent applications that mature into issued patents will include claims with a scope sufficient to protect our product candidates or otherwise provide any competitive advantage. Other parties have developed or may develop technologies that may be related to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the first non-provisional patent application has been filed. Various extensions may be available; however,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 As a result, our patent portfolio may not provide us with adequate and continuing patent protection sufficient to exclude others from commercializing products similar or identical to ours.</w:t>
      </w:r>
    </w:p>
    <w:p>
      <w:pPr>
        <w:spacing w:after="0" w:line="19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Even if they are unchallenged, our owned and in-licensed patents and pending patent applications, if issued, may not provide us with any meaningful protection or prevent competitors from designing around our patent claims to circumvent our patent portfolio by developing similar or alternative product candidates in a non-infringing manner. For example, a third party may develop a product candidate that provides benefits similar to one of our product candidates but falls outside the scope of our owned or in-licensed patent rights. If the patent protection provided by the patent and patent applications we hold or pursue with respect to such product candidate is not sufficiently broad to impede such competition, our ability to successfully commercialize our product candidate could be negatively affected, which would harm our business.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now or in the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held to be invalid and/or unenforceable, and such applications may never result in valid, enforceable patents. Periodic maintenance fees, renewal fees, annuity fees, and various other government fees on patents and/or applications will be due to be paid to the U.S. Patent and Trademark Office, or the USPTO, and various government patent agencies outside of the United States over the lifetime of our owned or licensed patents and patent applications. We rely on our outside counsel or our licensing partners to pay these fees due to U.S. and non-U.S. patent agencies. The USPTO and various non-U.S. government patent agencies require compliance with several procedural, documentary, fee payment and other similar provisions during the patent application process. While an inadvertent lapse can, and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Non-compliant events that could result in abandonment or lapse of a patent or patent application include, but are not limited to, failure to respond to official actions within prescribed time limits, non-payment of fees and failure to properly legalize and submit formal documents. The USPTO and various non-U.S. government agencies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require compliance with certain foreign filing requirements during the patent application process. For example, in some countries, including the U.S.,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but not all cases, for example in China and India,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licensors to take the necessary actions to comply with these requirements with respect to our licensed intellectual property. Any of these outcomes could impair our ability to prevent competition from third parties, which may have an adverse impact on our business.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carries uncertainty. As a result, the issuance, scope, validity, enforceability and commercial value of our patent rights are characterized by uncertainty.</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any patents we may own or license may be challenged in the courts or patent offices in the United States and abroad. There is no assurance that all the potentially relevant prior art relating to our patent portfolio has been published or found.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Alternatively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or our licensors’ pending and future patent applications may not result in patents being issued that protect our business, in whole or in part, or which effectively prevent others from commercializing competitive products. For example, our or our licensors’ provisional applications may never result in issued patents. A provisional patent application is not eligible to become an issued patent until, among other things, we or our licensors file a non-provisional patent application within 12 months of filing the provisional patent application. If we or our licensors do not timely file non-provisional patent applications, we or our licensors may lose the priority dates with respect to such provisional patent applications and any patent protection on the inventions disclosed in such provisional patent applications. While we intend to timely file non-provisional patent applications relating to our current and future provisional patent applications, we cannot predict whether any of our or our licensors’ non-provisional patent applications directed to our technology and product candidates will result in the issuance of patents that effectively protect our technology and product candidates. Further, competitors may be able to design around our patents. Changes in either the patent laws or interpretation of the patent laws in the United States and other countries also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jurisdictions that coincide with significant commercial markets, such as the European Patent Office, China, and Japan, restrict the patentability of methods of treatment of the human body more than United States law does, and India does not permit the patenting of methods of treatment at all. These differences in patent protection may have a material adverse effect on our ability to adequately protect our inventions against unauthorized use by third parties.</w:t>
      </w:r>
    </w:p>
    <w:p>
      <w:pPr>
        <w:spacing w:after="0" w:line="19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81" w:lineRule="exact"/>
        <w:rPr>
          <w:sz w:val="20"/>
          <w:szCs w:val="20"/>
          <w:color w:val="auto"/>
        </w:rPr>
      </w:pPr>
    </w:p>
    <w:p>
      <w:pPr>
        <w:ind w:left="1080" w:right="6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5"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 or even if issued may not provide adequate patent coverage to prevent a competitor from developing a competing product or otherwise provide us with any competitive advantage;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company-owned or in-licensed patents that have been issued or may be issued in the future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some of which may have substantially greater resources, may seek or may have already obtained patents that will limit, interfere with or eliminate our ability to make, use, and sell our product candidates, if approved;</w:t>
      </w:r>
    </w:p>
    <w:p>
      <w:pPr>
        <w:spacing w:after="0" w:line="67"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U.S. may, under certain circumstances, force us to grant a license under our patents to a competitor, thus allowing the competitor to compete with us in that jurisdiction or forcing us to lower the price of our drug in that jurisdiction;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also be delays at the USPTO caused by staffing cuts and other U.S. government actions as a result of the U.S. Department of Government Efficiency or other executive actions to reduce the size of the U.S. government.</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spacing w:after="0" w:line="18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 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spacing w:after="0" w:line="175"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reliant on in-licensed intellectual property, and if we fail to comply with our obligations in the agreements under which we license intellectual property rights from third parties or otherwise experience disruptions to our business relationships with our current and future licensors, we could lose license rights that are important to our business.</w:t>
      </w:r>
    </w:p>
    <w:p>
      <w:pPr>
        <w:spacing w:after="0" w:line="175"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We are heavily reliant upon the rights granted to us under the Asset Transfer Agreement and the Monash License Agreement pursuant to which, for the latter, we have been granted an exclusive, royalty-bearing license to certain patent rights that are important or necessary to the development of our proprietary technology and product candidates. Termination of the Asset Transfer Agreement or the Monash License Agreement or reduction or elimination of our licensed rights could lead to the loss of our ability to develop and commercialize our proprietary technology and product candidates.</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need to obtain licenses to intellectual property rights necessary to develop and commercialize our product candidates or may need to amend existing or future licenses. If we are unable to obtain or amend such licenses at a reasonable cost or on reasonable terms, we may be unable to develop or commercialize our product candidates, which could harm our business significantly.</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noted above, the Monash License Agreement imposes, and we expect that future license agreements will impose, diligence obligations, milestone and royalty payments, indemnification and other obligations on us. If we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fail to comply with our obligations under one or more of these licenses, our licensors, including Monash University, may have the right to terminate the license agreement at issue. If one or more of these licenses is terminated, we may be unable to develop or commercialize our product candidates. Termination of any of our current or future license agreements or reduction or elimination of our licensed rights may require us to negotiate new or reinstated licenses with less favorable terms, even if available at all.</w:t>
      </w:r>
    </w:p>
    <w:p>
      <w:pPr>
        <w:spacing w:after="0" w:line="180"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the licensed rights, or increase what we believe to be our diligence, development, regulatory, commercialization, financial or other obligations under the relevant agreement. In addition, if disputes over the license agreements or the in-licensed intellectual property prevent or impair our ability to maintain our current license agreements on commercially acceptable terms, we may be unable to successfully develop and commercialize the affected product candidate. Any of the foregoing could have a material adverse effect on our business, financial condition, results of operations and prospects.</w:t>
      </w:r>
    </w:p>
    <w:p>
      <w:pPr>
        <w:spacing w:after="0" w:line="17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License agreements we may enter into in the future may be non-exclusive, or may not include all territories or fields of use of interest to us. Accordingly, third parties may also obtain licenses from such licensors to the same intellectual property rights they have licensed to us. As a result, the licenses granted to us may not provide us with exclusive rights to use such patent and other intellectual property rights in all relevant fields of use and in all territories in which we may wish to develop or commercialize our product candidates, which may permit competitors to develop and commercialize a competitive product.</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Furthermore, in some cases, we may not have the right to control the preparation, filing and prosecution of patent applications, or to maintain the patents, covering technology that we in-license from third parties. Therefore, we cannot be certain that any in-licensed patent rights will be prosecuted, maintained and enforced in a manner consistent with the best interests of our business. If our future licensors or collaboration partners fail to obtain, maintain or protect any patents or patent applications licensed to us, decide not to pursue litigation against third-party infringers, fail to prosecute infringement, or fail to defend against counterclaims of patent invalidity and unenforceability, our rights to such patents and patent applications may be reduced or eliminated and our right to develop and commercialize any of our product candidates that are the subject of such licensed rights could be adversely affected.</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Disputes may arise between us and our current or future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partners;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or license in the future, prevent or impair our ability to maintain our current licensing arrangements on acceptable terms, we may be unable to successfully develop and commercialize the affected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Despite our best efforts, our current or future licensors might conclude that we materially breached our license agreements and might therefore terminate the license agreements, thereby removing our ability to develop and commercialize products, if approved, and technology covered by these license agreements. As a result, we may be required to cease our development and commercialization of our product candidates and use of our proprietary technologies covered by the patent rights owned by the licensors. Furthermore, if the in-licensed patent rights fail to provide the intended exclusivity, competitors will have the freedom to seek regulatory approval of, and to market, products identical to ours. These events could have a material adverse effect on our competitive position, business, financial condition, results of operations, and prospects. For a more complete description of our license agreements, see the section titled “Business—License Agreement.”</w:t>
      </w:r>
    </w:p>
    <w:p>
      <w:pPr>
        <w:spacing w:after="0" w:line="18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acquire or license additional intellectual property from third parties, and such licenses may not be available or may not be available on commercially reasonable terms.</w:t>
      </w:r>
    </w:p>
    <w:p>
      <w:pPr>
        <w:spacing w:after="0" w:line="15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 candidates. It may be necessary for us to use the patented or proprietary technology of one or more third parties to commercialize our current and future product candidates.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product candidates, if approved, would likely be delayed or we may have to abandon development of that product candidate and our business and financial condition could suffer.</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in-license product candidates in the future, we might become dependent on proprietary rights from third parties with respect to those product candidates. Any termination of such licenses could result in the loss of significant rights and would cause material adverse harm to our ability to develop and commercialize any product candidates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We also may be unable to license or acquire third party intellectual property rights on terms that would allow us to make an appropriate return on our investment or at all. If we are unable to license such intellectual property, or if we are forced to license such intellectual property on unfavorable terms, our business could be materially harmed.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may in-license in the future may be sublicensed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not have the right to control the prosecution, maintenance, enforcement or defense of patents and patent applications that we license from third parties, and may not have sufficient ability to provide input into the patent prosecution, maintenance and defense process with respect to such patents. In such cases, we would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 may be less vigorous than had we conducted them ourselves. We cannot be certain that such activities by our licensors have been or will be conducted in compliance with applicable laws and regulations or will result in valid and enforceable patents or other intellectual property rights.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This could cause us to lose rights in any applicable intellectual property that we in-license, and as a result our ability to develop and commercialize product candidates may be adversely affected and we may be unable to prevent competitors from making, using and selling competing products. Any of the foregoing could have a material adverse effect on our business, financial condition, results of operations and prospects.</w:t>
      </w:r>
    </w:p>
    <w:p>
      <w:pPr>
        <w:spacing w:after="0" w:line="187"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present or future licensors may have relied upon or may rely upon third-party consultants or collaborators or on funds from third parties such that our present or future licensors may not be the sole and exclusive owners of the patents we in-license. If other third parties have ownership rights to our present or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Furthermore, government agencies may provide, funding or other assistance in connection with the development of the intellectual property rights owned by or licensed to us. In addition, the U.S.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intellectual property and our proprietary technologies, and we may not be able to ensure their protection.</w:t>
      </w:r>
    </w:p>
    <w:p>
      <w:pPr>
        <w:spacing w:after="0" w:line="24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protection and trade secret protection for our product candidates, as well as on successfully defending these patents against potential third-party challenges. Our ability to protect our product candidates from unauthorized making, using, selling, offering to sell or importing by third parties is dependent on the extent to which we have rights under valid and enforceable patents that cover these activities.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patent positions of pharmaceutical, biotechnology and other life sciences companies can be highly uncertain and involve complex legal and factual questions for which important legal principles remain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cannot provide assurances that any of our or our licensors’ pending patent applications will be found to be patentable, including over our own prior art publications or patent literature, or will issue as patents. Neither can we make assurances as to the scope of any claims of the issued patents that we own or in-licensed or any claims that may issue from our or our licensors’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product candidates and/or materially harm our business.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right="1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data to support full patent applications that protect the entire breadth of developments in one or more of our programs;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one or more of our pending patent applications will not become an issued patent or, if issued, that the patent claims will not have sufficient scope to protect our technology, provide us with commercially viable patent protection or provide us with any competitive advantages;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pending applications issue as patents, they may be challenged by third parties as invalid or unenforceable under United States or foreign laws;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commercialize our product candidates, if approved, before our relevant patents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file patent applications for the inventions covered by our patent portfolio;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separately patentable.</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extent that we are unable to obtain and maintain patent protection for our product candidates, or in the event that such patent protection expires, it may no longer be cost-effective to extend our portfolio by pursuing additional development of any of our product candidates for follow-on indications.</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Patents have a limited term. In the United States, if all maintenance fees are timely paid, the natural expiration of a patent is generally twenty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another patent having an earlier expiration date.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Various extensions may be available, but the life of a patent, and the protection it affords, is limited. Given the amount of time required for the development, testing and regulatory review of product candidates, patents protecting such product candidates might expire before or shortly after such product candidates are commercialized.</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a Patent Term Extension, or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 Further, PTE may only be applied once per product, and only with respect to an approved indication—in other words, only one patent (for example, covering the product itself, an approved use of said product, or a method of manufacturing said product) can be extended by PTE. Moreover, the scope of protection during the period of the PTE does not extend to the full scope of the claim, but instead only to the scope of the product as approved. We anticipate applying for PTE in the United States. Similar extensions may be available in other countries where we are prosecuting patents and we likewise anticipate applying for such extensions.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granting of such patent term extensions is not guaranteed and is subject to numerous requirements. We might not be granted an extension because of, for example, failure to apply within applicable periods, failure to apply prior to the expiration of relevant patents, failure to exercise due diligence during the testing phase or regulatory review process or any other failure to satisfy any of the numerous applicable requirements.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Approved Drug Products with Therapeutic Equivalence Evaluations, or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drug candidate. Where patents are listed, an ANDA or 505(b)(2) applicant seeking approval before patent expiry must submit a Paragraph IV certification; if we sue within 45 days of notice, approval of the ANDA or 505(b)(2) application may be stayed for up to 30 months, though the patent can still be invalidated or found not infringed.</w:t>
      </w:r>
    </w:p>
    <w:p>
      <w:pPr>
        <w:spacing w:after="0" w:line="18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interpretation of patent law in the United States and other jurisdictions could diminish the value of patents in general, thereby impairing our ability to protect our products.</w:t>
      </w:r>
    </w:p>
    <w:p>
      <w:pPr>
        <w:spacing w:after="0" w:line="15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Changes in either the patent laws or interpretation of the patent laws in the United States could increase the uncertainties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costs, and may diminish our ability to protect our inventions, obtain, maintain and enforce our intellectual property rights and, more generally, could affect the value of our intellectual property or narrow the scope of our owned and licensed patents. The U.S.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as well as the scope of inventions that can be patented.</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to increasing uncertainty with regard to our ability to obtain patents in the future, the legal landscape in the U.S. has created uncertainty with respect to the value of patents. Depending on any proposed or already implemented actions by U.S.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 as well as the cost associated with the filing, prosecution and maintenance of our or our licensors patent rights.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Patent reform legislation in the United States and other countries could increase those uncertainties and costs. For example, the Leahy-Smith America Invents Act of 2011, or the Leahy-Smith Act, included a number of significant changes to United States patent law, including provisions that affect the way patent applications are prosecuted, redefine prior art and provide more efficient and cost-effective avenues for competitors to challenge the validity of patents, for example, via post grant review and inter partes review proceedings at the USPTO.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owned or in-licensed patents or any patents we may license in the future that would not have been invalidated if first challenged by the third party as a defendant in a district court action. In addition, the Leahy-Smith Act transformed the United States patent system into a “first to file” system.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The U.S. Supreme Court has ruled on several patent cases in recent years; these cases often narrow the scope of patent protection available to inventions in the pharmaceutical and biotechnology industries. We cannot predict how future decisions by the courts, the U.S. Congress or the USPTO may impact the value of our patents. For example, in 2023, the Federal Circuit issued a decision in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Cellect, LLC </w:t>
      </w:r>
      <w:r>
        <w:rPr>
          <w:rFonts w:ascii="Times New Roman" w:cs="Times New Roman" w:eastAsia="Times New Roman" w:hAnsi="Times New Roman"/>
          <w:sz w:val="18"/>
          <w:szCs w:val="18"/>
          <w:color w:val="auto"/>
        </w:rPr>
        <w:t>involving the interaction of patent term adjustment, or PTA, terminal disclaimers, and obviousness-type double patenting which may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patent term of any issued patents that rely on any PTA. In 2022, the U.S. Congress passed the Inflation Reduction Act, or IRA, which authorizes the Secretary of the Department of Health and Human Services, or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that it will not affect our patent strategy in the long run.</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member states of the European Union.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72" w:lineRule="auto"/>
        <w:rPr>
          <w:sz w:val="20"/>
          <w:szCs w:val="20"/>
          <w:color w:val="auto"/>
        </w:rPr>
      </w:pPr>
      <w:r>
        <w:rPr>
          <w:rFonts w:ascii="Times New Roman" w:cs="Times New Roman" w:eastAsia="Times New Roman" w:hAnsi="Times New Roman"/>
          <w:sz w:val="17"/>
          <w:szCs w:val="17"/>
          <w:color w:val="auto"/>
        </w:rPr>
        <w:t>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not opted out our existing European patents and patent applications but we may in the future decide to opt out certain European patents and patent applications from the UPC. However, if certain formalities and requirements are not met, our European patents could be subject to the jurisdiction of the UPC. We cannot be certain that our European patents will avoid falling under the jurisdiction of the UPC, if we decide to opt out of the UPC.</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seek or obtain patent protection throughout the world or enforce such patent protection once obtained.</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Filing, prosecuting, enforcing, and defending patents protecting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 Further, the standards applied by the USPTO and foreign patent offices in granting patents are not always applied uniformly or predictably. As such, we do not know the degree of future protection that we will have on our technologies, products and product candidates.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Many companies have encountered significant problems in protecting, enforcing and defending intellectual property rights in certain foreign jurisdictions, such as China and Russia. For example, further to the United States and foreign government actions related to Russia’s invasion of Ukraine, the Kremlin issued Decree 299 stating that Russian companies and individuals can use patented inventions without the owner’s permission or compensation, if the patent is held by owners from “unfriendly countries,” which include the United States. As a result, we would not be able to enforce our otherwise valid patent rights against an infringer in Russia. These and other restrictions could make it difficult for us to stop the infringement of our patents or the misappropriation of our other intellectual property rights in such countries.</w:t>
      </w:r>
    </w:p>
    <w:p>
      <w:pPr>
        <w:spacing w:after="0" w:line="192"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Furthermore, some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w:t>
      </w:r>
    </w:p>
    <w:p>
      <w:pPr>
        <w:spacing w:after="0" w:line="18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order to protect our competitive position around our product candidates, we may become involved in lawsuits to protect or enforce our patents or other intellectual property, which could be expensive, time consuming and unsuccessful and which may result in our patents being found invalid or unenforceable.</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We may find it impractical or undesirable to enforce our intellectual property against some third parties.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7"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w:t>
      </w:r>
    </w:p>
    <w:p>
      <w:pPr>
        <w:spacing w:after="0" w:line="176"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such litigation could be costly and time consuming and could prevent or delay us from developing or commercializing current and future product candidates.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and market our current as well as any future product candidates, without infringing the intellectual property and other proprietary rights of third parties. The biotechnology and pharmaceutical industries are characterized by extensive and complex litigation regarding patents and other intellectual property rights. As the biotechnology and pharmaceutical industries expand and more patents are issued, the risk increases that our product candidates may give rise to claims of infringement of the patent rights of others. If any third-party patents or patent applications are found to cover our current or any future product candidates or their methods of use, or other aspects of our current or future product candidates, we may not be free to manufacture or market such product candidates as planned without obtaining a license, which may not be available on commercially reasonable terms, or at all, or we may incur significant legal fees or damages. We may in the future become party to, or be threatened with, adversarial proceedings or litigation regarding intellectual property rights with respect to our current and any future product candidates and technology, including interference proceedings, post grant review and inter partes review before the USPTO. Third parties may assert infringement claims against us based on existing patents or patents that may be granted in the future, regardless of their merit. Moreover, in recent years, individuals and groups that are non-practicing entities, commonly referred to as “patent trolls,” have acquired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If a patent infringement suit were threatened or brought against us, we could be forced to stop or delay research, development, manufacturing or sales of the product or product candidate that is the subject of the actual or threatened suit.</w:t>
      </w:r>
    </w:p>
    <w:p>
      <w:pPr>
        <w:spacing w:after="0" w:line="19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spite of our efforts to avoid obstacles and disruptions arising from third-party intellectual property, it is impossible to establish with certainty that our programs directed to our current and any future product candidates will be free of claims by third-party intellectual property holders.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third-party’s pending application will issue with claims of relevant scope. Our failure to identify and correctly interpret relevant patents may negatively impact our ability to develop and market our products. If the third-party patent owner disagrees with our conclusion and we continue with the business activity in question, patent litigation may be initiated against us. Alternatively, we might decide to initiate litigation in an attempt to have a court declare the third-party patent invalid or non-infringed by our activity. In either scenario, patent litigation typically is costly and time-consuming, and the outcome is uncertain. The outcome of patent litigation is subject to uncertainties that cannot be quantified in advance, for example, the</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credibility of expert witnesses who may disagree on technical interpretation of scientific data. Ultimately, in the case of an adverse outcome in litigation, we could be prevented from commercializing a product or using certain aspects of our technology platform as a result of patent infringement claims asserted against us. This could have a material adverse effect on our business.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pharmaceutical and biotechnology industries, and we may become party to, or threatened with, litigation or other adversarial proceedings regarding intellectual property rights with respect to our current or future product candidates, including interference proceedings before the USPTO. Third parties may assert infringement claims against us based on existing or future intellectual property rights.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any current or future product candidates, products, methods, processes, modeling or similar work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rights, we could be forced, including by court order, to cease developing, manufacturing or commercializing the infringing product candidate or product or cease some of our business operations, which could harm our business.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We may be required to indemnify collaborators or contractors against such claims. A finding of infringement could prevent us from commercializing any future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involvement in litigation, and in, e.g., any interference, derivation, reexamination, inter partes review, opposition or post-grant proceedings or other intellectual property proceedings in the United States, or other jurisdictions, may divert management time from focusing on business operations, could cause us to spend significant amounts of money and may have no guarantee of success. Any current and potential intellectual property litigation also could force us to do one or more of the following:</w:t>
      </w:r>
    </w:p>
    <w:p>
      <w:pPr>
        <w:spacing w:after="0" w:line="85"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manufacturing or using our products in the United States or other jurisdictions that use the intellectual property at issue;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a third party asserting its intellectual property rights, a license to sell or use the relevant technology, which license may not be available on reasonable terms, or at all, or may be non-exclusive thereby giving our competitors access to the same technologies licensed to us;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processes that use any allegedly infringing or misappropriated technology, which may result in significant cost or delay to us, or which redesign could be technically infeasible;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damages, including the possibility of treble damages in a patent case if a court finds us to have willfully infringed certain intellectual property rights.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the effects of foreign laws where foreign nationals are involved in the development of the subject matter of the patent. Furthermore, ownership disputes may arise from alleged contributions of third parties involved in developing our product candidates and may result in joint ownership of our inventions. Litigation may be necessary to resolve these and other claims challenging inventorship and/or ownership. Any disagreement over inventorship could result in our being forced to defend our determination of inventorship in a legal action which could result in substantial costs and be a distraction to our senior management and scientific personnel.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spacing w:after="0" w:line="186"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intellectual property litigation could lead to unfavorable publicity that could harm our reputation and cause the market price of our common stock to decline.</w:t>
      </w:r>
    </w:p>
    <w:p>
      <w:pPr>
        <w:spacing w:after="0" w:line="15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In such event, the market price of our common stock may decline.</w:t>
      </w:r>
    </w:p>
    <w:p>
      <w:pPr>
        <w:spacing w:after="0" w:line="172" w:lineRule="exact"/>
        <w:rPr>
          <w:sz w:val="20"/>
          <w:szCs w:val="20"/>
          <w:color w:val="auto"/>
        </w:rPr>
      </w:pPr>
    </w:p>
    <w:p>
      <w:pPr>
        <w:ind w:left="120" w:right="6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or we have misappropriated intellectual property from a competitor or third parties or claiming ownership of what we regard as our own intellectual property.</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of our current and former employees and our licensors’ current and former employees, including our senior management, were previously employed at other pharmaceutical or biotechnology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product candidates, we may be subject to claims that we or these employees have misappropriated the intellectual property of a third party.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product candidates. Such a license may not be available on commercially reasonable terms or at all. Any of the aforementioned could materially affect the commercialization of any of our product candidates. Even if we are successful in defending against such claims, litigation could result in substantial costs and be a distraction to management.</w:t>
      </w:r>
    </w:p>
    <w:p>
      <w:pPr>
        <w:spacing w:after="0" w:line="183"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5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Along with patent protection, we also rely on trade secret protection for our proprietary information that is not amenable to, or that we do not consider appropriate for, patent protection, including, for example, certain aspects of our manufacturing processes. We seek to protect these trade secrets, in part, by entering into non-disclosure and confidentiality agreements with parties who have access to them, such as our employees, consultants, independent contractors, CROs, advisors, contract manufacturers, suppliers and other third parties. We also enter into confidentiality and invention or patent assignment agreements with employees and certain consultants.</w:t>
      </w:r>
    </w:p>
    <w:p>
      <w:pPr>
        <w:spacing w:after="0" w:line="183"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Trade secrets and confidential know-how are difficult to maintain as confidential. Although we use reasonable efforts to protect our trade secrets, any party with whom we have executed a confidentiality agreement may breach that agreement and disclose our proprietary information, including our trade secrets.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Accordingly, we may not be able to obtain adequate remedies for such breaches, despite any legal action that we might take against persons making such unauthorized disclosures. In addition, courts outside the United States sometimes are less willing than United States courts to protect trade secrets. As a result, we may encounter significant problems in protecting and defending our intellectual property both in the U.S. and abroad.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 For example, we may choose not to file a patent application for certain inventions, instead choosing to rely on trade secret protection, and a third party may subsequently file a patent application covering such intellectual property. Although certain defenses maybe available to us, those defenses may not be available to a commercial partner or acquiror.</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Those with whom we collaborate on research and development related to current and future product candidates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40"/>
          </w:cols>
          <w:pgMar w:left="320" w:top="455" w:right="5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trademarks of interest and our business may be adversely affected.</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our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for our products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If we are unable to establish name recognition based on our trademarks and trade names, we may not be able to compete effectively and our business may be adversely affected.</w:t>
      </w:r>
    </w:p>
    <w:p>
      <w:pPr>
        <w:spacing w:after="0" w:line="185"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5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67" w:lineRule="exact"/>
        <w:rPr>
          <w:sz w:val="20"/>
          <w:szCs w:val="20"/>
          <w:color w:val="auto"/>
        </w:rPr>
      </w:pPr>
    </w:p>
    <w:p>
      <w:pPr>
        <w:ind w:left="1080" w:right="3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use our intellectual property or proprietary information in a way that gives rise to actual or threatened litigation that could jeopardize or invalidate our intellectual property or proprietary information or expose us to potential liability or business risk;</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or products;</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 and a collaborator’s sales and marketing activities or other operations may not be in compliance with applicable laws resulting in civil or criminal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and an active trading market may not develop or be sustained.</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has been no public market for our common stock prior to this offering. Although our common stock has been approved for listing on The Nasdaq Global Select Market, an active or liquid market in our common stock may not develop upon closing of this offering or, if it does develop, it may not be sustainable. The initial public offering price for our common stock was determined through negotiations among the underwriters and us and may vary from the market price of our common stock following this offering. This price will not necessarily reflect the price at which investors in the market will be willing to buy and sell our shares following this offering.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 and you could lose all or part of your investment.</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section and elsewhere in this prospectus, these factors include:</w:t>
      </w:r>
    </w:p>
    <w:p>
      <w:pPr>
        <w:spacing w:after="0" w:line="8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completion, or results of our current or future preclinical and clinical trials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programs;</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suspensions, or terminations in future preclinical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 or the failure of a regulatory authority to accept data from preclinical studies or clinical trials conducted in other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including but not limited to clinical trial requirements for approvals;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strategic partnerships or collaborations, if needed;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any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product candidates in particular, or positive or negative recommendations or withdrawal of research coverage by securities analysts;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therapeutics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5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due to a variety of factors, many of which are outside of our control and may be difficult to predict, including:</w:t>
      </w:r>
    </w:p>
    <w:p>
      <w:pPr>
        <w:spacing w:after="0" w:line="67" w:lineRule="exact"/>
        <w:rPr>
          <w:sz w:val="20"/>
          <w:szCs w:val="20"/>
          <w:color w:val="auto"/>
        </w:rPr>
      </w:pPr>
    </w:p>
    <w:p>
      <w:pPr>
        <w:ind w:left="1080" w:right="4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if approved, commercialization activities relating to our current and future product candidates, which may change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any milestone, royalty, or other payments due under any collaboration or license agreement, including the Asset Transfer Agreement and/or the Monash License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for our product candidates from regulatory authorities in the United States and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if approved, which may vary significantly over time.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common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83"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respective affiliates own a significant percentage of our stock and will be able to exert significant control over matters subject to stockholder approval.</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Based on the beneficial ownership of our common stock as of April 1, 2026, prior to this offering, our executive officers, directors, holders of 5% or more of our capital stock and their respective affiliates beneficially owned approximately 92.8% of our voting stock and, upon the completion of this offering, that same group will hold approximately 68.5% of our outstanding voting stock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In particular, PureTech will own approximately 31.5% of our common stock following this offering and will be our largest stockholder following this offering. As a result, PureTech along with stockholders who own more than 5% or more of our capital stock,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53,027,817 shares of common stock will be outstanding (or 55,151,817 shares if the underwriters exercise their option to purchase additional shares from us in full), based on the number of shares outstanding as of December 31, 2025.</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All shares of common stock expected to be sold in this offering will be freely tradable without restriction or further registration under the Securities Act of 1933, as amended, or the Securities Act, unless held by our “affiliates” as defined in Rule 144 under the Securities Act. The resale of the remaining 38,029,523 shares, or 98% of our outstanding shares of common stock following this offering, is currently prohibited or otherwise restricted, subject to certain limited exceptions, as a result of securities law provisions, market standoff agreements entered into by certain of our stockholders with us or lock-up agreements entered into by our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60"/>
          </w:cols>
          <w:pgMar w:left="320" w:top="455" w:right="5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stockholders with the underwriters in connection with this offering. However, subject to applicable securities law restrictions, these shares will be able to be sold in the public market beginning on the 181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included elsewhere in this prospectus.</w:t>
      </w:r>
    </w:p>
    <w:p>
      <w:pPr>
        <w:spacing w:after="0" w:line="20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the holders of 36,272,475 shares, or 68.4% of 53,027,817 our outstanding shares following this offering, of our common stock will have rights, subject to some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the lock-up agreements described under the section titled “Underwriting” included elsewhere in this prospectus.</w:t>
      </w:r>
    </w:p>
    <w:p>
      <w:pPr>
        <w:spacing w:after="0" w:line="187"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172"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how we use the proceeds of this offering and may not use these proceeds effectively, which could affect our results of operations and cause our stock price to decline.</w:t>
      </w:r>
    </w:p>
    <w:p>
      <w:pPr>
        <w:spacing w:after="0" w:line="15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and, including for any of the purposes described in the section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our initial public offering, you will experience substantial and immediate dilution.</w:t>
      </w:r>
    </w:p>
    <w:p>
      <w:pPr>
        <w:spacing w:after="0" w:line="229"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The initial public offering price of $18.00 per share is substantially higher than the pro forma as adjusted net tangible book value per share of our outstanding common stock immediately following the completion of this offering. If you purchase shares of common stock in this offering, you will experience substantial and immediate dilution in the pro forma as adjusted net tangible book value per share of $9.20 per share as of December 31,</w:t>
      </w:r>
    </w:p>
    <w:p>
      <w:pPr>
        <w:spacing w:after="0" w:line="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2025. That is because the price that you pay will be substantially greater than the pro forma as adjusted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if the underwriters exercise their option to purchase additional shares in this offering, when those holding stock options exercise their right to purchase common stock under our equity incentive plans, upon the vesting of outstanding restricted stock awards or when we otherwise issue additional shares of common stock. For more information, see the section titled “Dilution” included elsewhere in this prospectus.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stockholders and/or their affiliated entities will reduce the public float for our common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the extent our existing stockholders who are our affiliates or their affiliated entities participate in this offering, such purchases would reduce the non-affiliate public float of our common stock after this offering, which is the number of shares of common stock that are not held by our officers, directors, and affiliated stockholders. As a result, the number of freely tradeable shares of our common stock following this offering will be reduced relative to what it would have been had these shares been sold to investors that were not existing stockholders, affiliates, or purchasers. This could adversely impact the liquidity of our common stock and depress the price at which you may be able to sell shares of common stock purchased in this offering.</w:t>
      </w:r>
    </w:p>
    <w:p>
      <w:pPr>
        <w:spacing w:after="0" w:line="183"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5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and to grant equity awards to employees, directors, and consultants under our stock incentive plans. We may also raise capital through equity financings in the future. Additionally,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In addition, any future debt agreements may preclude us from paying dividends. As a result, any investment return on our common stock will depend upon increases in the value for our common stock, which is not certain. For more information on our dividend policy, see the section titled “Dividend Policy” included elsewhere in this prospectus.</w:t>
      </w:r>
    </w:p>
    <w:p>
      <w:pPr>
        <w:spacing w:after="0" w:line="179"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7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completion of this offering, and our amended and restated bylaws, which became effective upon the effectiveness of the registration statement of which this prospectus forms a part, will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7"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two-thirds of the votes that all our stockholders would be entitled to cast to amend or repeal specified provisions of our amended and restated certificate of incorporation or amended and restated bylaws.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that became effective upon the effectiveness of this registration statement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that became effective upon effectiveness of the registration statement of which this prospectus forms a part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8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federal forum selection provisions purporting to require claims under the Securities Act be brought in federal</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64"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satisfy listing requirements of The Nasdaq Stock Market, or Nasdaq, or obtain or maintain a listing of our common stock on Nasdaq.</w:t>
      </w:r>
    </w:p>
    <w:p>
      <w:pPr>
        <w:spacing w:after="0" w:line="15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83"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structure of our common stock may limit your ability to influence corporate matters and may limit your visibility with respect to certain transactions.</w:t>
      </w:r>
    </w:p>
    <w:p>
      <w:pPr>
        <w:spacing w:after="0" w:line="15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structure of our common stock may also limit your ability to influence corporate matters. Holders of our common stock are entitled to one vote per share, while holders of our non-voting common stock are not entitled to any votes. We do not currently have any shares of non-voting common stock outstanding. Nonetheless, we may issue non-voting common stock in the future and each outstanding share of our non-voting common stock may be converted at any time into one share of our common stock at the option of its holder by providing written notice to us, subject to the limitations provided for in our amended and restated certificate of incorporation to become effective upon the completion of this offering. See “Description of Capital Stock—Voting Common Stock and Non-Voting Common Stock.”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global credit and financial markets have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recent military action in Iran and effects thereof, the ongoing conflicts in the Middle East and between Russia and Ukraine, terrorism, political unrest,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drug candidates and in our ability to raise additional capital when needed on acceptable terms, if at all. For example, there has been proposed U.S. legislation that may have the effect of restricting the ability of U.S. biopharmaceutical companies to purchase services or products from, or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otherwise collaborate with, certain Chinese biotechnology companies that the government name as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political unrest, tariff, and other trade-related cost pressures or public health crises, could negatively impact the timely execution of our ongoing and future clinical trials. In addition, inflationary trends in the global economy may impact salaries and wages, costs of goods and transportation expenses, among other things, and recent events of political unrest and/or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88"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15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the operations of our suppliers, CROs, and clinical sites, which would have a material adverse impact on our business, financial condition, results of operations, and prospects. If a natural disaster, power outage, public health crisis, or other event occurred that prevented us from conducting our clinical trials, releasing clinical trial results, or delaying our ability to obtain regulatory approval for our product candidates, it may be difficult or, in certain cases, impossible for us to continue our business for a substantial period of time.</w:t>
      </w:r>
    </w:p>
    <w:p>
      <w:pPr>
        <w:spacing w:after="0" w:line="179" w:lineRule="exact"/>
        <w:rPr>
          <w:sz w:val="20"/>
          <w:szCs w:val="20"/>
          <w:color w:val="auto"/>
        </w:rPr>
      </w:pPr>
    </w:p>
    <w:p>
      <w:pPr>
        <w:ind w:left="120" w:right="20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13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w:t>
      </w:r>
    </w:p>
    <w:p>
      <w:pPr>
        <w:spacing w:after="0" w:line="81" w:lineRule="exact"/>
        <w:rPr>
          <w:sz w:val="20"/>
          <w:szCs w:val="20"/>
          <w:color w:val="auto"/>
        </w:rPr>
      </w:pPr>
    </w:p>
    <w:p>
      <w:pPr>
        <w:ind w:left="1080" w:right="2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and a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 in this prospectus;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of Section 404 of the Sarbanes-Oxley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we have not included all of the executive compensation-related information that would be required if we were not an emerging growth company.</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 million as of the last business day of our most recently completed second fiscal quarter, or if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have total annual gross revenue of $1.235 billion or more during any fiscal year before that time, in which cases we would no longer be an emerging growth company as of the last day of our fiscal year, or if we issue more than $1.0 billion in non-convertible debt during any three-year period before that time, in which case we would no longer be an emerging growth company immediately. For so long as we remain an emerging growth company, we are permitted and intend to rely on exemptions from certain disclosure requirements that are applicable to other public companies that are not emerging growth companies.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may not be subject to the same requirements to adopt new or revised accounting standards as other public companies that are not emerging growth companies.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these requirements. The impact of these requirements could also make it more difficult for us to attract and retain qualified persons to serve on our board of directors, our board committees or as executive officers.</w:t>
      </w:r>
    </w:p>
    <w:p>
      <w:pPr>
        <w:spacing w:after="0" w:line="158"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began the process of documenting, reviewing, and improving our internal controls and procedures for compliance with Section 404 of the Sarbanes-Oxley Act, which will require annual management assessment of the effectiveness of our internal control over financial reporting. Under current rules, we will be subject to these requirements beginning with our annual report on Form 10-K for the year ending 2026.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Internal control deficiencies could also cause investors to lose confidence in our reported financial information, which could have a negative effect on the trading price of our stock.</w:t>
      </w:r>
    </w:p>
    <w:p>
      <w:pPr>
        <w:spacing w:after="0" w:line="19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this initial public offering.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5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maintain the majority of our cash, cash equivalents, and investments in accounts with major U.S. and multi-national financial institutions, and our cash equivalents are invested in U.S. government money market funds and our investments are invested in U.S. Treasury obligations. Our deposits at certain of these institutions exceed insured limits, unless subject to a “sweep.” Market conditions and changes in financial regulations and policies can impact the viability of these institutions. Adverse developments that affect financial institutions, such as events involving liquidity that are rumored or actual, have in the past and may in the future lead to market-wide liquidity problems. For example, on March 10, 2023, Silicon Valley Bank was closed by the California Department of Financial Protection and Innovation, which appointed the Federal Deposit Insurance Corporation as receiver.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may have future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we had approximately $53.4 million of federal net operating losses, or NOLs. Federal NOLs generated in taxable years beginning after December 31, 2017, may be carried forward indefinitely, but the deductibility of such federal NOL carryforwards in a taxable year is limited to 80% of our taxable income in such year. As of December 31, 2025, we had approximately $53.7 million of state NOLs. As of December 31, 2025, we had approximately $2.9 million of federal research and development tax credit carryforwards. Federal tax credit carryforwards expire at various dates beginning in 2044. As of December 31, 2025, we had approximately $1.0 million of state research and development tax credit carryforwards. The state tax credits carryforwards expire at various dates beginning in 2039.</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this offering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such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infrastructure, or those of our collaborators and service providers, or our data, may be subject to cyberattacks, security breaches, compromises or other incidents, which could impact the confidentiality, integrity, and availability of our operational system and result in additional costs, loss of revenue, significant liabilities, harm to our brand, material disruption of our development programs and operations, or other adverse consequences.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sensitive data, and, as a result, we and the third parties upon which we rely face a variety of evolving threats that could cause cyber-attacks, security breaches, compromises, or other incidents that impact the confidentiality, integrity, and availability of our operational systems. Although we, and the third parties upon which we rely, take steps to develop and maintain systems and controls designed to protect our sensitive data, systems, and infrastructure, there can be no assurance that our internal technology systems, and infrastructure, or those of third parties upon which we rely, will be sufficient to protect against a cyber-attack, security breach, compromise, or other incident such as an industrial espionage attack, ransomware, or insider threat attack, which may compromise the confidentiality, integrity, and availability of our system infrastructure, or those of third parties upon which we rely, or lead to the loss, destruction, alteration, or dissemination of, or damage to, our sensitive data.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94"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risk of a cyber-attack, security breach, compromise, or other adverse impact to our and our third-party service provider’s information technology systems and sensitive data has generally increased as the number, intensity, and sophistication of attempted attacks and intrusions from around the world have increased. Such risks come from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errors (including vulnerabilities in commercial software that is integrated into our information technology systems and those of third parties upon which we rely), failures, loss of data or other information technology assets, adware, attacks enhanced or facilitated by AI, telecommunications failures, earthquakes, fires, floods, and other similar threats.</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Individuals engage in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cyber-attacks, including retaliatory cyber-attacks, that could materially disrupt our systems and operations, supply chain, and ability to produce, sell, and distribute our products and services.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also face increased risks of a cyber-attack, security breach, compromise, or adverse impact to our and our third-party service provider’s information technology systems and sensitive data incident due to our reliance on internet technology and the number of our employees who work on a hybrid basis at home, in the office, or other public spaces. This may create additional opportunities for cybercriminals to exploit vulnerabilities. Additionally, business transactions (such as acquisitions or integrations) could expose us to additional cybersecurity risks and vulnerabilities, as our systems could be negatively affected by vulnerabilities present in acquired or integrated entities’ systems and technologies that were not found during due diligence of such acquired or integrated entities.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including supply-chain attacks. We rely on third-party service providers and technologies to operate critical business systems to process sensitive data in a variety of contexts and our ability to monitor these third parties’ information security practices is limited. These third parties may not have adequate information security measures in place and if our third-party service providers experience a cyber-attack, security breach, compromise or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be unable to detect vulnerabilities in our information technology systems and infrastructure on a timely basis or until after a cyber-attack, security breach, compromise, or other incident has occurred. Further, we may experience delays in developing and deploying remedial measures designed to adequately address any such identified vulnerabilities. In addition, we may be unable to comprehensively apply patches or confirm that measures are in place to mitigate all such vulnerabilities, or that patches will be applied before vulnerabilities are exploited by a threat actor. If attackers are able to exploit critical vulnerabilities before patches are installed or mitigating measures are implemented, significant compromises could impact our and our customers’ systems and data. Any integration of artificial intelligence in our or any third party’s operations, products, or services is expected to pose new or unknown cybersecurity risks and challenges.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can also be no assurance that our cybersecurity risk management program and processes, including our policies, controls, or procedures, will be fully implemented, complied with, or effective in protecting our information technology systems (and those of third parties upon which we rely) and sensitive data. We and certain of our third-party service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We may in the future experience additional threats, compromises, breaches, or incidents. If we, or a third party upon whom we rely, experience a cyber-attack, security breach, compromise, or other adverse impact to the confidentiality, integrity and availability of our system infrastructure, or those of third parties upon which we rely, or sensitive data, or are perceived to have experienced a cyber-attack, security breach, compromise, or other adverse impact to our and our third-party service provider’s information technology systems and sensitive data, we may experience adverse consequences, such as government enforcement actions (e.g., investigations, fines, penalties, audits, and inspections); additional reporting requirements and/or oversight; restrictions on processing sensitive data (including personal data); litigation (including individual and class action claims); indemnification obligations; negative publicity; reputational harm; monetary fund diversions; interruptions in our operations (including availability of data); significant incident response, system restoration, or remediation and future compliance costs; financial loss; and other potentially significant harms. Our contracts may not contain limitations of liability, and even where they do, there can be no assurance that limitations of liability in our contracts are sufficient to protect us from liabilities, damages, or claims related to our privacy and data security obligations. Additionally,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spacing w:after="0" w:line="19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Further, applicable privacy and data security obligations may require us to notify relevant stakeholders of a cyber-attack, security breach, compromise, or other adverse impact to our and our third-party service provider’s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information technology systems and sensitive data. Such disclosures are costly, and the disclosure or the failure to comply with such requirements could lead to adverse consequences. In addition, cyber-attacks, security breaches, compromises, or other incidents may cause stakeholders (including investors and potential customers) to stop supporting our business, deter new customers from using our products, and negatively impact our ability to grow and operate our business.</w:t>
      </w:r>
    </w:p>
    <w:p>
      <w:pPr>
        <w:spacing w:after="0" w:line="18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If we were to experience a cyber-attack, security breach, compromise, or other adverse impact to our and our third-party service provider’s information technology systems and sensitive data that causes interruptions in our operations, it could result in a material disruption of our product development programs, business, financial condition, and results of operations.</w:t>
      </w:r>
    </w:p>
    <w:p>
      <w:pPr>
        <w:spacing w:after="0" w:line="172"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use artificial intelligence in our business, and challenges with properly managing its use, as well as uncertainty regarding the legal landscape surrounding the use of AI could result in reputational harm, competitive harm, legal liability, and adversely affect our results of operations.</w:t>
      </w:r>
    </w:p>
    <w:p>
      <w:pPr>
        <w:spacing w:after="0" w:line="17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use artificial intelligence, or AI, machine learning, and automated decision-making technologies, or,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We may not be successful in our development and maintenance of these technologies in the face of novel and evolving technical, reputational and market factors. Our efforts to develop proprietary AI models in the future could increase our operating costs. Our future ability to develop proprietary AI models may be limited by our access to processing infrastructure or training data, and we may be dependent on third party providers for such resources.</w:t>
      </w:r>
    </w:p>
    <w:p>
      <w:pPr>
        <w:spacing w:after="0" w:line="158"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If we fail to keep pace with rapidly evolving AI Technologies, especially in the medical device industry, our competitive position and business results may suffer.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the well as other factors that could adversely affect our reputation, as the well as our business, operating results, and financial condition. For example, AI Technologies can lead to unintended consequences, including generating content that appears correct but is factually inaccurate, misleading, or otherwise flawed, which could negatively impact our customers, harm our reputation and business, and expose us to liability.</w:t>
      </w:r>
    </w:p>
    <w:p>
      <w:pPr>
        <w:spacing w:after="0" w:line="17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use AI Technologies from third parties. If we are unable to obtain or maintain rights to use these AI Technologies on commercially reasonable terms, or if any such third-party AI tools become incompatible with our products, we may be forced to acquire or develop alternate AI Technologies, which may limit or delay our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ability to provide competitive offerings and may increase our costs. These AI Technologies also may incorporate data from third 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83"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and we expect to see increasing government and supranational regulation related to AI use and ethics, which may also significantly increase the burden and cost of research, development and compliance in this area. In the U.S., a number of states have proposed and passed laws regulating various uses of AI, and federal regulators have issued guidance affecting the use of AI in regulated sectors. The FDA, for example, also issued guidance on the use of AI in medical devices, requiring detailed risk management and review processes to obtain approvals. If we develop or use AI systems governed by these laws or regulations, we will need to apply significant resources to design, develop, test and maintain such systems in accordance with applicable laws and regulations, with the potential for significant enforcement or litigation in the event of any perceived non-compliance. It is possible that new laws and regulations will be adopted in the U.S.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Even in the absence of dedicated AI laws and regulations, we may be subject to novel legal and business risks relating to our adoption of these new technologies.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Our use of AI Technologies may also, in the future, result in cybersecurity incidents that implicate the personal information of customers or patients. Any such cybersecurity incidents related to our use of AI applications could adversely affect our reputation and results of operations.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15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clinical trials, and we will face an even greater risk if we commercially sell any products that we develop. While we currently have no products that have been approved for commercial sale, the ongoing, planned,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93" w:lineRule="exact"/>
        <w:rPr>
          <w:sz w:val="20"/>
          <w:szCs w:val="20"/>
          <w:color w:val="auto"/>
        </w:rPr>
      </w:pPr>
    </w:p>
    <w:p>
      <w:pPr>
        <w:ind w:left="5540" w:right="4320" w:hanging="4884"/>
        <w:spacing w:after="0" w:line="454" w:lineRule="auto"/>
        <w:tabs>
          <w:tab w:leader="none" w:pos="10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 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currently hold clinical trial liability insurance, we will need to maintain such insurance coverage as we expand our clinical trials or if we commence commercialization of our product candidates. Insurance coverage is increasingly expensive. We may not be able to obtain and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7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could divert management’s attention and harm our business, and insurance coverage may not be sufficient to cover all costs and damages.</w:t>
      </w:r>
    </w:p>
    <w:p>
      <w:pPr>
        <w:spacing w:after="0" w:line="15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81" w:lineRule="exact"/>
        <w:rPr>
          <w:sz w:val="20"/>
          <w:szCs w:val="20"/>
          <w:color w:val="auto"/>
        </w:rPr>
      </w:pPr>
    </w:p>
    <w:p>
      <w:pPr>
        <w:ind w:left="1080" w:right="4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clinical trials, preclinical studies, and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announcement of results from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other product candidates that we may identify and successfully complete any clinical studies, including the manufacture of any such product candidates;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initial target indications and to progress additional programs to further develop our pipeline;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disorders we intend to treat and the size of the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disorders we intend to treat and the number of patients that we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applications, or INDs, submissions;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platform, and our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to accelerate our clinical trials and approval of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license agreements and identify and enter into future license agreements and collaborations;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platform;</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320" w:top="455" w:right="5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runway, use of proceeds from this offering, our financial performance, estimates of our expenses, capital requirements, and needs for additional financing.</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Our forward-looking statements do not reflect the potential impact of any future acquisitions, mergers, dispositions, collaborations, joint ventures, or investments that we may make or enter into.</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the sale of our common stock in this offering will be approximately $233.9 million (or approximately $269.5 million if the underwriters exercise their option to purchase additional shares of our common stock in full) based on the initial public offering price of $18.00 per share, after deducting the underwriting discounts and commissions and estimated offering expenses payable by us.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are to create a public market for our common stock and thereby facilitate future access to the public equity markets, increase our visibility in the marketplace, and obtain additional capital to support our operations. We intend to use the net proceeds from this offering, together with our existing cash, cash equivalents, and investments, as follows:</w:t>
      </w:r>
    </w:p>
    <w:p>
      <w:pPr>
        <w:spacing w:after="0" w:line="81" w:lineRule="exact"/>
        <w:rPr>
          <w:sz w:val="20"/>
          <w:szCs w:val="20"/>
          <w:color w:val="auto"/>
        </w:rPr>
      </w:pPr>
    </w:p>
    <w:p>
      <w:pPr>
        <w:ind w:left="1080" w:right="100" w:hanging="424"/>
        <w:spacing w:after="0" w:line="213"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$176.0 million to advance development of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through Phase 2b topline data and into Phase 3 clinical development;</w:t>
      </w:r>
    </w:p>
    <w:p>
      <w:pPr>
        <w:spacing w:after="0" w:line="10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$104.0 million to advance development of GlyphAgo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(SPT-320) through Phase 2a and Phase 2b topline data; and</w:t>
      </w:r>
    </w:p>
    <w:p>
      <w:pPr>
        <w:spacing w:after="0" w:line="58" w:lineRule="exact"/>
        <w:rPr>
          <w:rFonts w:ascii="Times New Roman" w:cs="Times New Roman" w:eastAsia="Times New Roman" w:hAnsi="Times New Roman"/>
          <w:sz w:val="18"/>
          <w:szCs w:val="18"/>
          <w:color w:val="auto"/>
        </w:rPr>
      </w:pPr>
    </w:p>
    <w:p>
      <w:pPr>
        <w:ind w:left="1080" w:right="80" w:hanging="424"/>
        <w:spacing w:after="0" w:line="204"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fund development of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as well as research and development activities for additional programs, and working capital and general corporate purposes.</w:t>
      </w:r>
    </w:p>
    <w:p>
      <w:pPr>
        <w:spacing w:after="0" w:line="19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use a portion of the remaining net proceeds and our existing cash, cash equivalents, and investments to in-license, acquire, or invest in complementary businesses, technologies, products, or assets. However, we have no current commitments, agreements, understandings, or obligations to do so.</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based on our current operating plan, that the net proceeds from this offering, together with our existing cash, cash equivalents and investments, will be sufficient to fund our operations into 2029. We have based this estimate on assumptions that may prove to be wrong, and we could use our available capital resources sooner than we currently expect. We do not have any committed external source of funds.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expected use of proceeds from this offering along with our existing cash, cash equivalents, and investments described above represents our current intentions based 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The amounts and timing of our actual expenditures will depend on numerous factors, including progress of our research and development, the status of and results from preclinical studies and clinical trials that we are conducting or may conduct in the future, and other factors described in the section titled “Risk Factors,” as well as the amount of cash used in our operations and any unforeseen cash needs. Therefore, our actual expenditures may differ materially from the estimates described above. Moreover, our estimates of the costs to fund our trials are based on the current designs of the trials. If we were to modify the design of any of these trials, for instance, to increase the number of patients in the trials, our costs to fund the trials could increase. We may find it necessary or advisable to use the net proceeds for other purposes.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Investors should not purchase our common stock with the expectation of receiving cash dividends. In addition, our ability to pay cash dividends on our capital stock in the future may be limited by the terms of any future debt or preferred securities we issue or any credit facilities we enter into.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existing cash, cash equivalents, and investments and our capitalization as of December 31, 2025:</w:t>
      </w:r>
    </w:p>
    <w:p>
      <w:pPr>
        <w:spacing w:after="0" w:line="131"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(i) the Preferred Stock Conversion and (ii) the filing and effectiveness of our amended and restated certificate of incorporation, which will occur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(i) the pro forma adjustments set forth above and (ii) the issuance and sale of</w:t>
      </w:r>
    </w:p>
    <w:p>
      <w:pPr>
        <w:spacing w:after="0" w:line="27" w:lineRule="exact"/>
        <w:rPr>
          <w:rFonts w:ascii="Times New Roman" w:cs="Times New Roman" w:eastAsia="Times New Roman" w:hAnsi="Times New Roman"/>
          <w:sz w:val="18"/>
          <w:szCs w:val="18"/>
          <w:color w:val="auto"/>
        </w:rPr>
      </w:pPr>
    </w:p>
    <w:p>
      <w:pPr>
        <w:ind w:left="10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14,160,000 shares of common stock in this offering at the initial public offering price of $18.00 per share, after deducting the underwriting discounts and commissions and estimated offering expenses payable by us.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cash equivalents, and investments are not components of our capitalization.</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together with our consolidated financial statements and the related notes included elsewhere in this prospectus, and the section titled “Management’s Discussion and Analysis of Financial Condition and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w:t>
            </w: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17"/>
        </w:trPr>
        <w:tc>
          <w:tcPr>
            <w:tcW w:w="7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80" w:type="dxa"/>
            <w:vAlign w:val="bottom"/>
            <w:tcBorders>
              <w:top w:val="single" w:sz="8" w:color="auto"/>
            </w:tcBorders>
            <w:gridSpan w:val="8"/>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 and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data)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38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$ 233,653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233,653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468,465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preferred stock (Series A and B), $0.0001 par value; 113,921,040 shares authorized and</w:t>
            </w: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113,921,036 shares issued and outstanding, actual; no shares authorized, issued, or outstanding, pro</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forma and pro forma as adjusted</w:t>
            </w:r>
          </w:p>
        </w:tc>
        <w:tc>
          <w:tcPr>
            <w:tcW w:w="138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$ 325,328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or outstanding, actual;</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10,000,000 shares authorized, and no shares issued, or outstanding, pro forma and pro forma as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adjusted</w:t>
            </w:r>
          </w:p>
        </w:tc>
        <w:tc>
          <w:tcPr>
            <w:tcW w:w="220" w:type="dxa"/>
            <w:vAlign w:val="bottom"/>
          </w:tcPr>
          <w:p>
            <w:pPr>
              <w:spacing w:after="0"/>
              <w:rPr>
                <w:sz w:val="20"/>
                <w:szCs w:val="20"/>
                <w:color w:val="auto"/>
              </w:rPr>
            </w:pPr>
          </w:p>
        </w:tc>
        <w:tc>
          <w:tcPr>
            <w:tcW w:w="116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159,070,000 shares authorized and 2,595,342 shares issued</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outstanding, actual; 700,000,000 shares authorized, 38,867,817 shares issued and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700,000,000 shares authorized, 53,027,817 shares issued and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38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gridSpan w:val="3"/>
          </w:tcPr>
          <w:p>
            <w:pPr>
              <w:jc w:val="right"/>
              <w:ind w:right="348"/>
              <w:spacing w:after="0"/>
              <w:rPr>
                <w:sz w:val="20"/>
                <w:szCs w:val="20"/>
                <w:color w:val="auto"/>
              </w:rPr>
            </w:pPr>
            <w:r>
              <w:rPr>
                <w:rFonts w:ascii="Times New Roman" w:cs="Times New Roman" w:eastAsia="Times New Roman" w:hAnsi="Times New Roman"/>
                <w:sz w:val="18"/>
                <w:szCs w:val="18"/>
                <w:color w:val="auto"/>
              </w:rPr>
              <w:t>21,262</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346,587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580,524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8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(114,109)</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(114,109)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(114,109)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(92,545)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232,783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466,721</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$ 232,783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232,783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on a pro forma and pro forma as adjusted basis is based on 38,867,817 shares of common stock (which includes 154,778 shares of unvested restricted common stock) outstanding as of December 31, 2025, after giving effect to the Preferred Stock Conversion, and excludes:</w:t>
      </w:r>
    </w:p>
    <w:p>
      <w:pPr>
        <w:spacing w:after="0" w:line="81" w:lineRule="exact"/>
        <w:rPr>
          <w:sz w:val="20"/>
          <w:szCs w:val="20"/>
          <w:color w:val="auto"/>
        </w:rPr>
      </w:pPr>
    </w:p>
    <w:p>
      <w:pPr>
        <w:jc w:val="both"/>
        <w:ind w:left="1080" w:right="10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8,798,389 shares of common stock issuable upon exercise of outstanding stock options as of December 31, 2025, which includes 228,770 performance-based awards that have not yet been deemed granted for accounting purposes, under our 2024 Plan, with a weighted-average exercise price of $4.68 per share;</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962,655 shares of common stock issuable upon exercise of outstanding stock options granted after December 31, 2025 pursuant to our 2024 Plan, with a weighted-average exercise price of $10.31 per share;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1,503,698 shares of common stock reserved for future issuance as of December 31, 2025 under the 2024 Plan, which ceased to be available for issuance at the time that our 2026 Plan became effective;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2,477,978 shares of our common stock issuable upon the exercise or grant of the IPO Grants, to maintain an aggregate of approximately 12.5% of the number of shares of our common stock to be outstanding upon the closing of this offering calculated on a fully diluted basis to be granted to an executive officer and a director under the 2026 Plan. (See the sections titled “Executive Compensation—Narrative Disclosure to the 2025 Summary Compensation Table—Equity Incentive Compensation” and “Director Compensation” for more information on such grants, including a description of how the number of shares issuable pursuant to such grants will be determined);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6,020,000 shares of our common stock that are available for future issuance under our 2026 Plan, including shares reserved for the IPO Grants, which became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and</w:t>
      </w:r>
    </w:p>
    <w:p>
      <w:pPr>
        <w:spacing w:after="0" w:line="88"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510,000 shares of common stock reserved for future issuance under the ESPP, which became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historical net tangible book value (deficit) as of December 31, 2025 was $(93.8) million, or $(38.43) per share of our common stock. Our historical net tangible book value (deficit) represents the amount of our total tangible assets less our total liabilities and the carrying value of our convertible preferred stock, which is not included within stockholders’ deficit. Historical net tangible book value (deficit) per share represents historical net tangible book value (deficit) divided by 2,440,564 shares of our common stock outstanding (which excludes 154,778 shares of unvested restricted common stock) as of December 31, 2025.</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December 31, 2025 was $231.5 million, or $5.98 per share. Pro forma net tangible book value per share represents the amount of our total tangible assets less our total liabilities, divided by the number of shares of our common stock outstanding as of December 31, 2025, after giving effect to (i) the Preferred Stock Conversion and (ii) the filing and effectiveness of our amended and restated certificate of incorporation, which will occur immediately prior to the completion of this offering. Pro forma net tangible book value per share represents pro forma net tangible book value divided by 38,713,039, which represents the total number of shares outstanding (which excludes 154,778 shares of unvested restricted common stock) as of December 31, 2025, after giving effect to the pro forma adjustments described above.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giving further effect to the issuance and sale of 14,160,000 shares of common stock that we are offering at the initial public offering price of $18.00 per share, after deducting the underwriting discounts and commissions and estimated offering expenses payable by us, our pro forma as adjusted net tangible book value as of December 31, 2025 would have been $466.7 million, or $8.80 per share. This amount represents an immediate increase in pro forma net tangible book value of $2.82 per share to our existing stockholders and an immediate dilution in pro forma net tangible book value of $9.20 per share to new investors purchasing shares of common stock in this offering.</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pro forma as adjusted net tangible book value (deficit)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18.00</w:t>
            </w:r>
          </w:p>
        </w:tc>
      </w:tr>
      <w:tr>
        <w:trPr>
          <w:trHeight w:val="216"/>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2025</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per share as of December 31, 2025 attributable to the pro forma adjustment described above</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2025</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participating in this offering</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this offering</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60" w:type="dxa"/>
            <w:vAlign w:val="bottom"/>
          </w:tcPr>
          <w:p>
            <w:pPr>
              <w:spacing w:after="0"/>
              <w:rPr>
                <w:sz w:val="20"/>
                <w:szCs w:val="20"/>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9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common stock in full, our pro forma as adjusted net tangible book value after the offering would be $9.11 per share, representing an immediate increase in pro forma as adjusted net tangible book value of $0.31 per share to existing stockholders and immediate dilution in pro forma as adjusted net tangible book value of $8.89 per share to new investors, in each case based on the initial public offering price of $18.00 per share, after deducting the underwriting discounts and commissions and estimated offering expenses payable by us.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the pro forma as adjusted basis described above, as of December 31, 2025, the total number of shares of common stock purchased from us on an as-converted basis, the total consideration paid or to be paid to us, and the average price per share paid by existing stockholders or to be paid by new investors in this offering, based on the initial public offering price of $18.00 per share, before deducting the underwriting discounts and commissions and estimated offering expenses payable by us. New investors purchasing shares of our common stock in this offering will pay an average price per share substantially higher than our existing stockholders paid.</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420" w:type="dxa"/>
            <w:vAlign w:val="bottom"/>
            <w:gridSpan w:val="4"/>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36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0"/>
        </w:trPr>
        <w:tc>
          <w:tcPr>
            <w:tcW w:w="5360" w:type="dxa"/>
            <w:vAlign w:val="bottom"/>
          </w:tcPr>
          <w:p>
            <w:pPr>
              <w:spacing w:after="0"/>
              <w:rPr>
                <w:sz w:val="13"/>
                <w:szCs w:val="13"/>
                <w:color w:val="auto"/>
              </w:rPr>
            </w:pPr>
          </w:p>
        </w:tc>
        <w:tc>
          <w:tcPr>
            <w:tcW w:w="2420" w:type="dxa"/>
            <w:vAlign w:val="bottom"/>
            <w:gridSpan w:val="4"/>
            <w:vMerge w:val="continue"/>
          </w:tcPr>
          <w:p>
            <w:pPr>
              <w:spacing w:after="0"/>
              <w:rPr>
                <w:sz w:val="13"/>
                <w:szCs w:val="13"/>
                <w:color w:val="auto"/>
              </w:rPr>
            </w:pPr>
          </w:p>
        </w:tc>
        <w:tc>
          <w:tcPr>
            <w:tcW w:w="236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5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38,867,817</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$326,101,123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purchasing shares in this offering</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14,160,000</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26.7%</w:t>
            </w: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254,880,000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53,027,817</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580,981,123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additional shares in this offering. If the underwriters exercise their option to purchase additional shares of common stock from us in full, our existing stockholders would own 70.5%, and new investors purchasing shares of our common stock in this offering would own 29.5%, of the total number of shares of our common stock outstanding immediately after the completion of this offering.</w:t>
      </w:r>
    </w:p>
    <w:p>
      <w:pPr>
        <w:spacing w:after="0" w:line="180"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this offering is based on 38,867,817 shares of common stock (which includes 154,778 shares of unvested restricted common stock) outstanding as of December 31, 2025, after giving effect to the Preferred Stock Conversion, and excludes:</w:t>
      </w:r>
    </w:p>
    <w:p>
      <w:pPr>
        <w:spacing w:after="0" w:line="81" w:lineRule="exact"/>
        <w:rPr>
          <w:sz w:val="20"/>
          <w:szCs w:val="20"/>
          <w:color w:val="auto"/>
        </w:rPr>
      </w:pPr>
    </w:p>
    <w:p>
      <w:pPr>
        <w:jc w:val="both"/>
        <w:ind w:left="1080" w:right="12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8,798,389 shares of common stock issuable upon exercise of outstanding stock options as of December 31, 2025, which includes 228,770 performance-based awards that have not yet been deemed granted for accounting purposes, under our 2024 Plan, with a weighted-average exercise price of $4.68 per share;</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962,655 shares of common stock issuable upon exercise of outstanding stock options granted after December 31, 2025 pursuant to our 2024 Plan, with a weighted-average exercise price of $10.31 per share;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1,503,698 shares of common stock reserved for future issuance as of December 31, 2025 under the 2024 Plan, which ceased to be available for issuance at the time that our 2026 Plan became effective;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2,477,978 shares of our common stock issuable upon the exercise or grant of the IPO Grants, to maintain an aggregate of approximately 12.5% of the number of shares of our common stock to be outstanding upon the closing of this offering calculated on a fully diluted basis to be granted to an executive officer and a director under the 2026 Plan; (See the sections titled “Executive Compensation—Narrative Disclosure to the 2025 Summary Compensation Table—Equity Incentive Compensation” and “Director Compensation” for more information on such grants, including a description of how the number of shares issuable pursuant to such grants will be determined):</w:t>
      </w:r>
    </w:p>
    <w:p>
      <w:pPr>
        <w:spacing w:after="0" w:line="88"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6,020,000 shares of our common stock that are available for future issuance under our 2026 Plan, including shares reserved for the IPO Grants, which became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510,000 shares of common stock reserved for future issuance under our ESPP, which became effective on the date immediately prior to the effectiveness of the registration statement of which this prospectus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forms a part, as well as any automatic increases in the number of shares of common stock reserved for future issuance under the ESPP.</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any outstanding options are exercised, new options or other equity awards are issued under our equity incentive plans,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audited consolidated financial statements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Financial results through April 8, 2024, which are included in the consolidated financial statements for the year ended December 31, 2024, have been prepared on a “carve-out” basis and our full year results for the year ended December 31, 2024 are not necessarily indicative of results that may be expected in the future, nor are our other historical results necessarily indicative of the results that may be expected for any period in the future.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the section titled “Special Note Regarding Forward-Looking Statements.” Unless otherwise indicated, all references in this section to “Seaport,” the “company,” “we,” “our,” “us,” or similar terms refer to Seaport Therapeutics, Inc. and its wholly owned subsidiaries, or either or all of them, before the Asset Transfer (as defined below) and after the Asset Transfer, as applicable and as the context may require.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 platform to overcome those limitations and invent innovative oral therapies. Our lead product candidate, GlyphAllo (SPT-300 or Glyph Allopregnanolone), is a novel, Glyphed oral prodrug of allopregnanolone, an endogenous molecule that has been clinically validated in two third-party trials in the United States for the treatment of postpartum depression, or PPD, a form of major depressive disorder, or MDD, as a rapidly acting antidepressant with anxiolytic and sleep-promoting effects. We have initiated the Phase 2b BUOY-1 trial in patients with MDD with or without anxious distress and anticipate topline data in the first half of 2027. Our second product candidate, GlyphAgo (SPT-320 or Glyph Agomelatine), is a novel, Glyphed oral prodrug of agomelatine, a clinically validated anxiolytic and antidepressant that is approved for the treatment of generalized anxiety disorder, or GAD, in Australia and MDD in Australia and the European Union, or EU. In April 2026, we reported topline data from the single-ascending dose, or SAD, and crossover portions of our Phase 1 proof-of concept clinical trial for GlyphAgo. In the head-to-head crossover portion of the trial, GlyphAgo demonstrated a 6.8-fold increase in bioavailability of agomelatine compared to unmodified orally administered agomelatine, and showed significantly lower (10- fold) pharmacokinetic variability compared to unmodified agomelatine. In the SAD portion of the trial, GlyphAgo demonstrated a 9.6 to 14.5-fold increase in dose-normalized exposure compared to agomelatine. GlyphAgo was well-tolerated and no liver-related adverse events were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 We are also advancing Glyph2BLSD (SPT-348 or Glyph</w:t>
      </w:r>
    </w:p>
    <w:p>
      <w:pPr>
        <w:spacing w:after="0" w:line="10" w:lineRule="exact"/>
        <w:rPr>
          <w:sz w:val="20"/>
          <w:szCs w:val="20"/>
          <w:color w:val="auto"/>
        </w:rPr>
      </w:pPr>
    </w:p>
    <w:p>
      <w:pPr>
        <w:ind w:left="120" w:right="380"/>
        <w:spacing w:after="0" w:line="260" w:lineRule="auto"/>
        <w:rPr>
          <w:sz w:val="20"/>
          <w:szCs w:val="20"/>
          <w:color w:val="auto"/>
        </w:rPr>
      </w:pPr>
      <w:r>
        <w:rPr>
          <w:rFonts w:ascii="Times New Roman" w:cs="Times New Roman" w:eastAsia="Times New Roman" w:hAnsi="Times New Roman"/>
          <w:sz w:val="18"/>
          <w:szCs w:val="18"/>
          <w:color w:val="auto"/>
        </w:rPr>
        <w:t>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8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were incorporated in April 2024 by PureTech LYT Inc., or PureTech LYT, as our sole stockholder, and upon formation we entered into an asset transfer agreement, as amended in December 2025, or the Asset Transfer Agreement, with PureTech LYT and PureTech Health LLC, or PureTech Health, pursuant to which PureTech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Health and PureTech LYT agreed to contribute, convey, assign, transfer, and deliver to us all of its right, title, and interest in, to, and under the assets related to its Glyph technology or products, including the Monash License Agreement (as defined below), subject to the terms set forth in the Asset Transfer Agreement or the Asset Transfer. See subsection titled “Asset Transfer Agreement and Financings” below. Our historical consolidated financial statements up to April 8, 2024, or the Asset Transfer Date, have been prepared on a “carve-out” basis and are derived from the financial statements of PureTech Health plc and its consolidated subsidiaries, or PureTech, to represent our financial position and performance as if we had existed on a standalone basis. Prior to the Asset Transfer, our combined financial statements included the assets, liabilities, and expenses of PureTech that management determined were specifically identifiable to us and our related programs, as well as indirect costs that were not specifically identifiable to us or our related programs but were considered necessary to operate as a standalone company. Management believes the assumptions underlying our carve-out financial statements are reasonable. Nevertheless, the carve-out financial statements may not include all of the actual expenses that would have been incurred, and may not reflect our results of operations, financial position, and cash flows, had we operated as a standalone company for the period prior to the Asset Transfer. Effective April 8, 2024, our financial statements are presented on a consolidated basis, as PureTech Health LLC and PureTech LYT completed the transfer of the Glyph platform business, or the Seaport Business, on such date. The audited financial statements presented, including our historical results prior to April 8, 2024, are referred to as the consolidated financial statements. Our consolidated financial statements are presented in conformity with accounting principles generally accepted in the U.S., or GAAP. For additional information on the preparation and basis of presentation of the consolidated financial statements, see Note 1—Nature of Business and Basis of Presentation, in the notes to the consolidated financial statements appearing elsewhere in this prospectus.</w:t>
      </w:r>
    </w:p>
    <w:p>
      <w:pPr>
        <w:spacing w:after="0" w:line="195" w:lineRule="exact"/>
        <w:rPr>
          <w:sz w:val="20"/>
          <w:szCs w:val="20"/>
          <w:color w:val="auto"/>
        </w:rPr>
      </w:pPr>
    </w:p>
    <w:p>
      <w:pPr>
        <w:jc w:val="both"/>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have devoted substantially all of our efforts to organizing and staffing our company, business planning, research and development activities, building and strengthening our intellectual property portfolio, and providing general and administrative support for these operations. Subsequent to the Asset Transfer Date and to date, we have funded our operations with proceeds from the issuance and sale of convertible preferred stock, including the $100.1 million gross proceeds we received in April 2024 from our Series A-2 Financing (as defined below) and the $226.0 million gross proceeds we received in October 2024 from our Series B Financing (as defined below).</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the inception of our business and expect to continue to generate operating losses for the foreseeable future. Our ability to generate product revenue sufficient to achieve profitability will depend on the successful development and eventual commercialization of any product candidates we may develop. During the years ended December 31, 2025 and 2024, we had a net loss of $74.9 million and $46.9 million, respectively. As of December 31, 2025, we had an accumulated deficit of $114.1 million. We expect our expenses and operating losses will increase substantially as we:</w:t>
      </w:r>
    </w:p>
    <w:p>
      <w:pPr>
        <w:spacing w:after="0" w:line="89" w:lineRule="exact"/>
        <w:rPr>
          <w:sz w:val="20"/>
          <w:szCs w:val="20"/>
          <w:color w:val="auto"/>
        </w:rPr>
      </w:pPr>
    </w:p>
    <w:p>
      <w:pPr>
        <w:ind w:left="10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preclinical and clinical development, including advancing GlyphAllo and GlyphAgo through later-stage clinical trials, and other candidates through discovery and clinical and preclinical stages;</w:t>
      </w:r>
    </w:p>
    <w:p>
      <w:pPr>
        <w:spacing w:after="0" w:line="67" w:lineRule="exact"/>
        <w:rPr>
          <w:rFonts w:ascii="Times New Roman" w:cs="Times New Roman" w:eastAsia="Times New Roman" w:hAnsi="Times New Roman"/>
          <w:sz w:val="18"/>
          <w:szCs w:val="18"/>
          <w:color w:val="auto"/>
        </w:rPr>
      </w:pPr>
    </w:p>
    <w:p>
      <w:pPr>
        <w:ind w:left="1080" w:right="11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 from the U.S. Food and Drug Administration, or the FDA, and/or other foreign comparable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internal capabilities to support clinical-stage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headcount as we expand our research and development organization, and pre-commercial planning activities;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activities to establish sales, marketing, and distribution capabilities in preparation for commercialization, as applicable, including hiring additional personnel to support such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where we can leverage our Glyph platform,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heightened regulatory scrutiny;</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the Asset Transfer Agreement and/or the Monash License Agreement (as defined below), and any future in-license or collaboration agreements with third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associated with operating as a public company.</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net losses may fluctuate significantly from quarter-to-quarter and year-to-year, depending on the timing of our preclinical studies and planned clinical trials and our expenditures on other research and development activities.</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do not expect to generate any revenue from product sales unless and until we successfully complete development and obtain regulatory approval for one or more of our potential future product candidates, which may not be for at least the next several years, if ever. If we obtain regulatory approval for any of our existing or future product candidates, we expect to incur significant commercialization expenses related to product sales, marketing, manufacturing, and distribution. Accordingly, until such time as we can generate significant revenue from our existing or future product candidates, if ever, we expect to finance our cash needs through equity offerings, debt financings, or other capital sources, including potential collaborations, licenses, and other similar arrangements. See the section titled “Liquidity and Capital Resources.” However, we may be unable to raise additional funds or enter into such other arrangements when needed on favorable terms or at all. Our inability to raise capital or enter into such other arrangements when needed would have a negative impact on our financial condition and could force us to delay, limit, reduce, or terminate our product development or future commercialization efforts or grant rights to develop and market potential future product candidates that we would otherwise prefer to develop and market ourselves.</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based on our current operating plan, that the net proceeds from this offering, together with our existing cash and cash equivalents, will enable us to fund our operating expenses and capital expenditure requirements into 2029. See sections titled “Use of Proceeds”, “Liquidity and Capital Resources”, and “Risk Factors—Risks Related to Our Limited Operating History, Financial Condition and Need for Additional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Transfer Agreement and Financings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were incorporated in April 2024 by PureTech LYT, as our sole stockholder, and upon formation issued 318 shares of our common stock to PureTech LYT. In April 2024, we entered into an Asset Transfer Agreement,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302,161 shares of our common stock to PureTech LYT.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Asset Transfer Agreement, we have agreed to make milestone payments of up to an aggregate of $10.0 million for the first product covered by assets transferred through the Asset Transfer Agreement, or the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and a percentage of net income generated by us from third parties on any products licensed under the Glyph intellectual property which was transferred to us as part of the Asset Transfer Agreement.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For additional information, see “Business—Agreements—Asset Transfer Agreement with PureTech.”</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Concurrently, upon entry into the Asset Transfer Agreement, we entered into a stock purchase agreement with PureTech LYT and other third-party investors, pursuant to which we issued 26,342,102 shares of our Series A-2 convertible preferred stock, or the Series A Financing, of which 8,421,052 shares were issued and sold to PureTech LYT, at a purchase price of $3.80 per share for gross aggregate proceeds of $100.1 million. PureTech LYT remained a majority investor of Seaport, until the completion of our Series B convertible preferred stock financing, or the Series B Financing, in October 2024, upon which we issued and sold an aggregate amount of 47,578,934 shares of our Series B convertible preferred stock, of which 3,031,578 shares were issued to PureTech LYT, and an aggregate of 494,734 shares issued to certain of our management and Board of Directors, or the Board, at a purchase price of $4.75 per share for gross aggregate proceeds of $226.0 million.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Monash License Agreement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April 2024, PureTech Health exclusively assigned to us, and we assumed, all rights and obligations under a license agreement entered into in August 2017 between PureTech Health and Monash University, or the Original License Agreement. In March 2025, we entered into the Monash License Agreement and amended and restated license agreement with Monash University, which amended and restated the Original License Agreement, or the Monash License Agreement. Pursuant to the Monash License Agreement, Monash University has granted us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we and Monash University agreed to collaborate in conducting research and development activities.</w:t>
      </w:r>
    </w:p>
    <w:p>
      <w:pPr>
        <w:spacing w:after="0" w:line="19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Monash License Agreement, we have agreed to use reasonable commercial endeavors to (i) develop at least one Licensed Product (as defined therein), (ii) seek regulatory approval for at least one Licensed Product, and (iii) after receipt of such regulatory approval in the United States or Europe, promote and develop the sale of at least one Licensed Product in such territory. Monash University has agreed to provide reasonable technical assistance and advice based on Monash University’s know-how relating to the technology licensed under the Monash License Agreement. We have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additional discussion around the obligations under the Monash License Agreement, see the subsection titled “—Contractual Obligations and Commitments” and “Business—Agreements—Monash University Exclusive License Agreement”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21" w:lineRule="exact"/>
        <w:rPr>
          <w:sz w:val="20"/>
          <w:szCs w:val="20"/>
          <w:color w:val="auto"/>
        </w:rPr>
      </w:pPr>
    </w:p>
    <w:p>
      <w:pPr>
        <w:ind w:left="120" w:right="320" w:firstLine="440"/>
        <w:spacing w:after="0" w:line="256" w:lineRule="auto"/>
        <w:rPr>
          <w:sz w:val="20"/>
          <w:szCs w:val="20"/>
          <w:color w:val="auto"/>
        </w:rPr>
      </w:pPr>
      <w:r>
        <w:rPr>
          <w:rFonts w:ascii="Times New Roman" w:cs="Times New Roman" w:eastAsia="Times New Roman" w:hAnsi="Times New Roman"/>
          <w:sz w:val="18"/>
          <w:szCs w:val="18"/>
          <w:color w:val="auto"/>
        </w:rPr>
        <w:t>Historically, our operations were managed as part of PureTech prior to the Asset Transfer Date. Accordingly, certain shared costs have been allocated to us and reflected as expenses in our standalone consolidated financial statements, as described in greater detail in the notes to our consolidated financial statements appearing elsewhere in this prospectus. We considered the allocation methodologies used to be a reasonable and appropriate reflection of the historical PureTech expenses attributable to us for purposes of our standalone consolidated financial statements. The expenses reflected in our consolidated financial statements may not be indicative of expenses that will be incurred by us in the future. The following discussion summarizes the key factors we believe are necessary for an understanding of our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To date, we have not recognized any revenue and do not expect to generate any revenue from the sale of products in the near term, if at all.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or R&amp;D, expenses consist primarily of costs incurred in connection with the discovery, non-clinical development, and clinical development of our lead product candidates and potential future product candidates. R&amp;D expenses include direct costs specifically attributable to our programs including external fees to conduct certain clinical and non-clinical research and development activities, preclinical and early discovery assets, such as costs paid to contract research and manufacturing organizations, consulting fees, laboratory services and supplies, and costs incurred in connection with the Monash License Agreement, as well as indirect costs that are not directly attributable to a specific program such as personnel related expenses, including stock-based compensation, facility expenses, depreciation, and information technology costs. Prior to the Asset Transfer Date, R&amp;D expenses also included allocated indirect R&amp;D costs from PureTech, including personnel related expenses, stock-based compensation, facility expenses, depreciation, and information technology costs.</w:t>
      </w:r>
    </w:p>
    <w:p>
      <w:pPr>
        <w:spacing w:after="0" w:line="19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direct development costs based on an evaluation of the progress to completion of specific tasks using information provided to us by our vendors or our estimate of the level of service that has been performed at each reporting date.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we do not allocate all of our internal research and development expenses on a program-by-program basis as these expenses primarily relate to personnel and other overhead costs that are deployed across multiple programs under development. Our research and development expenses also include external costs, which we do track on a program-by-program basis following the program’s nomination as a product candidate. We began tracking such external costs upon the nomination for GlyphAllo in 2020, GlyphAgo at the end of our fiscal year ended December 31, 2023 and Glyph2BLSD at the end of our fiscal year ended December 31, 2024.</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continue to increase for the foreseeable future as we advance our current and any future product candidates into and through clinical development and as we continue to develop additional product candidates.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personnel-related costs, including stock-based compensation expense, for our personnel in executive, business development, legal, finance and accounting, human resources and other administrative functions, consulting fees, facility costs not otherwise included in R&amp;D expenses, fees paid for accounting and tax services, insurance expenses, legal costs consisting of general corporate legal fees and patent legal fees, and allocated expenses from PureTech prior to our formation in April 2024. Allocated PureTech expenses included employee-related costs, including salaries, bonuses, benefits, and stock-based compensation expenses for PureTech personnel and our personnel in executive, finance, accounting, human resources, and other administrative functions. Allocated expenses from PureTech also included corporate overhead expenses and shared costs, such as general management and executive oversight, facilities, compliance, human resources, legal, including intellectual property costs, finance, risk management, and information technology all of which supported the operations of PureTech as a whole.</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the expansion of our business, particularly in support of development of product candidates and our continued research and clinical development activities. We will also incur significant costs associated with being a public company, including increased accounting, audit, legal, regulatory, compliance, and director and officer insurance costs, as well as expenses related to services associated with maintaining compliance with the requirements of the Nasdaq Stock Market, the Securities and Exchange Commission, and investor relations costs.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Through the completion of this offering, we continued to grant additional equity awards to certain individuals to maintain in total an aggregate of 12.5% ownership on a fully diluted basis as specified by underlying agreements. Based on the issuance of 14,160,000 shares of our common stock upon the completion of the offering, we will grant 2,477,978 equity awards to certain individuals to maintain an aggregate of 12.5% ownership, and we will immediately recognize total stock-based compensation expense of approximately $32.0 million. In addition, certain individuals have accelerated vesting associated with the completion of an IPO which will result in 687,816 equity awards vesting and recognition of stock-based compensation expense of $2.1 million.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120" w:right="640" w:firstLine="440"/>
        <w:spacing w:after="0" w:line="312" w:lineRule="auto"/>
        <w:rPr>
          <w:sz w:val="20"/>
          <w:szCs w:val="20"/>
          <w:color w:val="auto"/>
        </w:rPr>
      </w:pPr>
      <w:r>
        <w:rPr>
          <w:rFonts w:ascii="Times New Roman" w:cs="Times New Roman" w:eastAsia="Times New Roman" w:hAnsi="Times New Roman"/>
          <w:sz w:val="17"/>
          <w:szCs w:val="17"/>
          <w:color w:val="auto"/>
        </w:rPr>
        <w:t>Other income (expense), net consists primarily of interest income earned on our investments and cash and cash equivalents, research and development tax credits from the Australian government’s tax incentive program, and realized and unrealized foreign currency gains and losses.</w:t>
      </w:r>
    </w:p>
    <w:p>
      <w:pPr>
        <w:spacing w:after="0" w:line="2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Provision for income taxes consists of United States federal and state income taxes in jurisdictions in which we conduct business and foreign income taxes related to our Australian subsidiary. The provision for income taxes is based on our taxable income. Our loss before income taxes is adjusted for permanent and temporary tax differences, primarily related to capitalized non-U.S. research and development expenses, resulting in taxable income or loss. We recorded a full valuation allowance of our U.S. deferred tax asset position as of December 31, 2025 and 2024 as we believe it was more likely than not that we would not be able to utilize our deferred tax assets.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8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1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stock-based compensation expense of $2.3 million and $0.7 million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 2025 and 2024, respectively)</w:t>
            </w:r>
          </w:p>
        </w:tc>
        <w:tc>
          <w:tcPr>
            <w:tcW w:w="1060" w:type="dxa"/>
            <w:vAlign w:val="bottom"/>
            <w:gridSpan w:val="4"/>
          </w:tcPr>
          <w:p>
            <w:pPr>
              <w:jc w:val="right"/>
              <w:ind w:right="208"/>
              <w:spacing w:after="0"/>
              <w:rPr>
                <w:sz w:val="20"/>
                <w:szCs w:val="20"/>
                <w:color w:val="auto"/>
              </w:rPr>
            </w:pPr>
            <w:r>
              <w:rPr>
                <w:rFonts w:ascii="Times New Roman" w:cs="Times New Roman" w:eastAsia="Times New Roman" w:hAnsi="Times New Roman"/>
                <w:sz w:val="18"/>
                <w:szCs w:val="18"/>
                <w:color w:val="auto"/>
              </w:rPr>
              <w:t>$ 66,313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$ 25,070</w:t>
            </w:r>
          </w:p>
        </w:tc>
        <w:tc>
          <w:tcPr>
            <w:tcW w:w="80" w:type="dxa"/>
            <w:vAlign w:val="bottom"/>
          </w:tcPr>
          <w:p>
            <w:pPr>
              <w:spacing w:after="0"/>
              <w:rPr>
                <w:sz w:val="20"/>
                <w:szCs w:val="20"/>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$ 41,243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1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General and administrative (including stock-based compensation expense of $4.6 million and</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$15.2 million for 2025 and 2024, respectively)</w:t>
            </w:r>
          </w:p>
        </w:tc>
        <w:tc>
          <w:tcPr>
            <w:tcW w:w="106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20,981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27,346</w:t>
            </w:r>
          </w:p>
        </w:tc>
        <w:tc>
          <w:tcPr>
            <w:tcW w:w="80" w:type="dxa"/>
            <w:vAlign w:val="bottom"/>
            <w:shd w:val="clear" w:color="auto" w:fill="CCEEFF"/>
          </w:tcPr>
          <w:p>
            <w:pPr>
              <w:spacing w:after="0"/>
              <w:rPr>
                <w:sz w:val="20"/>
                <w:szCs w:val="20"/>
                <w:color w:val="auto"/>
              </w:rPr>
            </w:pP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87,294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34,878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(87,294)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(52,416)</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(34,878)</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gridSpan w:val="4"/>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13,186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6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(74,108)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(46,879)</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(27,229)</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9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(74,881)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(46,879)</w:t>
            </w: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(28,002)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8120" w:type="dxa"/>
            <w:vAlign w:val="bottom"/>
          </w:tcPr>
          <w:p>
            <w:pPr>
              <w:spacing w:after="0"/>
              <w:rPr>
                <w:sz w:val="12"/>
                <w:szCs w:val="12"/>
                <w:color w:val="auto"/>
              </w:rPr>
            </w:pPr>
          </w:p>
        </w:tc>
        <w:tc>
          <w:tcPr>
            <w:tcW w:w="460" w:type="dxa"/>
            <w:vAlign w:val="bottom"/>
            <w:gridSpan w:val="2"/>
          </w:tcPr>
          <w:p>
            <w:pPr>
              <w:spacing w:after="0"/>
              <w:rPr>
                <w:sz w:val="12"/>
                <w:szCs w:val="12"/>
                <w:color w:val="auto"/>
              </w:rPr>
            </w:pPr>
          </w:p>
        </w:tc>
        <w:tc>
          <w:tcPr>
            <w:tcW w:w="600" w:type="dxa"/>
            <w:vAlign w:val="bottom"/>
            <w:tcBorders>
              <w:top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Direct costs:</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GlyphAllo</w:t>
            </w: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$25,858</w:t>
            </w:r>
          </w:p>
        </w:tc>
        <w:tc>
          <w:tcPr>
            <w:tcW w:w="2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$ 7,396</w:t>
            </w:r>
          </w:p>
        </w:tc>
        <w:tc>
          <w:tcPr>
            <w:tcW w:w="9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$18,462</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GlyphAgo</w:t>
            </w: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13,546</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5,204</w:t>
            </w:r>
          </w:p>
        </w:tc>
        <w:tc>
          <w:tcPr>
            <w:tcW w:w="9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Glyph2BLSD</w:t>
            </w: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6,437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Preclinical and early discovery assets</w:t>
            </w: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3,856</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5,903</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Indirect costs: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compensation (excluding stock-based compensation)</w:t>
            </w: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12,557</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5,022</w:t>
            </w:r>
          </w:p>
        </w:tc>
        <w:tc>
          <w:tcPr>
            <w:tcW w:w="9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16"/>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677</w:t>
            </w:r>
          </w:p>
        </w:tc>
        <w:tc>
          <w:tcPr>
            <w:tcW w:w="9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1,787</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w:t>
            </w:r>
          </w:p>
        </w:tc>
        <w:tc>
          <w:tcPr>
            <w:tcW w:w="9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8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6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66,313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25,070</w:t>
            </w:r>
          </w:p>
        </w:tc>
        <w:tc>
          <w:tcPr>
            <w:tcW w:w="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$41.2 million from $25.1 million for the year ended December 31, 2024 to $66.3 million for the year ended December 31, 2025. The increase in research and development expenses was primarily attributable to:</w:t>
      </w:r>
    </w:p>
    <w:p>
      <w:pPr>
        <w:spacing w:after="0" w:line="67" w:lineRule="exact"/>
        <w:rPr>
          <w:sz w:val="20"/>
          <w:szCs w:val="20"/>
          <w:color w:val="auto"/>
        </w:rPr>
      </w:pPr>
    </w:p>
    <w:p>
      <w:pPr>
        <w:ind w:left="1080" w:right="5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 million of increased costs associated with our lead program GlyphAllo, which was primarily due to commencing our Phase 2b BUOY-1 trial in July 2025;</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million of increased costs associated with our GlyphAgo program, which was primarily due to commencing our Phase 1 trial in July 2025;</w:t>
      </w:r>
    </w:p>
    <w:p>
      <w:pPr>
        <w:spacing w:after="0" w:line="67" w:lineRule="exact"/>
        <w:rPr>
          <w:rFonts w:ascii="Times New Roman" w:cs="Times New Roman" w:eastAsia="Times New Roman" w:hAnsi="Times New Roman"/>
          <w:sz w:val="18"/>
          <w:szCs w:val="18"/>
          <w:color w:val="auto"/>
        </w:rPr>
      </w:pPr>
    </w:p>
    <w:p>
      <w:pPr>
        <w:ind w:left="5500" w:right="80" w:hanging="4844"/>
        <w:spacing w:after="0" w:line="454" w:lineRule="auto"/>
        <w:tabs>
          <w:tab w:leader="none" w:pos="10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million of increased costs associated with our Glyph2BLSD program, which was nominated as a development candidate in late 2024; 116</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of increased costs associated with employee compensation primarily due to increased headcount to support our operations;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of increased costs associated with stock-based compensation costs primarily due to additional equity grants under our Plan; and</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of increased costs associated with other research and development expenses primarily due to increased facility costs associated with our lab space lease, which commenced in January 2025;</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131" w:lineRule="exact"/>
        <w:rPr>
          <w:sz w:val="20"/>
          <w:szCs w:val="20"/>
          <w:color w:val="auto"/>
        </w:rPr>
      </w:pPr>
    </w:p>
    <w:p>
      <w:pPr>
        <w:ind w:left="1080" w:right="8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decreased costs associated with preclinical and other early discovery assets as Glyph2BLSD was nominated as a development candidate in late 2024.</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$ 15,181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(10,570)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(excluding stock-based compensation)</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8,189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5,039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Facilities, depreciation, IT, and other</w:t>
            </w: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3,142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20,981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27,346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(6,365)</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$6.4 million from $27.3 million for the year ended December 31, 2024 to $21.0 million for the year ended December 31, 2025. The decrease in general and administrative expenses was primarily attributable to:</w:t>
      </w:r>
    </w:p>
    <w:p>
      <w:pPr>
        <w:spacing w:after="0" w:line="67" w:lineRule="exact"/>
        <w:rPr>
          <w:sz w:val="20"/>
          <w:szCs w:val="20"/>
          <w:color w:val="auto"/>
        </w:rPr>
      </w:pPr>
    </w:p>
    <w:p>
      <w:pPr>
        <w:ind w:left="1080" w:right="76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of decreased stock-based compensation expense primarily due to a one-time charge recorded during the year ended December 31, 2024 due to accelerated vesting of equity awards related to the closing of our Series B Financing;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decreases were partially offset by:</w:t>
      </w:r>
    </w:p>
    <w:p>
      <w:pPr>
        <w:spacing w:after="0" w:line="131" w:lineRule="exact"/>
        <w:rPr>
          <w:sz w:val="20"/>
          <w:szCs w:val="20"/>
          <w:color w:val="auto"/>
        </w:rPr>
      </w:pPr>
    </w:p>
    <w:p>
      <w:pPr>
        <w:ind w:left="1080" w:right="6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increased employee compensation, excluding stock-based compensation due to increased headcount to support our operations;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of increased facilities, depreciation, IT, and other costs primarily due to increased facility costs associated with our corporate office lease which commenced in December 2024.</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Other income, net increased by $7.6 million from $5.5 million for the year ended December 31, 2024 to $13.2 million for the year ended December 31, 2025. The increase in other income, net was primarily attributed to a $5.8 million increase in interest income on our investments and cash equivalents due to the amount of funds invested in interest bearing accounts and a $1.9 million increase in our research and development tax credit as a result of qualifying research and development spend in Australia.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primary source of liquidity for our business prior to our formation was funding by PureTech of the expenses allocated to the Seaport Business. Prior to the Asset Transfer Date, transfers of cash to and from</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PureTech have been reflected in net transfers from PureTech in the statement of cash flows and net parent investment in the statement of convertible preferred stock and stockholders’ deficit. Since the Asset Transfer Date, we have funded our operations with the aggregate gross proceeds of $326.1 million from the Series A and Series B Financings.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period presented (in thousands):</w:t>
      </w:r>
    </w:p>
    <w:p>
      <w:pPr>
        <w:spacing w:after="0" w:line="246"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12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9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(29,629)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(184,245)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339,295</w:t>
            </w:r>
          </w:p>
        </w:tc>
      </w:tr>
      <w:tr>
        <w:trPr>
          <w:trHeight w:val="216"/>
        </w:trPr>
        <w:tc>
          <w:tcPr>
            <w:tcW w:w="9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Effect of exchange rate changes on cash and cash equivalents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12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(263,057)</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$ 309,553</w:t>
            </w:r>
          </w:p>
        </w:tc>
      </w:tr>
      <w:tr>
        <w:trPr>
          <w:trHeight w:val="20"/>
        </w:trPr>
        <w:tc>
          <w:tcPr>
            <w:tcW w:w="12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right="40" w:hanging="424"/>
        <w:spacing w:after="0" w:line="282"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26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operating activities was $77.9 million, compared to $29.6 million for the year ended December 31, 2024. Cash used in operating activities increased by $48.3 million primarily due to increased operating expenses as we continue to advance our product candidates through preclinical and clinical developments.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$184.2 million, compared to net cash used in investing activities of $0.1 million for the year ended December 31, 2024. Cash used in investing activities increased by $184.1 million due to the purchases and maturities of U.S. treasuries during fiscal year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$0.9 million, primarily due to payment of deferred offering costs,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compared to cash provided of $339.3 million for the year ended December 31, 2024. Cash provided by financing activities decreased by $340.2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million due to the absence of financing transactions in fiscal year 2025. Financing activities during the year ended December 31, 2024 included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$100.1 million of gross proceeds received in April 2024 from our Series A financing and $226.0 million of gross proceeds received in October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our Series B financing, partially offset by $0.8 million of issuance cost payments. In addition, PureTech managed our cash and financing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arrangements through April 8, 2024, and financing activities for the year ended December 31, 2024 included $14.0 million of net transfers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PureTech.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and investments of $233.7 million. We expect that our cash and cash equivalents as of December 31, 2025, will be sufficient to fund our operating expenses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capital expenditure requirements through at least 12 months from the date our consolidated financial statements were available to be issued. We believe, based on our current operating plan, that the net proceeds from this offering, together with our existing cash, cash equivalents, and investments will enable us to fund our operations and capital expenditure requirements into 2029. We have based this estimate on assumptions that may prove to be wrong, and we could exhaust our available capital resources sooner than we expect.</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on many factors, including: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or future product candidates and effectiveness of our Glyph platform;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45" w:lineRule="exact"/>
        <w:rPr>
          <w:rFonts w:ascii="Times New Roman" w:cs="Times New Roman" w:eastAsia="Times New Roman" w:hAnsi="Times New Roman"/>
          <w:sz w:val="17"/>
          <w:szCs w:val="17"/>
          <w:color w:val="auto"/>
        </w:rPr>
      </w:pPr>
    </w:p>
    <w:p>
      <w:pPr>
        <w:ind w:left="1080" w:right="3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fluctuating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that we can generate substantial product revenue, we expect to finance our operations through a combination of public and private equity offerings, debt and royalty financings, or other sources of capital, which may include additional collaborations with other companies, or licensing arrangements with third parties, or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or royalty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additional collaborations, strategic alliances, or licensing arrangements with third parties, we may have to relinquish valuable rights to our technologies, future revenue streams, research programs, product candidates, or grant licenses on terms that may not be favorable to us. If we are unable to raise additional capital or obtain adequate funding when needed or on acceptable terms, we may be required to delay, scale back, or discontinue our research, product development, or future commercialization efforts, or grant rights to develop and market product candidates that we would otherwise prefer to develop and market ourselves.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Asset Transfer Agreement with PureTech</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part of the Asset Transfer Agreement, we have agreed to contingent payments to PureTech Health upon successful development and commercialization of products developed using the Glyph platform. For more information, refer to the subsection titled “Asset Transfer Agreement and Financings” above.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Monash License Agreement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Monash License Agreement, we have agreed to use reasonable commercial endeavors to (i) develop at least one Licensed Product,</w:t>
      </w:r>
    </w:p>
    <w:p>
      <w:pPr>
        <w:spacing w:after="0" w:line="27" w:lineRule="exact"/>
        <w:rPr>
          <w:sz w:val="20"/>
          <w:szCs w:val="20"/>
          <w:color w:val="auto"/>
        </w:rPr>
      </w:pPr>
    </w:p>
    <w:p>
      <w:pPr>
        <w:ind w:left="120" w:right="40" w:hanging="4"/>
        <w:spacing w:after="0" w:line="255" w:lineRule="auto"/>
        <w:tabs>
          <w:tab w:leader="none" w:pos="3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w:t>
      </w:r>
    </w:p>
    <w:p>
      <w:pPr>
        <w:spacing w:after="0" w:line="18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first two development milestones for a total of $0.2 million were achieved and paid by PureTech as they occurred prior to our formation, and we have paid the third development milestone of $0.1 million as well as annual maintenance fees. No other milestones have occurred or have been paid under the Monash License Agreement as of December 31, 2025.</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titled “Business—Agreements—Monash License Agreement”, included elsewhere in this prospectus.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Purchase and Other Obligations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research organizations, or CROs, and other third-party vendors for preclinical and commercial supply manufacturing, support for pre-commercial activities, research, and development activities, and other services and products for our operations. These contracts are generally cancelable upon written notice. Payments due upon cancellation consist generally of payments for services provided and expenses incurred up to the date of cancellation.</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November 2024, we entered into a lease agreement with a third party for our corporate office space located in Boston, Massachusetts. The lease commenced in December 2024 and has an initial term of approximately six years, expiring in October 2030. The aggregate payments under the full lease total approximately $6.1 million, which will be recognized over the term of the lease.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December 2024, we entered into a laboratory license with a third party for lab space located in Boston, Massachusetts. The license commenced in January 2025 and is for an initial term of 24 months from the commencement date. The aggregate payments under the full license total approximately $1.2 million.</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contractual obligation and commitments please see Note 8—Monash License Agreement and Note 14— Commitments and Contingencies, to our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judgments that affect the reported amounts of assets, liabilities, and expenses and the related disclosure of contingent assets and liabilities in our financial statements.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We evaluate our estimates and judgments on an ongoing basis. Our actual results may differ from these estimates under different assumptions or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our service providers and make adjustments if necessary. The majority of our service providers invoice us monthly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w:t>
      </w:r>
    </w:p>
    <w:p>
      <w:pPr>
        <w:spacing w:after="0" w:line="17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represents the cost of the grant date fair value of equity awards recognized that are expected to vest over the requisite service period of the awards, which is usually the vesting period of the respective award. For stock-based awards with service-based vesting conditions, we recognize compensation expense on a straight-line basis. For stock-based awards with performance-based vesting conditions, we recognize compensation expense over the requisite service period using the accelerated attribution method, commencing when achievement of the performance condition becomes probable. Subsequent to our formation and the Asset Transfer, we estimated the fair value of stock option awards using the Black-Scholes option pricing model. Estimating the fair value of equity awards as of the grant date using valuation models, such as the Black-Scholes option pricing model, is affected by assumptions regarding a number of variables, including the risk-free interest rate, the expected stock price volatility, the expected term of stock options, the expected dividend yield and the fair value of the underlying common stock on the date of grant. These inputs are subjective and generally require significant analysis and judgment to develop. Forfeitures are accounted for as they occur. Changes in the assumptions can materially affect the fair value and ultimately how much stock-based compensation expense is recognized. The fair value of time-vesting restricted stock unit awards is equal to the common stock price on the date of grant.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stock-based compensation expense we recognized in our financial statements prior to our formation and the Asset Transfer Date, and separate from our 2024 Plan, has been determined based on the fair value of the underlying award as determined by PureTech, the total expense calculated for the period under GAAP, and the relative amount allocated to Seaport associated with each employee. The assumptions used in the Black-Scholes option pricing model for these awards were those of PureTech, including the fair value of PureTech’s common stock, expected volatility, expected term, expected dividend yield, and risk-free interest rates as of the grant date. Seaport employees continued to vest in their PureTech equity awards up until the completion of our Series B Financing in October 2024 at which time PureTech no longer maintained a controlling interest.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there has been no public market for our common stock subsequent to the Asset Transfer and to date, the estimated fair value of our common stock has been determined by our Board ,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Our common stock valuation was prepared using a market approach to estimate our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either an option pricing method, OPM, or a hybrid method to allocate value to the common stock. The OPM treats common stock and convertible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convertible preferred stock liquidation preferences at the time of the liquidity event, such as a strategic sale or a merger. The hybrid method is a probability-weighed expected return method, or PWERM, where the equity value in one or more of the scenarios is calculated using an OPM. The PWERM is a scenario-based methodology that estimates the fair value of common stock based upon an analysis of the future value of our common stock, assuming various outcomes. The value of a share of common stock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each case, a discount for lack of marketability of the common stock is then applied to arrive at an indication of value for the common stock.</w:t>
      </w:r>
    </w:p>
    <w:p>
      <w:pPr>
        <w:spacing w:after="0" w:line="193"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These third-party valuations were performed at various dates, which resulted in valuations of our common stock of $7.39 per share as of October 18, 2024, $7.95 per share as of July 16, 2025 and $10.31 per share as of January 14, 2026. Given the absence of a public trading market, our Board, with input from management, considered the results of these third-party valuations in addition to numerous objective and subjective factors to determine the fair value of common stock. The factors included, but were not limited to:</w:t>
      </w:r>
    </w:p>
    <w:p>
      <w:pPr>
        <w:spacing w:after="0" w:line="85" w:lineRule="exact"/>
        <w:rPr>
          <w:sz w:val="20"/>
          <w:szCs w:val="20"/>
          <w:color w:val="auto"/>
        </w:rPr>
      </w:pPr>
    </w:p>
    <w:p>
      <w:pPr>
        <w:ind w:left="1080" w:right="4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convertible preferred stock to new and existing investors and the rights and preferences of the convertible preferred stock relative to our common stock at the time of each grant;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future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including the status of clinical development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equity as a private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enterprise milestones, including entering into license agreements;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 traded companies in the life sciences and biotechnology sectors, as well as recently completed mergers and acquisitions of peer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external market conditions affecting the biotechnology industry and trends within the biotechnology industry;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convertible preferred stock and holders of our common stock, such as an initial public offering, or a sale of our company, given prevailing market conditions;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initial public offerings and the market performance of similar companies in the biopharmaceutical industry.</w:t>
      </w:r>
    </w:p>
    <w:p>
      <w:pPr>
        <w:spacing w:after="0" w:line="225"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 Once a public trading market for our common stock has been established in connection with the completion of this offering, it will no longer be necessary for our Board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87"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summarizes by grant date the number of shares subject to awards granted under our equity incentive plan from January 1, 2025 through the date of this prospectus, the per share exercise price of the awards and weighted average grant date fair value on each grant date:</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5580" w:type="dxa"/>
            <w:vAlign w:val="bottom"/>
            <w:vMerge w:val="restart"/>
          </w:tcPr>
          <w:p>
            <w:pPr>
              <w:spacing w:after="0"/>
              <w:rPr>
                <w:sz w:val="12"/>
                <w:szCs w:val="12"/>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1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58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1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5"/>
                <w:szCs w:val="15"/>
                <w:color w:val="auto"/>
              </w:rPr>
            </w:pPr>
          </w:p>
        </w:tc>
        <w:tc>
          <w:tcPr>
            <w:tcW w:w="98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Award</w:t>
            </w:r>
          </w:p>
        </w:tc>
        <w:tc>
          <w:tcPr>
            <w:tcW w:w="10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January 26, 2025</w:t>
            </w:r>
          </w:p>
        </w:tc>
        <w:tc>
          <w:tcPr>
            <w:tcW w:w="10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Stock Option</w:t>
            </w: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86,267</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7.39</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25, 2025</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204,253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 2025</w:t>
            </w:r>
          </w:p>
        </w:tc>
        <w:tc>
          <w:tcPr>
            <w:tcW w:w="1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77,042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25, 2025</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124,494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15, 2025</w:t>
            </w:r>
          </w:p>
        </w:tc>
        <w:tc>
          <w:tcPr>
            <w:tcW w:w="1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125,768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11, 2025</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153,468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7, 2025</w:t>
            </w:r>
          </w:p>
        </w:tc>
        <w:tc>
          <w:tcPr>
            <w:tcW w:w="1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132,134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27, 2026</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289,501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24, 2026</w:t>
            </w:r>
          </w:p>
        </w:tc>
        <w:tc>
          <w:tcPr>
            <w:tcW w:w="1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673,154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plan to grant equity awards to executive officers and directors. For additional information, see the section titled “Executive Compensation—Narrative Disclosure to the 2025 Summary Compensation Table—Equity Incentive Compensation”, “Executive Compensation—Employee Benefit and Equity Compensation Plans” and “Director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From PureTech and Costs to Operate as an Independent Company</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Prior to our formation and the Asset Transfer, the financial statements reflect our operating results and financial position as our business was operated by PureTech, rather than as an independent company. We may incur additional ongoing operating expenses to operate as an independent company. These costs will include the cost of various corporate functions, incremental information technology-related costs and incremental costs to operate standalone accounting, legal and other administrative functions. We may also incur non-recurring expenses and non-recurring capital expenditures.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Following the Asset Transfer Date, we began incurring additional operating expenses necessary to operate as an independent company, including various corporate functions and incremental costs to operate standalone accounting, legal, and other administrative functions. These functions were provided to us from PureTech prior to the Asset Transfer Date and continued under the Transition Services Agreement, or the TSA, that we entered into with PureTech. Substantially all of these activities will be performed using our own resources at this time. The terms of the TSA are discussed in the section captioned “Certain Relationships and Related Person Transactions.” On April 2, 2026, we and PureTech mutually agreed to terminate the TSA in accordance with its terms.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or the JOBS Act. As such, we are eligible to take advantage of certain exemptions from various reporting requirements that are applicable to other public companies that are not emerging growth companies including:</w:t>
      </w:r>
    </w:p>
    <w:p>
      <w:pPr>
        <w:spacing w:after="0" w:line="81" w:lineRule="exact"/>
        <w:rPr>
          <w:sz w:val="20"/>
          <w:szCs w:val="20"/>
          <w:color w:val="auto"/>
        </w:rPr>
      </w:pPr>
    </w:p>
    <w:p>
      <w:pPr>
        <w:ind w:left="1080" w:right="2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and a correspondingly reduced “Management’s Discussion and Analysis of Financial Condition and Results of Operations” disclosure in this prospectus;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pursuant to Section 404 of the Sarbanes-Oxley 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or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will adopt the new or revised standard whenever such adoption is required for private companies. We may also choose to early adopt any new or revised accounting standards whenever such early adoption is permitted. This may make comparison of our financial statements with another public company, which is neither an emerging growth company nor an emerging growth company that has opted out of using the extended transition period, difficult or impossible because of the potential differences in accounting standards used.</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completion of this initial public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the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(i) the market value of our voting and non-voting common stock held by non-affiliates is less than $250.0 million measured on the last business day of our second fiscal quarter, or (ii)(a) our annual revenue is less than $100.0 million during the most recently completed fiscal year, and (b) the market value of our voting and non-voting common stock held by non-affiliates is less than $700.0 million measured on the last business day of our second fiscal quarter.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39"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new medicines for patients with depression, anxiety, and other debilitating neuropsychiatric disorders. Through our differentiated approach, we identify clinically validated mechanisms with established efficacy and safety profiles which had historically been limited by high first-pass metabolism, low bioavailability, and/or side effects. We apply our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to overcome those limitations and invent innovative oral therapies. Glyph is a lymphatic-targeting prodrug technology which is designed to bypass first-pass metabolism and thereby enhance a drug’s oral bioavailability and reduce side effects. This process, which we call “Glyphing,” also creates new composition of matter intellectual property. Our experienced team of industry leaders has a proven track record in neuropsychiatry drug discovery and development and delivering successful business outcomes. We aim to develop novel, leading treatment options that will make a significant impact for patients and their families.</w:t>
      </w:r>
    </w:p>
    <w:p>
      <w:pPr>
        <w:spacing w:after="0" w:line="203" w:lineRule="exact"/>
        <w:rPr>
          <w:sz w:val="20"/>
          <w:szCs w:val="20"/>
          <w:color w:val="auto"/>
        </w:rPr>
      </w:pPr>
    </w:p>
    <w:p>
      <w:pPr>
        <w:ind w:left="120" w:right="80" w:firstLine="440"/>
        <w:spacing w:after="0" w:line="242" w:lineRule="auto"/>
        <w:rPr>
          <w:sz w:val="20"/>
          <w:szCs w:val="20"/>
          <w:color w:val="auto"/>
        </w:rPr>
      </w:pPr>
      <w:r>
        <w:rPr>
          <w:rFonts w:ascii="Times New Roman" w:cs="Times New Roman" w:eastAsia="Times New Roman" w:hAnsi="Times New Roman"/>
          <w:sz w:val="18"/>
          <w:szCs w:val="18"/>
          <w:color w:val="auto"/>
        </w:rPr>
        <w:t>We are leveraging our proprietary Glyph platform to advance a pipeline of novel therapies to address the significant unmet needs in depression and anxiety. Our lead product candidate, GlyphAllo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(SPT-300 or Glyph Allopregnanolone), is a novel, Glyphed oral prodrug of allopregnanolone, an endogenous molecule that has been clinically validated in third-party trials for the treatment of postpartum depression, or PPD, a form of major depressive disorder, or MDD, that shares symptomatology with MDD, as a rapidly acting antidepressant with anxiolytic and sleep-promoting effects. Additionally, an oral synthetic analog of allopregnanolone, zuranolone, demonstrated a rapid antidepressant effect that deepened while patients were on drug and met the primary endpoint in five of the six trials in MDD.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We have initiated the Phase 2b BUOY-1 trial in patients with MDD with or without anxious distress and anticipate topline data in the first half of 2027.</w:t>
      </w:r>
    </w:p>
    <w:p>
      <w:pPr>
        <w:spacing w:after="0" w:line="196"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Our second product candidate, GlyphAgo</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(SPT-320 or Glyph Agomelatine), is a novel, Glyphed oral prodrug of agomelatine, a clinically validated anxiolytic and antidepressant that is approved for the treatment of generalized anxiety disorder, or GAD, in Australia and MDD in Australia and the European Union, or EU. Due to extensive liver first-pass metabolism, agomelatine can cause dose-dependent liver enzyme elevations, and its use has been limited by the need for frequent liver function testing. GlyphAgo is designed to overcome this limitation by avoiding first-pass metabolism and achieving therapeutic exposures of agomelatine while reducing or eliminating the need for liver monitoring. In April 2026, we reported topline data from the single-ascending dose, or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adverse events, or AEs, were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w:t>
      </w:r>
    </w:p>
    <w:p>
      <w:pPr>
        <w:spacing w:after="0" w:line="200" w:lineRule="exact"/>
        <w:rPr>
          <w:sz w:val="20"/>
          <w:szCs w:val="20"/>
          <w:color w:val="auto"/>
        </w:rPr>
      </w:pPr>
    </w:p>
    <w:p>
      <w:pPr>
        <w:jc w:val="both"/>
        <w:ind w:left="120" w:right="60" w:firstLine="440"/>
        <w:spacing w:after="0" w:line="224" w:lineRule="auto"/>
        <w:rPr>
          <w:sz w:val="20"/>
          <w:szCs w:val="20"/>
          <w:color w:val="auto"/>
        </w:rPr>
      </w:pPr>
      <w:r>
        <w:rPr>
          <w:rFonts w:ascii="Times New Roman" w:cs="Times New Roman" w:eastAsia="Times New Roman" w:hAnsi="Times New Roman"/>
          <w:sz w:val="18"/>
          <w:szCs w:val="18"/>
          <w:color w:val="auto"/>
        </w:rPr>
        <w:t>We are also advancing Glyph2BLSD</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(SPT-348 or Glyph 2-bromo-LSD), a novel, Glyphed oral prodrug of the non-hallucinogenic LSD analog 2-bromo-LSD, in preclinical studies for depressive disorders, including treatment-resistant depression, or TRD, post-traumatic stress disorder, or PTSD, and headache disorders.</w:t>
      </w:r>
    </w:p>
    <w:p>
      <w:pPr>
        <w:spacing w:after="0" w:line="19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Globally, over one billion people are living with mental illness as of 2021, comparable in prevalence to obesity or hypertension. According to the World Health Organization, as of 2021, depression affects approximately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332 million people worldwide and anxiety affects approximately 359 million people worldwide, and there is a significant need for novel treatment options. Currently approved drugs for MDD and GAD have significant limitations, including modest efficacy, slow onset of action, and unfavorable side effects. Advancement of novel therapies has been limited by a lack of understanding of disease pathophysiology, poor drug-like properties, and challenges in clinical trial design and execution leading to high clinical development failure rates.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uniquely positioned to overcome the challenges of developing medicines for depression, anxiety, and other neuropsychiatric disorders by leveraging our differentiated, three-pillar approach:</w:t>
      </w:r>
    </w:p>
    <w:p>
      <w:pPr>
        <w:spacing w:after="0" w:line="158"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Identify clinically validated mechanisms held back by issues that can be addressed by our proprietary Glyph platform. </w:t>
      </w:r>
      <w:r>
        <w:rPr>
          <w:rFonts w:ascii="Times New Roman" w:cs="Times New Roman" w:eastAsia="Times New Roman" w:hAnsi="Times New Roman"/>
          <w:sz w:val="18"/>
          <w:szCs w:val="18"/>
          <w:color w:val="auto"/>
        </w:rPr>
        <w:t>We select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based on well-established clinical data, defined as demonstrated meaningful benefits compared to placebo in multiple randomized, placebo-controlled clinical trials in a large number of patients. We identify drugs matching this profile where clinical and commercial potential have been limited by high first-pass metabolism, low bioavailability, and/or side effects. We advance candidates that have the potential to be novel medicines and to impact a large number of patients.</w:t>
      </w:r>
    </w:p>
    <w:p>
      <w:pPr>
        <w:spacing w:after="0" w:line="179"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Create novel medicines with strong intellectual property using Glyph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Glyph is our proprietary technology platform which uses the lymphatic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to enable and enhance the oral administration of drugs. Typically, non-Glyphed oral small molecules undergo first-pass metabolism, where the concentration of drug is significantly reduced by metabolic enzymes in the liver prior to systemic circulation. First-pass metabolism can lead to low bioavailability (i.e., reduced concentration of active drug available to target organs) and/or side effects, including liver enzyme elevations or hepatotoxicity. Glyph leverages a separate absorption path taken by dietary fats. A Glyphed molecule uses this alternative route via the intestinal lymphatic system to bypass first-pass metabolism and transit directly into systemic circulation. The Glyph platform has the potential to be widely applied to many therapeutic molecules that have high first-pass metabolism. For each program, we use Glyph to create unique sets of prodrugs with differentiated profiles, and evaluate these prodrugs as potential candidates to advance into preclinical and clinical studies. Glyph has been applied to create novel product candidates for our pipeline resulting in new intellectual property, including composition of matter patents.</w:t>
      </w:r>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Benefits of Our Proprietary Glyph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67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firstLine="440"/>
        <w:spacing w:after="0"/>
        <w:rPr>
          <w:sz w:val="20"/>
          <w:szCs w:val="20"/>
          <w:color w:val="auto"/>
        </w:rPr>
      </w:pPr>
      <w:r>
        <w:rPr>
          <w:rFonts w:ascii="Times New Roman" w:cs="Times New Roman" w:eastAsia="Times New Roman" w:hAnsi="Times New Roman"/>
          <w:sz w:val="18"/>
          <w:szCs w:val="18"/>
          <w:b w:val="1"/>
          <w:bCs w:val="1"/>
          <w:i w:val="1"/>
          <w:iCs w:val="1"/>
          <w:color w:val="auto"/>
        </w:rPr>
        <w:t>Apply our team’s expertise to optimize the design and execution of clinical trials and drive successful business outcomes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team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industry leaders with a proven track record of building successful companies that have developed and commercialized innovative neuropsychiatric medicines. This includes Zyprexa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Cymbalta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Latuda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Zurzuvae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Cobenfy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(xanomeline-trospium or KarXT), which was approved by the FDA in September 2024 and is the first new class of medicines in over 30 years for patients living with schizophrenia. Leveraging our team’s track record of success in neuropsychiatry discovery and clinical development is important as we select new product candidates and as we implement key design elements in our clinical trials to optimize treatment effect and duration and reduce placebo response. In parallel, we apply our deep experience in building successful companies to establish clear goals, drive strategic decision-making, and maintain financial discipline. Drawing on our track record of success in neuropsychiatry, we aim to drive successful outcomes for patients and shareholders.</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pipeline of novel potential treatments for neuropsychiatric disorders with significant unmet need. We retain exclusive, worldwide development and commercialization rights to all of our product candidates and discovery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1722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9493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Glyph aims to unlock the therapeutic potential of drugs in CNS and beyond. In addition to our three lead candidates, we have robust discovery programs and multiple pipeline programs underway.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GlyphAllo: Potential Differentiated Therapy for MDD</w:t>
      </w:r>
    </w:p>
    <w:p>
      <w:pPr>
        <w:spacing w:after="0" w:line="31" w:lineRule="exact"/>
        <w:rPr>
          <w:sz w:val="20"/>
          <w:szCs w:val="20"/>
          <w:color w:val="auto"/>
        </w:rPr>
      </w:pPr>
    </w:p>
    <w:p>
      <w:pPr>
        <w:jc w:val="both"/>
        <w:ind w:left="120" w:right="380" w:firstLine="440"/>
        <w:spacing w:after="0" w:line="254"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an endogenous neurosteroid and gamma-aminobutyric acid A, or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positive allosteric modulator, or PAM. Allopregnanolone is a naturally occurring molecule that reduces stress, with levels that peak during the third trimester of pregnancy. An intravenous infusion formulation of allopregnanolone was approved for the treatment of PPD, a form of MDD.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7"/>
          <w:szCs w:val="17"/>
          <w:color w:val="auto"/>
        </w:rPr>
        <w:t>Allopregnanolone has been clinically validated in two third-party trials, which were sponsored by Sage Therapeutics in the United States for the treatment of PPD and powered for statistical significance, as a rapidly acting antidepressant with anxiolytic and sleep-promoting effects. Due to the shared symptomatology between MDD and PPD, we believe data for MDD are relevant from such third-party trials. In each trial, allopregnanolone demonstrated statistically significant results on the primary endpoint of change in baseline at 60 hours in the Hamilton Depression Rating Scale-17, or HAMD-17, a regulatory-standard depression severity rating scale. However, its scope of clinical use has been constrained by oral bioavailability limitations that the Glyph platform is uniquely designed to solve. For example, a previous third-party clinical trial showed that oral administration of allopregnanolone resulted in plasma exposure levels with an AUC</w:t>
      </w:r>
      <w:r>
        <w:rPr>
          <w:rFonts w:ascii="Times New Roman" w:cs="Times New Roman" w:eastAsia="Times New Roman" w:hAnsi="Times New Roman"/>
          <w:sz w:val="25"/>
          <w:szCs w:val="25"/>
          <w:color w:val="auto"/>
          <w:vertAlign w:val="subscript"/>
        </w:rPr>
        <w:t>inf</w:t>
      </w:r>
      <w:r>
        <w:rPr>
          <w:rFonts w:ascii="Times New Roman" w:cs="Times New Roman" w:eastAsia="Times New Roman" w:hAnsi="Times New Roman"/>
          <w:sz w:val="17"/>
          <w:szCs w:val="17"/>
          <w:color w:val="auto"/>
        </w:rPr>
        <w:t xml:space="preserve"> of 0.7 ng*hr/mL per 1 mg of allopregnanolone dosed, as shown in the figure below.</w:t>
      </w:r>
    </w:p>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Unmodified Allopregnanolone Oral Systemic Exposure – Third-Party Literature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173990</wp:posOffset>
            </wp:positionV>
            <wp:extent cx="1834515" cy="2425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3451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GlyphAllo: Preclinical Results</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our preclinical studies conducted in non-human primates, or NHPs, oral dosing of GlyphAllo resulted in a greater than nine-fold increase in bioavailability compared to oral unmodified allopregnanolone over 24 hours. In these preclinical studies, evaluations of GlyphAllo and unmodified allopregnanolone were conducted simultaneously or sequentially using the same species.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GlyphAllo: Clinical Results</w:t>
      </w:r>
    </w:p>
    <w:p>
      <w:pPr>
        <w:spacing w:after="0" w:line="119" w:lineRule="exact"/>
        <w:rPr>
          <w:sz w:val="20"/>
          <w:szCs w:val="20"/>
          <w:color w:val="auto"/>
        </w:rPr>
      </w:pPr>
    </w:p>
    <w:p>
      <w:pPr>
        <w:ind w:left="120" w:firstLine="440"/>
        <w:spacing w:after="0" w:line="230" w:lineRule="auto"/>
        <w:rPr>
          <w:sz w:val="20"/>
          <w:szCs w:val="20"/>
          <w:color w:val="auto"/>
        </w:rPr>
      </w:pPr>
      <w:r>
        <w:rPr>
          <w:rFonts w:ascii="Times New Roman" w:cs="Times New Roman" w:eastAsia="Times New Roman" w:hAnsi="Times New Roman"/>
          <w:sz w:val="18"/>
          <w:szCs w:val="18"/>
          <w:color w:val="auto"/>
        </w:rPr>
        <w:t>In our Phase 1 clinical trial conducted in Australia in 99 participants, GlyphAllo demonstrated therapeutically relevant exposures with a favorable tolerability profile that supports chronic dosing. No treatment-related severe or serious AEs were reported. Oral administration of GlyphAllo in our Phase 1 trial of GlyphAllo resulted in plasma exposure levels with an AUC</w:t>
      </w:r>
      <w:r>
        <w:rPr>
          <w:rFonts w:ascii="Times New Roman" w:cs="Times New Roman" w:eastAsia="Times New Roman" w:hAnsi="Times New Roman"/>
          <w:sz w:val="26"/>
          <w:szCs w:val="26"/>
          <w:color w:val="auto"/>
          <w:vertAlign w:val="subscript"/>
        </w:rPr>
        <w:t>inf</w:t>
      </w:r>
      <w:r>
        <w:rPr>
          <w:rFonts w:ascii="Times New Roman" w:cs="Times New Roman" w:eastAsia="Times New Roman" w:hAnsi="Times New Roman"/>
          <w:sz w:val="18"/>
          <w:szCs w:val="18"/>
          <w:color w:val="auto"/>
        </w:rPr>
        <w:t xml:space="preserve"> of 6.6 ng*hr/mL per 1 mg of allopregnanolone dosed, as shown in the figure below.</w:t>
      </w:r>
    </w:p>
    <w:p>
      <w:pPr>
        <w:spacing w:after="0" w:line="1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60"/>
          </w:cols>
          <w:pgMar w:left="320" w:top="455"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GlyphAllo Oral Systemic Exposure: Phase 1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173990</wp:posOffset>
            </wp:positionV>
            <wp:extent cx="1800225" cy="23577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0022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GlyphAllo has also demonstrated initial proof-of-concept in a Phase 2a randomized, placebo-controlled trial conducted in Australia in 80 participants, using the Trier Social Stress Test, or TSST, a validated clinical model of anxiety in healthy volunteers. No severe or serious adverse events were reported. Based on these Phase 1 and Phase 2a data, we believe GlyphAllo has the potential to become a leading treatment for MDD. We advanced GlyphAllo into what we believe is a registration-enabling Phase 2b BUOY-1 trial conducted in the US and EU in July 2025. BUOY-1 is a global, randomized, double-blind, placebo-controlled trial evaluating the efficacy, safety, and tolerability of GlyphAllo in adults with MDD, with or without anxious distress. MDD with anxious distress is a form of MDD characterized by significant anxiety. Approximately 60% of patients with MDD meet the criteria for anxious distress. This trial is expected to enroll up to approximately 360 patients, randomized 1:1 to receive either GlyphAllo or placebo once-daily over a six-week treatment period. This randomized, double-blind, multiregional, placebo-controlled trial is designed to be registration-enabling, subject to review by the FDA and other comparable regulatory authorities, as an adequate and well-controlled investigation that seeks to help provide substantial evidence of effectiveness by assessing GlyphAllo’s efficacy and safety in several hundred patients. Additional clinical trials may be required prior to the submission of a new drug application even if this trial is successful or positive. The primary endpoint of the trial is the change from baseline at six weeks in HAMD-17. Following the initial treatment period, eligible patients may enter an open-label extension trial, in which all participants will receive GlyphAllo for up to six additional weeks.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Previous clinical development of allopregnanolone and its synthetic analog, which has been evaluated by Sage Therapeutics in multiple late-stage clinical trials for the treatment of MDD, has been generally hindered by poor oral bioavailability, safety concerns, and clinical trial design limitations. GlyphAllo is designed to enhance the oral bioavailability of allopregnanolone and achieve systemic exposures comparable to an intravenous infusion of allopregnanolone, with once-daily oral dosing. We believe our ongoing Phase 2b BUOY-1 trial improves upon the design of previous third-party clinical trials that evaluated a synthetic analog of allopregnanolone in several important ways.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are improving durable efficacy by treating patients for the full six-week duration of the primary endpoint time frame, as opposed to previous trials that treated patients for only the first two weeks and assessed efficacy after six weeks. As allopregnanolone also has an anxiolytic effect, we are also enrolling patients that have MDD with or without anxious distress. To reduce placebo response, we are optimizing the frequency of clinician-administered assessments, as our comprehensive meta-analysis of recent antidepressant trials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demonstrated that the frequency of these assessments is positively correlated with the magnitude of the placebo response in MDD trials. We are also including a single treatment arm and will flex dose to a target dose, similar to the strategy implemented at Karuna Therapeutics, since the number of active arms is positively associated with increased placebo response. Additionally, we are scrutinizing site selection and patient enrollment to ensure appropriate diagnosis and exclude inappropriate patients, including those with inflated baseline ratings and those who are concurrently participating in other studies. We expect topline data from the Phase 2b BUOY-1 trial in the first half of 2027.</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GlyphAgo: Potential Differentiated Therapy for GAD</w:t>
      </w:r>
    </w:p>
    <w:p>
      <w:pPr>
        <w:spacing w:after="0" w:line="121" w:lineRule="exact"/>
        <w:rPr>
          <w:sz w:val="20"/>
          <w:szCs w:val="20"/>
          <w:color w:val="auto"/>
        </w:rPr>
      </w:pPr>
    </w:p>
    <w:p>
      <w:pPr>
        <w:ind w:left="120" w:firstLine="440"/>
        <w:spacing w:after="0" w:line="244" w:lineRule="auto"/>
        <w:rPr>
          <w:sz w:val="20"/>
          <w:szCs w:val="20"/>
          <w:color w:val="auto"/>
        </w:rPr>
      </w:pPr>
      <w:r>
        <w:rPr>
          <w:rFonts w:ascii="Times New Roman" w:cs="Times New Roman" w:eastAsia="Times New Roman" w:hAnsi="Times New Roman"/>
          <w:sz w:val="18"/>
          <w:szCs w:val="18"/>
          <w:color w:val="auto"/>
        </w:rPr>
        <w:t>GlyphAgo is a novel, Glyphed oral prodrug of agomelatine that we are advancing in a key Phase 1 proof-of-concept trial for the treatment of GAD in Australia, in which we plan to enroll up to approximately 190 participants. Agomelatine, a clinically validated MT1/MT2 melatonin receptor agonist and serotonin 2C (5-HT2C) receptor antagonist, is an effective anxiolytic and antidepressant approved for the treatment of GAD in Australia and MDD in Australia and the EU. In GAD, agomelatine has demonstrated statistically significant separation from placebo in four third-party placebo-controlled studies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Based on two of the largest non-head-to-head literature meta-analyses of clinical trials of pharmacological agents for the treatment of GAD, agomelatine has been shown to have favorable efficacy and tolerability relative to other therapeutic agents. Specifically, in the first of these meta-analyses, which included two of the placebo-controlled studies of agomelatine, agomelatine was observed to have better efficacy and tolerability than certain standard-of-care drugs, such as selective serotonin-reuptake inhibitors, or SSRIs, which can result in sexual dysfunction and weight gain, and benzodiazepines, which can result in dependence and abuse. In the second of these meta-analyses, which included three of the placebo-controlled studies of agomelatine, agomelatine was found to be the most favorable drug in terms of both efficacy and tolerability among the analyzed competitors (venlafaxine, escitalopram, paroxetine, duloxetine, and pregabalin). However, despite this positive profile, over 90% of unmodified agomelatine is lost to first-pass liver metabolism and its use has been limited by dose-dependent liver enzyme elevations. Its label in both Australia and the EU requires liver function testing before initiating treatment, during treatment, and upon increasing the dose. Agomelatine is not approved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340" w:hanging="224"/>
        <w:spacing w:after="0" w:line="231" w:lineRule="auto"/>
        <w:tabs>
          <w:tab w:leader="none" w:pos="34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statements above relating to the placebo-controlled studies of agomelatine in GAD are based on the following, which represents a complete list of all placebo-controlled studies of agomelatine in GAD: Dan J. Stein, et al., Efficacy and safety of agomelatine (10 or 25 mg/day) in non-depressed out-patients with generalized anxiety disorder: A 12-week, double-blind, placebo-controlled study, European Neuropsychopharmacology, Volume 27, Issue 5, 2017 (also included in the meta-analyses); Dan J. Stein, et al., Agomelatine in Generalized Anxiety Disorder: An Active Comparator and Placebo-Controlled Study, J Clin Psychiatry 2014;75(4):362-368 (also included in the meta-analyses); Dan J. Stein, et al., Agomelatine Prevents Relapse in Generalized Anxiety Disorder: A 6-Month Randomized, Double-Blind, Placebo-Controlled Discontinuation Study, J Clin Psychiatry 2012;73(7):1002-1008; Dan J. Stein, et al., Journal of Clinical Psychopharmacology 28(5):p 561-566, October 2008 (also included in the meta-analyses).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Agomelatine Significantly Reduces Anxiety in Patients with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32061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Using our proprietary Glyph platform, GlyphAgo is designed to avoid first-pass liver metabolism and increase systemic exposure of agomelatine, enabling exposure levels of agomelatine that are effective in GAD but at a lower dose that reduces liver exposure and reduces or eliminates the need for liver function testing. Based on internal analyses, we believe a two-fold increase in the bioavailability of agomelatine with GlyphAgo dosing will reduce or eliminate liver enzyme elevations. In preclinical studies in NHPs we showed that oral dosing of GlyphAgo increased plasma exposure of agomelatine versus agomelatine alone above this two-fold target. Therefore, based on the data we have generated to date, we believe GlyphAgo has the potential to become a leading treatment for GAD. The ongoing Phase 1 trial will be conducted in multiple parts to evaluate the safety, tolerability, and pharmacokinetics of GlyphAgo and compare the pharmacokinetics of GlyphAgo to agomelatine alone. It will include single- and multiple-ascending dose cohorts, as well as a food-effect crossover portion, using both open-label and placebo-controlled designs. In April 2026, we reported topline data from the SAD and crossover portions of our Phase 1 proof-of-concept clinical trial of GlyphAgo. In the head-to-head crossover portion of the trial, GlyphAgo demonstrated a 6.8-fold increase in bioavailability of agomelatine compared to unmodified orally administered agomelatine. GlyphAgo also showed significantly lower (10-fold) PK variability compared to unmodified agomelatine. The crossover portion included participants who were taking estrogen-containing oral contraceptives that are known to increase agomelatine exposure due to liver drug-drug interaction. In contrast, GlyphAgo exposure was unaffected by oral contraceptives, further supporting the ability of GlyphAgo to bypass first-pass liver metabolism. GlyphAgo demonstrated a 9.6 to 14.5-fold increase in dose-normalized exposure compared to agomelatine in a separate SAD portion of the trial in which no participants were on oral contraceptives. GlyphAgo was well tolerated and no liver-related AEs were observed. We plan to initiate a Phase 2a proof-of-pharmacology trial designed to evaluate the potential sleep benefit of GlyphAgo in patients with GAD and sleep disturbance, with topline data expected in early 2028.</w:t>
      </w:r>
    </w:p>
    <w:p>
      <w:pPr>
        <w:spacing w:after="0" w:line="19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also plan to initiate in parallel, a randomized, double-blind, placebo-controlled Phase 2b trial evaluating the efficacy and safety of GlyphAgo in patients with GAD, with topline data expected by the end of 2028. This multiregional trial is designed to be registration-enabling, subject to review by the FDA and other comparable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regulatory authorities, as an adequate and well-controlled investigation that seeks to provide substantial evidence of effectiveness by assessing GlyphAgo’s efficacy and safety in several hundred patients. Although this trial is designed to be registration-enabling, additional clinical trials may be required prior to the submission of a new drug application even if this trial is successful or positive.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Although the development and commercialization of GlyphAgo for the treatment of GAD is our primary focus, as part of our longer-term growth strategy, we may evaluate GlyphAgo in other indications as well, including MDD.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Glyph2BLSD and Additional Applications of the Glyph Platform</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Glyph2BLSD is our novel, Glyphed oral prodrug of 2-bromo-LSD, a differentiated non-hallucinogenic neuroplastogen. Glyph2BLSD is designed to harness the differentiated and non-hallucinogenic profile of 2-bromo-LSD, which has rapidly acting clinical activity and is not expected to exhibit the fibrosis, cardiovascular effects, or hallucinations characteristic of some other neuroplastogens. Glyph2BLSD is designed to improve the pharmacokinetic and tolerability profile of 2-bromo-LSD while maintaining therapeutic exposure levels. Glyph2BLSD’s non-hallucinogenic profile unlocks the potential to enable convenient outpatient and repeat dosing to improve efficacy. We are advancing Glyph2BLSD through preclinical studies and are developing Glyph2BLSD for the treatment of depressive disorders, including TRD, PTSD, and headache disorders with significant unmet need. We are currently conducting first-in-human-enabling studies of Glyph2BLSD.</w:t>
      </w:r>
    </w:p>
    <w:p>
      <w:pPr>
        <w:spacing w:after="0" w:line="18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are also leveraging the power of the Glyph platform to explore additional applications in CNS and non-CNS diseases and advance programs that address significant unmet needs in these areas.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Seaport was founded by pioneers in the neuropsychiatry field and is led by a team of seasoned industry veterans with a shared mission to transform the treatment of neuropsychiatric disorders and improve patients’ lives. We have assembled an experienced group of individuals with a proven track record of building successful companies that have developed and commercialized innovative neuropsychiatric medicines. Members of our leadership team have collaborated successfully over several decades on the discovery, development, and commercialization of neuropsychiatric medicines including Cobenfy, Latuda, Zyprexa, Cymbalta, and Zurzuvae. Our co-founders, Daphne Zohar, and Dr. Steven Paul, were central to the success of Karuna Therapeutics, which invented and advanced the first-in-class medicine Cobenfy, and was acquired by Bristol Myers Squibb in March 2024 for $14 billion. Cobenfy was approved by the FDA in September 2024 and is the first drug to provide a new mechanism of action for schizophrenia in over 30 years. Cobenfy is estimated to achieve annual peak sales of over $5 billion. The core members of our leadership team include:</w:t>
      </w:r>
    </w:p>
    <w:p>
      <w:pPr>
        <w:spacing w:after="0" w:line="93" w:lineRule="exact"/>
        <w:rPr>
          <w:sz w:val="20"/>
          <w:szCs w:val="20"/>
          <w:color w:val="auto"/>
        </w:rPr>
      </w:pPr>
    </w:p>
    <w:p>
      <w:pPr>
        <w:ind w:left="1080" w:right="120" w:hanging="424"/>
        <w:spacing w:after="0" w:line="273" w:lineRule="auto"/>
        <w:tabs>
          <w:tab w:leader="none" w:pos="10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Daphne Zohar</w:t>
      </w:r>
      <w:r>
        <w:rPr>
          <w:rFonts w:ascii="Times New Roman" w:cs="Times New Roman" w:eastAsia="Times New Roman" w:hAnsi="Times New Roman"/>
          <w:sz w:val="17"/>
          <w:szCs w:val="17"/>
          <w:color w:val="auto"/>
        </w:rPr>
        <w:t>, Founder, Chief Executive Officer and Board Member, previously founded and led PureTech Health for 20 years as CEO.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She also co-founded PureTech’s entities, including Karuna Therapeutics, which was acquired by Bristol Myers Squibb for $14 billion. Ms. Zohar was a key driver in PureTech’s productive R&amp;D engine, which led to 28 new medicines and a clinical success rate at PureTech and founded entities that was around six times better than the industry average during her tenure. PureTech programs, including Cobenfy (invented at PureTech) and deupirfenidone, met with clinical success pursuing the same three pillar strategy of identifying clinically validated medicines with previous issues that held back their development, applying new technology to address previous limitations, and leveraging the team’s expertise to optimize the design and execution of clinical trials and drive successful business outcomes.</w:t>
      </w:r>
    </w:p>
    <w:p>
      <w:pPr>
        <w:spacing w:after="0" w:line="76" w:lineRule="exact"/>
        <w:rPr>
          <w:rFonts w:ascii="Times New Roman" w:cs="Times New Roman" w:eastAsia="Times New Roman" w:hAnsi="Times New Roman"/>
          <w:sz w:val="17"/>
          <w:szCs w:val="17"/>
          <w:color w:val="auto"/>
        </w:rPr>
      </w:pPr>
    </w:p>
    <w:p>
      <w:pPr>
        <w:ind w:left="1080" w:right="40" w:hanging="424"/>
        <w:spacing w:after="0" w:line="26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Steven Paul, M.D., </w:t>
      </w:r>
      <w:r>
        <w:rPr>
          <w:rFonts w:ascii="Times New Roman" w:cs="Times New Roman" w:eastAsia="Times New Roman" w:hAnsi="Times New Roman"/>
          <w:sz w:val="18"/>
          <w:szCs w:val="18"/>
          <w:color w:val="auto"/>
        </w:rPr>
        <w:t>Co-founder and the Chair of the board of directors, brings over 40 years of experience as a physician-scientist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specializing in CNS drug discovery and development and was previously the President, Chief Executive Officer, and Chair of the Board and Chief Scientific Officer and President of Research and Development at Karuna Therapeutics. He was also formerly the Executive Vice President for Science and Technology and President of the Lilly Research Laboratories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at Eli Lilly. Prior to his tenure at Eli Lilly, Dr. Paul spent 18 years at the National Institute of Health and served as the Scientific Director of the National Institute of Mental Health. Dr. Paul played a key role in the development of several important neuropsychiatric drugs, including Zyprexa, Cymbalta, Cobenfy, and Zurzuvae.</w:t>
      </w:r>
    </w:p>
    <w:p>
      <w:pPr>
        <w:spacing w:after="0" w:line="77" w:lineRule="exact"/>
        <w:rPr>
          <w:sz w:val="20"/>
          <w:szCs w:val="20"/>
          <w:color w:val="auto"/>
        </w:rPr>
      </w:pPr>
    </w:p>
    <w:p>
      <w:pPr>
        <w:ind w:left="1080" w:right="60" w:hanging="424"/>
        <w:spacing w:after="0" w:line="259"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Antony Loebel, M.D.</w:t>
      </w:r>
      <w:r>
        <w:rPr>
          <w:rFonts w:ascii="Times New Roman" w:cs="Times New Roman" w:eastAsia="Times New Roman" w:hAnsi="Times New Roman"/>
          <w:sz w:val="18"/>
          <w:szCs w:val="18"/>
          <w:color w:val="auto"/>
        </w:rPr>
        <w:t>, Chief Medical Officer and President of Clinical Development, brings over 20 years of leadership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industry and is a board-certified psychiatrist. He was formerly the President and Chief Executive Officer and Chief Medical Officer of Sunovion Pharmaceuticals. Dr. Loebel was instrumental in the growth of Sunovion to a company with over $3.5 billion in total revenue and played a key role in the development and commercialization of Latuda for the treatment of patients with bipolar depression and schizophrenia.</w:t>
      </w:r>
    </w:p>
    <w:p>
      <w:pPr>
        <w:spacing w:after="0" w:line="84"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Michael Chen, Ph.D.</w:t>
      </w:r>
      <w:r>
        <w:rPr>
          <w:rFonts w:ascii="Times New Roman" w:cs="Times New Roman" w:eastAsia="Times New Roman" w:hAnsi="Times New Roman"/>
          <w:sz w:val="18"/>
          <w:szCs w:val="18"/>
          <w:color w:val="auto"/>
        </w:rPr>
        <w:t>, Co-founder and Chief Scientific Officer, has over 20 years of experience in various research and leadership roles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neuropsychiatry field. He was formerly the Head of Innovation at PureTech Health where he oversaw the rapid advancement of neuropsychiatric medicines and Glyph platform translation and validation that led to the founding of Seaport Therapeutics. At PureTech, Dr. Chen played a key role in the clinical advancement of deupirfenidone, which recently demonstrated strong and durable efficacy with favorable tolerability as a monotherapy in a Phase 2b trial in idiopathic pulmonary fibrosis. Dr. Chen was previously Co-founder and Head of Research and Strategy at Sonde Health, a leader in voice-based health monitoring developing artificial intelligence powered-vocal biomarkers for depression and other neuropsychiatric disorders.</w:t>
      </w:r>
    </w:p>
    <w:p>
      <w:pPr>
        <w:spacing w:after="0" w:line="88" w:lineRule="exact"/>
        <w:rPr>
          <w:rFonts w:ascii="Times New Roman" w:cs="Times New Roman" w:eastAsia="Times New Roman" w:hAnsi="Times New Roman"/>
          <w:sz w:val="18"/>
          <w:szCs w:val="18"/>
          <w:color w:val="auto"/>
        </w:rPr>
      </w:pPr>
    </w:p>
    <w:p>
      <w:pPr>
        <w:ind w:left="1080" w:right="180" w:hanging="424"/>
        <w:spacing w:after="0" w:line="278" w:lineRule="auto"/>
        <w:tabs>
          <w:tab w:leader="none" w:pos="10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Lauren White</w:t>
      </w:r>
      <w:r>
        <w:rPr>
          <w:rFonts w:ascii="Times New Roman" w:cs="Times New Roman" w:eastAsia="Times New Roman" w:hAnsi="Times New Roman"/>
          <w:sz w:val="17"/>
          <w:szCs w:val="17"/>
          <w:color w:val="auto"/>
        </w:rPr>
        <w:t>, Chief Financial Officer, has over 22 years of corporate finance, accounting, strategic partnering and investor relations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Most recently, she served as the Chief Financial Officer at ImmunoGen prior to and through its acquisition by AbbVie for $10.1 billion in 2024. Before that she was the Chief Financial Officer, Treasurer, and Principal Accounting Officer at C4 Therapeutics, responsible for developing and leading the company’s financial and capital strategies. Prior to that, Ms. White spent ten years at Novartis in various finance roles. Ms. White started her career at General Electric and Boston Consulting Group in strategy and marketing roles.</w:t>
      </w:r>
    </w:p>
    <w:p>
      <w:pPr>
        <w:spacing w:after="0" w:line="69" w:lineRule="exact"/>
        <w:rPr>
          <w:rFonts w:ascii="Times New Roman" w:cs="Times New Roman" w:eastAsia="Times New Roman" w:hAnsi="Times New Roman"/>
          <w:sz w:val="17"/>
          <w:szCs w:val="17"/>
          <w:color w:val="auto"/>
        </w:rPr>
      </w:pPr>
    </w:p>
    <w:p>
      <w:pPr>
        <w:ind w:left="1080" w:right="160" w:hanging="424"/>
        <w:spacing w:after="0" w:line="282" w:lineRule="auto"/>
        <w:tabs>
          <w:tab w:leader="none" w:pos="10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Lana Gladstein, J.D.</w:t>
      </w:r>
      <w:r>
        <w:rPr>
          <w:rFonts w:ascii="Times New Roman" w:cs="Times New Roman" w:eastAsia="Times New Roman" w:hAnsi="Times New Roman"/>
          <w:sz w:val="17"/>
          <w:szCs w:val="17"/>
          <w:color w:val="auto"/>
        </w:rPr>
        <w:t>, General Counsel, has over 25 years of legal expertise including corporate governance and M&amp;A transactions,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licensing and partnerships, and intellectual property matters. Most recently, Ms. Gladstein was the Group General Counsel at APRINOIA Therapeutics, a clinical-stage company developing therapeutics and diagnostics for neurodegenerative diseases. Prior to APRINOIA, she was Chief Legal Officer at Arranta Bio and Executive Vice President and General Counsel at Brammer Bio until their acquisitions.</w:t>
      </w:r>
    </w:p>
    <w:p>
      <w:pPr>
        <w:spacing w:after="0" w:line="16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brings together seasoned leaders in the biopharmaceutical industry, with expertise spanning neuropsychiatry research and development, regulatory affairs, financial operations, and commercialization. Our team is united by a shared commitment to develop transformative treatments for patients to address the significant unmet need in neuropsychiatry. Despite the prior experience of our team, our limited operating history as a standalone company makes any reliance on past performance uncertain.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we have raised $325 million in net proceeds from leading life science investors, including shareholders with holdings greater than 5%: ARCH Venture Partners, General Atlantic, Sofinnova Investments, Third Rock Ventures, and our founder, PureTech. Prospective investors should not rely on the investment decisions of our existing investors, as these investors may have different risk tolerances and in certain cases received their shares in prior offerings at prices lower than the price offered to the public in this offering. See the sections titled “Certain Relationships and Related Person Transactions” and “Principal Stockholders” for more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founded our company with a mission to develop life-changing treatments for patients with depression, anxiety, and other neuropsychiatric disorders. The key elements of our business strategy are to:</w:t>
      </w:r>
    </w:p>
    <w:p>
      <w:pPr>
        <w:spacing w:after="0" w:line="63" w:lineRule="exact"/>
        <w:rPr>
          <w:sz w:val="20"/>
          <w:szCs w:val="20"/>
          <w:color w:val="auto"/>
        </w:rPr>
      </w:pPr>
    </w:p>
    <w:p>
      <w:pPr>
        <w:ind w:left="1080" w:right="20" w:hanging="424"/>
        <w:spacing w:after="0" w:line="25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Successfully advance GlyphAllo through clinical development for the treatment of patients with MDD with or without anxious distress</w:t>
      </w:r>
      <w:r>
        <w:rPr>
          <w:rFonts w:ascii="Times New Roman" w:cs="Times New Roman" w:eastAsia="Times New Roman" w:hAnsi="Times New Roman"/>
          <w:sz w:val="18"/>
          <w:szCs w:val="18"/>
          <w:color w:val="auto"/>
        </w:rPr>
        <w:t>. GlyphAllo is a novel, Glyphed oral prodrug of allopregnanolone, an endogenous molecule that has been clinically validated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third-party trials as a rapidly acting antidepressant with anxiolytic and sleep-promoting effects. GlyphAllo is designed to overcome bioavailability limitations of allopregnanolone and deliver rapid and durable efficacy in MDD. We have demonstrated in a Phase 1 clinical trial that GlyphAllo reaches therapeutically relevant exposures with oral dosing, and in a Phase 2a clinical trial, GlyphAllo demonstrated initial proof-of-concept with an objective biomarker of stress in healthy volunteers and a favorable tolerability profile that supports chronic dosing. We have initiated the Phase 2b BUOY-1 trial in patients with MDD with or without anxious distress and anticipate topline data in the first half of 2027.</w:t>
      </w:r>
    </w:p>
    <w:p>
      <w:pPr>
        <w:spacing w:after="0" w:line="90"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Successfully advance GlyphAgo through clinical development for the treatment of patients with GAD</w:t>
      </w:r>
      <w:r>
        <w:rPr>
          <w:rFonts w:ascii="Times New Roman" w:cs="Times New Roman" w:eastAsia="Times New Roman" w:hAnsi="Times New Roman"/>
          <w:sz w:val="18"/>
          <w:szCs w:val="18"/>
          <w:color w:val="auto"/>
        </w:rPr>
        <w:t>. GlyphAgo is a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Glyphed oral prodrug of agomelatine, a clinically validated anxiolytic and antidepressant that is approved for the treatment of GAD in Australia and MDD in Australia and the EU. Due to extensive first-pass metabolism, agomelatine can cause dose-dependent liver enzyme elevations, and its use has been limited by the need for frequent liver function testing. GlyphAgo is designed to overcome this limitation by avoiding first-pass metabolism and achieving therapeutic exposures of agomelatine while reducing or eliminating the need for liver monitoring. In April 2026, we reported topline data from the SAD and crossover portions of our Phase 1 proof-of-concept clinical trial for GlyphAgo. In the head-to-head crossover portion of the trial, GlyphAgo demonstrated a 6.8-fold increase in bioavailability of agomelatine compared to unmodified orally administered agomelatine, and showed significantly lower (10-fold) pharmacokinetic variability compared to unmodified agomelatine. In the SAD portion of the trial, GlyphAgo demonstrated a 9.6 to 14.5-fold increase in dose-normalized exposure compared to agomelatine. GlyphAgo was well-tolerated and no liver-related AEs were observed. We plan to initiate a Phase 2a proof-of-pharmacology trial designed to evaluate the potential sleep benefit of GlyphAgo in patients with GAD and sleep disturbance, with topline data expected in early 2028 and, in parallel, a Phase 2b trial designed to evaluate the efficacy and safety of GlyphAgo in patients with GAD, with topline data expected by the end of 2028.</w:t>
      </w:r>
    </w:p>
    <w:p>
      <w:pPr>
        <w:spacing w:after="0" w:line="92"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 a robust pipeline of differentiated programs for neuropsychiatric and other CNS disorders by leveraging our Glyph platform</w:t>
      </w:r>
      <w:r>
        <w:rPr>
          <w:rFonts w:ascii="Times New Roman" w:cs="Times New Roman" w:eastAsia="Times New Roman" w:hAnsi="Times New Roman"/>
          <w:sz w:val="18"/>
          <w:szCs w:val="18"/>
          <w:color w:val="auto"/>
        </w:rPr>
        <w:t>. We have used Glyph to create over 24 different small molecules based on the broad compatibility of our platform with a 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small molecule physicochemical properties. Given the novel prodrug modifications to these drugs and resulting improvements in drug properties, we create new composition of matter intellectual property for these therapies. In addition to GlyphAllo and GlyphAgo, we have multiple preclinical programs, including Glyph2BLSD, and are also evaluating the application of our Glyph platform in therapeutic areas beyond neuropsychiatry. Our team has a track record of building revolutionary biopharmaceutical companies that have developed successful medicines for neuropsychiatric disorders, and we believe that our scientific expertise and world-class technical capabilities will enable us to identify and develop high value targets in the future.</w:t>
      </w:r>
    </w:p>
    <w:p>
      <w:pPr>
        <w:spacing w:after="0" w:line="90" w:lineRule="exact"/>
        <w:rPr>
          <w:rFonts w:ascii="Times New Roman" w:cs="Times New Roman" w:eastAsia="Times New Roman" w:hAnsi="Times New Roman"/>
          <w:sz w:val="18"/>
          <w:szCs w:val="18"/>
          <w:color w:val="auto"/>
        </w:rPr>
      </w:pPr>
    </w:p>
    <w:p>
      <w:pPr>
        <w:ind w:left="1080" w:right="320" w:hanging="424"/>
        <w:spacing w:after="0" w:line="256"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Opportunistically pursue strategic partnerships to maximize the value of our Glyph platform. </w:t>
      </w:r>
      <w:r>
        <w:rPr>
          <w:rFonts w:ascii="Times New Roman" w:cs="Times New Roman" w:eastAsia="Times New Roman" w:hAnsi="Times New Roman"/>
          <w:sz w:val="18"/>
          <w:szCs w:val="18"/>
          <w:color w:val="auto"/>
        </w:rPr>
        <w:t>We have exclusive global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and commercialize our product candidates and pursue various discovery programs using our Glyph platform. We may seek strategic collaborations where we believe the resources and expertise of third-party biopharmaceutical companies could accelerate the clinical development or maximize the commercial potential of our product candidates and/or discovery programs, or where such collaborations could expand the capabilities of our Glyph platform. We may also opportunistically evaluate partnerships in therapeutic areas outside neuropsychiatry where our Glyph platform has demonstrated potential applicability, such as oncology, immunology and inflammation, metabolic disease, and obesity.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Unmet Patient Need in Neuropsychiatry</w:t>
      </w:r>
    </w:p>
    <w:p>
      <w:pPr>
        <w:spacing w:after="0" w:line="121" w:lineRule="exact"/>
        <w:rPr>
          <w:sz w:val="20"/>
          <w:szCs w:val="20"/>
          <w:color w:val="auto"/>
        </w:rPr>
      </w:pPr>
    </w:p>
    <w:p>
      <w:pPr>
        <w:ind w:left="120" w:right="440" w:firstLine="440"/>
        <w:spacing w:after="0" w:line="276" w:lineRule="auto"/>
        <w:rPr>
          <w:sz w:val="20"/>
          <w:szCs w:val="20"/>
          <w:color w:val="auto"/>
        </w:rPr>
      </w:pPr>
      <w:r>
        <w:rPr>
          <w:rFonts w:ascii="Times New Roman" w:cs="Times New Roman" w:eastAsia="Times New Roman" w:hAnsi="Times New Roman"/>
          <w:sz w:val="17"/>
          <w:szCs w:val="17"/>
          <w:color w:val="auto"/>
        </w:rPr>
        <w:t>According to the World Health Organization, as of 2021, depression affects approximately 332 million people worldwide and anxiety affects approximately 359 million people worldwide. Quality of life can be severely impacted and the societal economic burden of MDD totals over</w:t>
      </w:r>
    </w:p>
    <w:p>
      <w:pPr>
        <w:spacing w:after="0" w:line="1"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$300 billion in the United States alone as of 2023. According to the National Institute of Mental Health, MDD affects approximately 21 million adults in the United States, as of 2021. According to the National Institute of Mental Health, approximately 4 in 10 people with MDD do not receive treatment, and for those that do, currently approved drugs often have significant limitations, including modest efficacy, slow onset of action, and unfavorable side effects. Anxiety disorders are even more prevalent than MDD and affect approximately 350 million people worldwide. Of these, approximately</w:t>
      </w:r>
    </w:p>
    <w:p>
      <w:pPr>
        <w:spacing w:after="0" w:line="2" w:lineRule="exact"/>
        <w:rPr>
          <w:sz w:val="20"/>
          <w:szCs w:val="20"/>
          <w:color w:val="auto"/>
        </w:rPr>
      </w:pPr>
    </w:p>
    <w:p>
      <w:pPr>
        <w:ind w:left="120" w:right="240"/>
        <w:spacing w:after="0" w:line="255" w:lineRule="auto"/>
        <w:rPr>
          <w:sz w:val="20"/>
          <w:szCs w:val="20"/>
          <w:color w:val="auto"/>
        </w:rPr>
      </w:pPr>
      <w:r>
        <w:rPr>
          <w:rFonts w:ascii="Times New Roman" w:cs="Times New Roman" w:eastAsia="Times New Roman" w:hAnsi="Times New Roman"/>
          <w:sz w:val="18"/>
          <w:szCs w:val="18"/>
          <w:color w:val="auto"/>
        </w:rPr>
        <w:t>100 million adults suffer from GAD, including more than seven million adults in the United States, according to JAMA Psychiatry, as of 2017. There have been no new therapies approved for GAD in almost two decades, and the medicines currently used for GAD have modest efficacy, slow onset, and/or unfavorable side effects.</w:t>
      </w:r>
    </w:p>
    <w:p>
      <w:pPr>
        <w:spacing w:after="0" w:line="186"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Despite the shortcomings of existing therapies, there has been limited innovation in neuropsychiatric treatment options over the last 30 years and there remains a significant need for novel mechanisms and additional treatment options. The unmet need for improved therapies to treat depression and anxiety is so great that even approved drugs with limited efficacy and significant tolerability issues have become widely prescribed drugs. For instance, standard-of-care therapies, such as Zoloft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Zyprexa, and Cymbalta, have each generated $3 billion to $5 billion in peak annual sales between 2005 and 2012, despite significant limitations, such as modest efficacy, slow onset, and undesirable side effects. SSRIs and serotonin-norepinephrine reuptake inhibitors, or SNRIs, both first-line treatments for MDD and GAD, can take weeks to improve symptoms, and often do not lead to complete remission of symptoms. In addition, patients with MDD with anxious distress, a subtype of MDD representing approximately 60% of patients with MDD, have even lower rates of treatment response and remission, and there are no approved therapies indicated for MDD with anxious distress. Patients with MDD have an increased likelihood of both suicidal ideation and suicide attempts, which is further increased in patients with MDD with anxious distress. Even for patients who benefit from standard-of-care drugs, many experience challenging side effects, such as unintended weight gain, sexual dysfunction, and sleep disturbances.</w:t>
      </w:r>
    </w:p>
    <w:p>
      <w:pPr>
        <w:spacing w:after="0" w:line="20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GAD is characterized by excessive anxiety and worry that is difficult to control, and presents with associated symptoms such as restlessness, sleep disturbance, and irritability. More than half of GAD patients are untreated, and of those that are treated, only half respond to standard-of-care treatments like SSRIs and SNRIs. Current therapies provide limited efficacy and can cause significant adverse effects, including weight gain, sexual dysfunction, and sleep disturbances. There is a clear unmet need for novel therapies that provide improved efficacy and reduce unfavorable side effects for patients suffering from GAD.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Challenges in Neuropsychiatric Drug Development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Despite the significant unmet need in neuropsychiatry, over 90% of neuropsychiatry product candidates fail in clinical trials, according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Biotechnology Innovation Organization. The challenges that have held back the development of novel treatments for neuropsychiatric disorders include:</w:t>
      </w:r>
    </w:p>
    <w:p>
      <w:pPr>
        <w:spacing w:after="0" w:line="108" w:lineRule="exact"/>
        <w:rPr>
          <w:sz w:val="20"/>
          <w:szCs w:val="20"/>
          <w:color w:val="auto"/>
        </w:rPr>
      </w:pPr>
    </w:p>
    <w:p>
      <w:pPr>
        <w:jc w:val="both"/>
        <w:ind w:left="1080" w:right="80" w:hanging="424"/>
        <w:spacing w:after="0" w:line="268"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Fundamental pathophysiology is unknown: </w:t>
      </w:r>
      <w:r>
        <w:rPr>
          <w:rFonts w:ascii="Times New Roman" w:cs="Times New Roman" w:eastAsia="Times New Roman" w:hAnsi="Times New Roman"/>
          <w:sz w:val="18"/>
          <w:szCs w:val="18"/>
          <w:color w:val="auto"/>
        </w:rPr>
        <w:t>High failure rates in clinical trials evaluating investigational therapies without prior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validation can reflect an incomplete understanding of the underlying pathophysiology of depression and anxiety. Translation of data from animal models to humans is difficult due to the complexity of the CNS.</w:t>
      </w:r>
    </w:p>
    <w:p>
      <w:pPr>
        <w:spacing w:after="0" w:line="76" w:lineRule="exact"/>
        <w:rPr>
          <w:rFonts w:ascii="Times New Roman" w:cs="Times New Roman" w:eastAsia="Times New Roman" w:hAnsi="Times New Roman"/>
          <w:sz w:val="18"/>
          <w:szCs w:val="18"/>
          <w:color w:val="auto"/>
        </w:rPr>
      </w:pPr>
    </w:p>
    <w:p>
      <w:pPr>
        <w:ind w:left="1080" w:right="260" w:hanging="424"/>
        <w:spacing w:after="0" w:line="28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Poor drug-like properties: </w:t>
      </w:r>
      <w:r>
        <w:rPr>
          <w:rFonts w:ascii="Times New Roman" w:cs="Times New Roman" w:eastAsia="Times New Roman" w:hAnsi="Times New Roman"/>
          <w:sz w:val="18"/>
          <w:szCs w:val="18"/>
          <w:color w:val="auto"/>
        </w:rPr>
        <w:t>Drugs for neuropsychiatric disorders have had low oral bioavailability and/or significant side effects due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to poor drug-like properties, often due to high first-pass metabolism in the liver.</w:t>
      </w:r>
    </w:p>
    <w:p>
      <w:pPr>
        <w:spacing w:after="0" w:line="60"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Challenges with clinical trial design and execution: </w:t>
      </w:r>
      <w:r>
        <w:rPr>
          <w:rFonts w:ascii="Times New Roman" w:cs="Times New Roman" w:eastAsia="Times New Roman" w:hAnsi="Times New Roman"/>
          <w:sz w:val="18"/>
          <w:szCs w:val="18"/>
          <w:color w:val="auto"/>
        </w:rPr>
        <w:t>Suboptimal trial design and execution of neuropsychiatry clinical trials can lead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failed studies and prevent drug approvals. A key challenge in neuropsychiatry clinical development is the placebo effect, which can be impacted by the frequency of</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640"/>
        <w:spacing w:after="0" w:line="282" w:lineRule="auto"/>
        <w:rPr>
          <w:sz w:val="20"/>
          <w:szCs w:val="20"/>
          <w:color w:val="auto"/>
        </w:rPr>
      </w:pPr>
      <w:r>
        <w:rPr>
          <w:rFonts w:ascii="Times New Roman" w:cs="Times New Roman" w:eastAsia="Times New Roman" w:hAnsi="Times New Roman"/>
          <w:sz w:val="18"/>
          <w:szCs w:val="18"/>
          <w:color w:val="auto"/>
        </w:rPr>
        <w:t>clinician-administered assessments, the number of treatment arms, the number of sites, and the inclusion of inappropriate patients, including those with inflated baseline ratings and those who are concurrently participating in other studies.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Differentiated Approach</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uniquely positioned to develop novel medicines that will make a significant impact for patients and their families through our differentiated, three-pillar approach: 1) identify clinically validated mechanisms held back by issues that can be addressed by our proprietary Glyph platform, 2) create novel medicines with strong intellectual property using Glyph, and 3) apply our team’s expertise to optimize the design and execution of clinical trials and drive successful business outcomes. We believe our approach will enable us to develop transformative treatments for patients and build a leading neuropsychiatry company.</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Identify clinically validated mechanisms held back by issues that can be addressed by our proprietary Glyph platform.</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use our team’s deep expertise in neuropsychiatry drug discovery and development to analyze data generated from prior clinical trials of investigational therapies for depression, anxiety, and other neuropsychiatric disorders. Of the investigational therapies that have demonstrated clinical efficacy, we analyze the factors that have held these molecules back from achieving regulatory or commercial success and identify those that we can address with our Glyph platform, including poor oral bioavailability and/or liver-related adverse events.</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select product candidates that have the potential to become high-impact, leading therapies and design and conduct early proof-of-concept studies that address key development questions and validate the fundamental hypotheses underlying each program. Molecules that meet all the above criteria become candidates for our Glyph platform.</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2) Create novel medicines with strong intellectual property using Glyph.</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Glyph is a lymphatic-targeting prodrug platform that has shown clinical proof of concept in our Phase 1 and Phase 2a clinical trials of GlyphAllo. We can apply Glyph to molecules to overcome limitations such as low oral bioavailability, liver related adverse events, and other side effects. Importantly, every time we Glyph a molecule, it results in the creation of a novel molecule and, therefore, new composition of matter intellectual property.</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development of the Glyph platform has been a culmination of over 50 years of work since researchers began exploring the potential of lymphatic transport to improve drug delivery. Since the 1970s, research has been conducted on highly lipophilic molecules, or molecules that can be dissolved in lipids or fats, that could take advantage of the lymphatic route to bypass first-pass metabolism and target lymphatic tissues. However, this approach was limited by the need for chemical properties like lipophilicity, which can negatively affect drug absorption and metabolism. To overcome these limitations, Dr. Christopher Porter, the co-inventor of Glyph and Director of the Monash Institute of Pharmaceutical Sciences, advanced cleavable prodrugs with lipophilic moieties to promote lymphatic transport and the release of parent drug. Simple triglyceride-based prodrugs with direct conjugation of a desired drug with a lipophilic moiety were explored but did not fully capture the potential of lymphatic targeting prodrugs.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Dr. Porter, in collaboration with our Head of Chemistry, Dr. Jamie Simpson, then invented our Glyph platform, which advanced the creation of a new type of prodrug that significantly improved lymphatic transport. This proprietary prodrug chemistry is designed to promote enhanced lymphatic uptake while maintaining gut stability and the release of the parent drug. Our Glyph platform enables the design of various linkers, glyceride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moieties, and self-immolative groups tailored for each active pharmaceutical ingredient, or API, candidate, to allow for the release of the API. An illustration of an exemplary lymphatic targeting lipid prodrug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22802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949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taken orally, conventional small molecule drugs are absorbed in the gut, enter the portal vein, and travel to the liver, where they can undergo high first-pass metabolism before entering systemic circulation. This can result in low bioavailability, or very little of the drug actually circulating in the body or brain and can also increase the risk of liver-related adverse events. In contrast, dietary fats enter systemic circulation through a completely different pathway: they enter the mesenteric lymphatic system of the gut and traffic into the thoracic duct, bypassing the liver on their way into systemic circulation. With Glyph, we cloak drugs so that the body recognizes them as if they were dietary fats, and traffics them through the lymphatic system, avoiding the liver and transporting them directly into the bloodstream. This improves a molecule’s bioavailability and thereby enables drugs that otherwise need to be given intravenously, to be dosed orally. Glyph also helps to overcome other issues—such as liver toxicity—by avoiding the liver on the first pass and reducing dose while maintaining therapeutic exposure levels. Glyph is, to our knowledge, the only clinically validated lymphatic-targeting platform. Previous examples of oral lymphatic-targeting therapies have yet to result in efficient lymphatic transport, generalized across molecules, or translated to humans.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pioneered the use of preclinical models to test and validate our lymphatic transport approach. We are able to use a streamlined series of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assays, which are efficient, repeatable, and highly translatable, and customize prodrug chemistry to each unique active drug.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translatability of these models is illustrated by our GlyphAllo program, which was predicted to have enhanced bioavailability based on our preclinical data. This was confirmed in a Phase 1 trial of GlyphAllo in healthy volunteers, which demonstrated therapeutically relevant exposures following dosing of GlyphAllo.</w:t>
      </w:r>
    </w:p>
    <w:p>
      <w:pPr>
        <w:spacing w:after="0" w:line="185"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have used Glyph to create over 24 different small molecules based on our Glyph platform’s compatibility with a range of physiochemical properties of small molecules. Our Glyph platform can be used with a range of small molecules, including for indications beyond neuropsychiatry, including oncology, immunology and inflammation, metabolic disease, and obesity.</w:t>
      </w:r>
    </w:p>
    <w:p>
      <w:pPr>
        <w:spacing w:after="0" w:line="1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3) Apply our team’s expertise to optimize the design and execution of clinical trials and drive successful business outcomes.</w:t>
      </w:r>
    </w:p>
    <w:p>
      <w:pPr>
        <w:spacing w:after="0" w:line="229" w:lineRule="exact"/>
        <w:rPr>
          <w:sz w:val="20"/>
          <w:szCs w:val="20"/>
          <w:color w:val="auto"/>
        </w:rPr>
      </w:pPr>
    </w:p>
    <w:p>
      <w:pPr>
        <w:ind w:left="120" w:right="880" w:firstLine="440"/>
        <w:spacing w:after="0" w:line="282" w:lineRule="auto"/>
        <w:rPr>
          <w:sz w:val="20"/>
          <w:szCs w:val="20"/>
          <w:color w:val="auto"/>
        </w:rPr>
      </w:pPr>
      <w:r>
        <w:rPr>
          <w:rFonts w:ascii="Times New Roman" w:cs="Times New Roman" w:eastAsia="Times New Roman" w:hAnsi="Times New Roman"/>
          <w:sz w:val="18"/>
          <w:szCs w:val="18"/>
          <w:color w:val="auto"/>
        </w:rPr>
        <w:t>Our experienced team has a proven track record of building successful companies that have developed and commercialized innovative neuropsychiatric medicines. We are led by the team that discovered and advanced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Cobenfy, which was first approved by the FDA in September 2024 and is the first new mechanism in over 30 years for patients living with schizophrenia. Within each of our programs, we are implementing key learnings from our collective experience to improve the probability of success. For instance, to optimize the design and execution of the Phase 2b BUOY-1 trial of GlyphAllo in MDD, we aim to implement learnings from the prior trials of allopregnanolone and its synthetic analogs such as zuranolone. These include key design elements to improve durable efficacy and reduce the placebo effect, namely treating patients for the full duration of the primary endpoint, limiting the frequency of clinical assessments, randomizing patients 1:1 to either a single active treatment arm or placebo, and using rigorous patient inclusion criteria. Our strategy to optimize the frequency of clinical assessments is supported by a recent meta-analysis we conducted of major MDD trials over the last 10 years to identify clinical design factors associated with the magnitude of the placebo response. A key finding from this analysis was that the number and frequency of clinician-administered assessments were significantly associated with greater placebo response. Thus, reducing the number and frequency of clinician-administered assessments may decrease the placebo response in MDD trials.</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the key design elements we are incorporating into our clinical trials to improve durable efficacy and minimize the placebo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131445</wp:posOffset>
            </wp:positionV>
            <wp:extent cx="4612005" cy="254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1200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are leveraging our Glyph platform to advance a pipeline of novel candidates to address the significant unmet need for patients with depression and anxiety. Our lead product candidates include GlyphAllo for the treatment of MDD and GlyphAgo for the treatment of GAD.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GlyphAllo: Potential Differentiated Therapy for MDD</w:t>
      </w:r>
    </w:p>
    <w:p>
      <w:pPr>
        <w:spacing w:after="0" w:line="3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an endogenous neurosteroid and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PAM that has been clinically validated in two third-party trials, which were sponsored by Sage Therapeutics in the United States for the treatment of PPD and powered for statistical significance, as a rapidly acting antidepressant with anxiolytic and sleep-promoting effects. In each trial, allopregnanolone demonstrated statistically significant results on the primary endpoint of change in baseline at 60 hours in the HAMD-17. However, its scope of clinical use has been constrained by oral bioavailability limitations that the Glyph platform is uniquely designed to solve.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currently advancing GlyphAllo in the Phase 2b BUOY-1 trial in MDD with or without anxious distress, that we believe will be registration-enabling, subject to review by the FDA and/or other comparable regulatory authorities, as the trial is an adequate and well-controlled investigation that seeks to help provide substantial evidence of effectiveness by definitively assessing GlyphAllo’s efficacy and safety in several hundred patients. We believe that GlyphAllo has the potential to be a leading treatment for MDD.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Background on MDD and Market Opportunity</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MDD is one of the most disabling neuropsychiatric disorders and ranks among the leading causes of disease burden worldwide. As of 2023, 29% of adults in the United States reported having been diagnosed with depression at some point in their life, more than diabetes (16%) or chronic kidney disease (14%). Depression is often characterized by persistent low mood or anhedonia—loss of interest in normally enjoyable activities—as well as changes in sleep, appetite, cognition, psychomotor function, fatigue, feelings of worthlessness, inappropriate guilt, or suicidal ideation. Depression can be debilitating to daily functioning, including school, work, and interpersonal relationships, and it significantly reduces quality of life. Individuals with depression are 20 times more likely to commit suicide than those without depression. In 2022, suicide was the second leading cause of death for people ages 10-14 and 20-34, and the third leading cause of death for people ages 15-19.</w:t>
      </w:r>
    </w:p>
    <w:p>
      <w:pPr>
        <w:spacing w:after="0" w:line="189"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MDD is a highly heterogeneous disease that manifests in myriad ways, with variations in symptoms, severity, and duration. Furthermore, the underlying causes are multifaceted, encompassing genetic, biological, environmental, and psychological factors. For example, according to The American Journal of Psychiatry, more than half of adults diagnosed with MDD also experience notable concurrent anxiety. Individuals with MDD with anxious distress have worse depressive symptoms, higher likelihood of suicidal ideation, and attempted suicide, increased functional and physical impairment, reduced quality of life, and lower response to treatments for MDD. In recognition of the clinical impact of anxious distress, the DSM-5 added in 2013 a specifier for anxious distress in the context of MDD. There are no drugs specifically approved for MDD patients with anxious distress.</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Limitations of the Current Standard of Care in MDD</w:t>
      </w:r>
    </w:p>
    <w:p>
      <w:pPr>
        <w:spacing w:after="0" w:line="119"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Although there are multiple approved antidepressant therapies, only 61% of adults with MDD in the United States received treatment in 2021, according to the National Institute of Mental Health. Of MDD patients who do receive treatment, approximately one-half fail to achieve remission with first-line therapies. Current standard of care for those who respond poorly to initial antidepressant monotherapy treatment relies on polypharmacy and treatment-switching strategies between current options including SSRIs, SNRIs, dopaminergic/noradrenergic drugs, and atypical antipsychotics. Current treatments are also in many cases associated with significant negative side effects such as sexual dysfunction, weight gain, gastrointestinal issues, insomnia, fatigue, nausea, emotional blunting, and others, which limit medication adherence and can negatively impact treatment outcomes. Even when patients achieve symptom remission, standard-of-care therapies may take weeks to yield effect and can even make symptoms like insomnia worse. Therefore, there is a significant unmet need for novel therapies that are more effective and better tolerated for the treatment of people with MDD.</w:t>
      </w:r>
    </w:p>
    <w:p>
      <w:pPr>
        <w:spacing w:after="0" w:line="2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Validation of Allopregnanolone and GABA Modulation in MDD</w:t>
      </w:r>
    </w:p>
    <w:p>
      <w:pPr>
        <w:spacing w:after="0" w:line="2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Allopregnanolone is an endogenous neurosteroid that is synthesized in the periphery and brain and binds selectively with high affinity to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receptors. Allopregnanolone has a rapid onset of action and a well-established, clinically validated antidepressant, anxiolytic, and sleep-promoting effect. GlyphAllo retains the activity and potency of endogenous allopregnanolone in oral form. Levels of allopregnanolone peak during the third trimester of pregnancy, and an intravenous infusion formulation of allopregnanolone was approved for the treatment of PPD.</w:t>
      </w:r>
    </w:p>
    <w:p>
      <w:pPr>
        <w:spacing w:after="0" w:line="185"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GABA is the primary inhibitory neurotransmitter in the brain and is a pivotal component of the etiology of depression and anxiety disorders. Reduced GABA levels in the brain are associated with MDD, and cerebrospinal fluid, or CSF, GABA levels are highly correlated with anxiety in patients with MDD and tend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30" w:lineRule="auto"/>
        <w:rPr>
          <w:sz w:val="20"/>
          <w:szCs w:val="20"/>
          <w:color w:val="auto"/>
        </w:rPr>
      </w:pPr>
      <w:r>
        <w:rPr>
          <w:rFonts w:ascii="Times New Roman" w:cs="Times New Roman" w:eastAsia="Times New Roman" w:hAnsi="Times New Roman"/>
          <w:sz w:val="18"/>
          <w:szCs w:val="18"/>
          <w:color w:val="auto"/>
        </w:rPr>
        <w:t>normalize with successful treatment. Other drugs that target GABA, such as benzodiazepines, have been investigated for MDD; however, these have been largely ineffective as they lack antidepressant effects driven by specific GABA receptor subtypes and can lead to dependence and abuse. Importantly, allopregnanolone binds to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receptors at distinct sites compared to benzodiazepines and thereby modulates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xml:space="preserve"> signaling in a manner distinct from benzodiazepines.</w:t>
      </w: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Prior Clinical Studies of Allopregnanolone and its Synthetic Analogs</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Allopregnanolone and its synthetic analogs, including zuranolone, have been tested in multiple studies in MDD and PPD and have demonstrated rapidly acting antidepressant and anxiolytic effects. An IV formulation of allopregnanolone, brexanolone, was developed and approved by the FDA in 2019 for the treatment of PPD and marketed under the trade name Zulresso. In two positive Phase 3 trials, brexanolone demonstrated statistically significant and clinically meaningful and rapid reductions in HAMD-17 as compared to placebo in patients with PPD. In addition, brexanolone demonstrated rapid and statistically significant anxiolytic effects and improvement in insomnia symptoms from baseline, according to pooled post-hoc analyses of three placebo-controlled trials of brexanolone in PPD.</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After oral administration, unmodified allopregnanolone is rapidly and nearly completely metabolized via liver first-pass metabolism, resulting in only a small percentage reaching the systemic circulation and CNS. As a result, oral administration of allopregnanolone does not produce adequate exposure levels for efficacy and is poorly suited for chronic treatment of depression and anxiety disorders. Due to the poor oral bioavailability of allopregnanolone, brexanolone was only available via a 60-hour IV infusion, requiring the presence of a health care provider to continuously monitor the patient.</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overcome the poor bioavailability of brexanolone and the challenges associated with IV administration, an oral synthetic analog of allopregnanolone, zuranolone, was developed. In two Phase 3 studies in PPD conducted by Sage Therapeutics, zuranolone met the primary endpoint and also demonstrated a statistically significant improvement in symptoms of anxiety. Zuranolone was approved by the FDA for the treatment of PPD in 2023 and is marketed under the trade name Zurzuvae.</w:t>
      </w:r>
    </w:p>
    <w:p>
      <w:pPr>
        <w:spacing w:after="0" w:line="180" w:lineRule="exact"/>
        <w:rPr>
          <w:sz w:val="20"/>
          <w:szCs w:val="20"/>
          <w:color w:val="auto"/>
        </w:rPr>
      </w:pPr>
    </w:p>
    <w:p>
      <w:pPr>
        <w:ind w:left="120" w:firstLine="440"/>
        <w:spacing w:after="0" w:line="244" w:lineRule="auto"/>
        <w:rPr>
          <w:sz w:val="20"/>
          <w:szCs w:val="20"/>
          <w:color w:val="auto"/>
        </w:rPr>
      </w:pPr>
      <w:r>
        <w:rPr>
          <w:rFonts w:ascii="Times New Roman" w:cs="Times New Roman" w:eastAsia="Times New Roman" w:hAnsi="Times New Roman"/>
          <w:sz w:val="18"/>
          <w:szCs w:val="18"/>
          <w:color w:val="auto"/>
        </w:rPr>
        <w:t>In addition to its development in PPD, zuranolone was tested in six placebo-controlled clinical trials in patients with MDD. In these trials, patients received either zuranolone or placebo once daily for two weeks. The primary endpoint in these trials was change from baseline in HAMD-17 score at Day 15 or Day 3. Change from baseline in HAMD-17 score was also assessed at Day 42, when patients had not received treatment for four weeks. Zuranolone demonstrated a rapid antidepressant effect that deepened while patients were on drug and met the primary endpoint in five of the six trials. In the trial that did not meet its primary endpoint, zuranolone showed statistically significant reductions in HAMD-17 total score at Days 3, 8 and 12, but not at Day 15. Zuranolone also demonstrated a statistically significant anxiolytic effect in the WATERFALL trial. We believe the negative results of these trials at Day 42 was primarily due to two key factors related to clinical trial design and execution. First, as patients received treatment for only the first two weeks of the study, patients had not received treatment for approximately four weeks when HAMD-17 score was assessed at Day 42. Second, these studies showed a high placebo response, likely driven by the elevated frequency of clinician-administered assessments. Indeed, according to our meta-analysis of recent antidepressant trials, zuranolone’s WATERFALL trial had approximately double the placebo response and double the frequency of clinician-administered assessments compared to typical antidepressant trials. Zuranolone was generally safe and well tolerated in 2,005 treated patients across seven randomized control trials, with the most common treatment-emergent adverse event being somnolence, an on-target effect of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Despite its demonstrated antidepressant and anxiolytic activity, zuranolone was not approved in MDD by the FDA during its review of the product.</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Overcomes Limitations of Allopregnanolone and its Synthetic Analogs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GlyphAllo is a novel, Glyphed oral prodrug of allopregnanolone designed to increase the oral bioavailability of allopregnanolone. After oral dosing, GlyphAllo is metabolized to the parent API, allopregnanolone, chemically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identical to the endogenous neurosteroid, which we believe can overcome safety limitations of synthetic analogs of allopregnanolone. Additionally, we believe GlyphAllo may have additional benefits compared to other MDD drugs, including a rapid onset of action, anxiolytic activity, and sleep-promoting effects. Paired with our expertise in designing and executing neuropsychiatry clinical trials, we believe we can overcome the historical limitations seen in the development of allopregnanolone and its synthetic analogs.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Phase 1 and Phase 2a Trial in Healthy Volunteers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initial proof of concept for GlyphAllo, we conducted a trial in 179 healthy volunteers to evaluate the safety, tolerability and pharmacokinetics of GlyphAllo, which included both Phase 1 and Phase 2a portions. Phase 1 was a multi-part trial with single ascending, multiple ascending, and food effect parts with doses ranging from 70 mg to 1,000 mg daily for up to 7 days. The primary endpoints of the Phase 1 portion of the trial were safety and tolerability. The goal of this trial was to demonstrate that orally dosed GlyphAllo can safely achieve therapeutically relevant exposures and demonstrate pharmacodynamic effects consistent with allopregnanolone activity in the brain.</w:t>
      </w:r>
    </w:p>
    <w:p>
      <w:pPr>
        <w:spacing w:after="0" w:line="183"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In the Phase 1 trial, we observed that GlyphAllo resulted in dose-dependent levels of allopregnanolone in plasma with no accumulation and minimal evidence of a clinically meaningful food effect. Across dose groups, the estimated time to peak exposure was between three to four hours, and the terminal half-life after single or multiple doses was approximately 24 hours. Unlike synthetic analogs of allopregnanolone that can exhibit delayed elimination rates compared to endogenous allopregnanolone, levels of allopregnanolone dropped to 15% of Cmax by eight hours post-dose following administration of GlyphAllo, which we believe will reduce or eliminate next-day somnolence or drowsiness. Oral administration of GlyphAllo in the Phase 1 trial of GlyphAllo achieved therapeutic exposure levels comparable to those that occur naturally during the third trimester of pregnancy.</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these therapeutically relevant levels, GlyphAllo also demonstrated pharmacodynamic effects consistent with allopregnanolone activity in the brain. These additional measures include increased beta electroencephalogram, or beta EEG, power versus placebo and reduced saccadic eye velocity, or SEV, at four hours post dose, consistent with the pharmacology of IV allopregnanolone. Both allopregnanolone blood concentrations and brain activity signals peaked at 3-5 hours post-dose and declined by 6-8 hours.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GlyphAllo Provided Therapeutically Relevant Allopregnanolone Exposures and Demonstrated Pharmacodynamic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173990</wp:posOffset>
            </wp:positionV>
            <wp:extent cx="5143500" cy="2177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On the primary endpoints of safety and tolerability, GlyphAllo was generally well-tolerated with no serious or severe adverse events, or AEs, including no events of excessive sedation, altered state of consciousness, loss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33" w:lineRule="auto"/>
        <w:rPr>
          <w:sz w:val="20"/>
          <w:szCs w:val="20"/>
          <w:color w:val="auto"/>
        </w:rPr>
      </w:pPr>
      <w:r>
        <w:rPr>
          <w:rFonts w:ascii="Times New Roman" w:cs="Times New Roman" w:eastAsia="Times New Roman" w:hAnsi="Times New Roman"/>
          <w:sz w:val="18"/>
          <w:szCs w:val="18"/>
          <w:color w:val="auto"/>
        </w:rPr>
        <w:t>consciousness, pre-syncope, syncope, falls, or suicidal ideation or behavior. These data were consistent with the safety profile seen in our extensive non-clinical dog toxicity studies. All treatment-related AEs were transient, mild or moderate, and were consistent with the known pharmacology profile of allopregnanolone. These events were generally dose- and time-dependent, occurring more frequently at high doses and early in dosing. The most common AE was mild and transient somnolence, an on-target effect of GABA</w:t>
      </w:r>
      <w:r>
        <w:rPr>
          <w:rFonts w:ascii="Times New Roman" w:cs="Times New Roman" w:eastAsia="Times New Roman" w:hAnsi="Times New Roman"/>
          <w:sz w:val="26"/>
          <w:szCs w:val="26"/>
          <w:color w:val="auto"/>
          <w:vertAlign w:val="subscript"/>
        </w:rPr>
        <w:t>A</w:t>
      </w:r>
      <w:r>
        <w:rPr>
          <w:rFonts w:ascii="Times New Roman" w:cs="Times New Roman" w:eastAsia="Times New Roman" w:hAnsi="Times New Roman"/>
          <w:sz w:val="18"/>
          <w:szCs w:val="18"/>
          <w:color w:val="auto"/>
        </w:rPr>
        <w:t>. Furthermore, Stanford Sleepiness Score, or SSS, scores returned to baseline by six hours post-dosing, and this effect decreased after Day 1.</w:t>
      </w:r>
    </w:p>
    <w:p>
      <w:pPr>
        <w:spacing w:after="0" w:line="20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Based on the demonstration of therapeutically relevant plasma exposures of allopregnanolone and pharmacodynamic markers of allopregnanolone activity in the brain observed in Phase 1, we evaluated an active, well-tolerated dose of GlyphAllo in an initial proof-of-concept trial in healthy volunteers. As allopregnanolone is an anti-stress hormone and has demonstrated clinical efficacy in PPD, a form of major depression that is also characterized by high anxiety, we conducted a Phase 2a initial proof-of-concept trial in Australia using a validated clinical model of anxiety in healthy volunteers called the Trier Social Stress Test, or TSST. This randomized, double-blind, placebo-controlled trial evaluated a single dose of GlyphAllo (375 mg) or placebo given in the morning to 80 healthy volunteers. The TSST involves preparing a speech and delivering it in front of a panel of judges, followed by a mental math test judged by the panel. Typically, participants will have a robust increase in salivary cortisol, the body’s primary stress hormone, in response to the TSST.</w:t>
      </w:r>
    </w:p>
    <w:p>
      <w:pPr>
        <w:spacing w:after="0" w:line="1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Design of Phase 2a Trial of GlyphAllo Using the TSST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1513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this trial, individuals receiving placebo exhibited a robust increase in salivary cortisol in response to the TSST. In contrast, this increase in the physiological stress response was potently blunted by a single dose of GlyphAllo, with a p-value of 0.0001, meeting the primary endpoint. To date, the only approved or investigational psychiatric medication to demonstrate reduced salivary cortisol levels in response to the TSST is alprazolam, a benzodiazepine that has been marketed as Xanax.</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GlyphAllo Potently Blunted Salivary Cortisol Response to the TSST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97155</wp:posOffset>
            </wp:positionV>
            <wp:extent cx="3703320" cy="2837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0332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Self-reported assessments of anxiety were also collected using the State-Trait Anxiety Inventory which confirmed that the TSST transiently and modestly increased self-reported anxiety in both the placebo and GlyphAllo groups. These results are consistent with previous data showing that healthy volunteers are less likely to self-report anxiety symptoms following the TSST compared to patients with an anxiety disorder, who may experience a heightened negative psychological response to social stress. These results are also consistent with previously published self-reported assessments during the TSST using known anxiolytic drugs such as alprazolam in healthy volunteers, in which self-reported anxiety increased in both drug and placebo groups in response to the TSST. Treatment-emergent related adverse events occurring at &gt;5% were somnolence (29% GlyphAllo vs. 13% placebo) dizziness (20% GlyphAllo vs. 3% placebo), and headache (7.3% GlyphAllo vs. 7.7% placebo), all of which were transient and mild or moderate in severity. No treatment-related severe or serious AEs were reported. The results of these Phase 1 and Phase 2a trials support the continued development of GlyphAllo as a potential medicine for MDD with or without anxious distress.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Phase 2b BUOY-1 Trial in MDD</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July 2025, we initiated the Phase 2b BUOY-1 trial of GlyphAllo in the United States and the EU in adults with MDD with or without anxious distress. BUOY-1 is a global, randomized, double-blind, placebo-controlled trial with an open-label extension to evaluate the efficacy, safety, and tolerability of GlyphAllo. Patients will be randomized to GlyphAllo or placebo during the double-blind period. In the active treatment arm, GlyphAllo will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be administered once daily at bedtime at flexible fixed doses ranging from 125 mg to 375 mg. On Day 42, patients completing the double-blind period will be eligible to enter a six-week open label extension, or OLE, trial.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Design of Phase 2b BUOY-1 Trial of GlyphAllo in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16630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included a prespecified sample size re-estimation, or SSRE, in BUOY-1 with the aim of optimizing the sample size in the trial. We expect to receive topline data from BUOY-1 in the first half of 2027, and this anticipated timing is based on the full sample size of up to approximately 360 patients.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further evaluate the safety profile of GlyphAllo in the BUOY-1 trial, we conducted intensive safety monitoring on approximately 40 patients enrolled in the United States with oversight by a data monitoring committee, or DMC, as per protocol. In these patients, no events of loss of consciousness, syncope, excessive sedation, falls, or hypoxia were reported, and intensive safety monitoring in BUOY-1 has been discontinued. There has been no intensive safety monitoring of patients enrolled in the EU. There is a full driving restriction for patients enrolled in the BOUY-1 trial in the United States, and a shorter, six-hour driving restriction for patients enrolled in the EU. As part of the broader GlyphAllo development program, we plan to conduct additional studies, including a driving study, which we plan to initiate by the end of 2026, with data from that study expected ahead of the topline readout of BUOY-1.</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expect topline data from the Phase 2b BUOY-1 trial in the first half of 2027. Based on the results of our Phase 2b clinical trial, we intend to consult with the FDA about the potential to use this trial to support our registrational filing for MDD.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Opportunities to Expand the Potential for GlyphAllo in MDD and Other Indications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While the development and commercialization of GlyphAllo for the treatment of MDD with or without anxious distress is our primary focus, we plan to evaluate GlyphAllo in additional indications as part of our longer-term growth strategy. For instance, since allopregnanolone is a rapidly acting antidepressant with anxiolytic and sleep-promoting effects, we may also evaluate GlyphAllo as a treatment for other stress-related mood and anxiety disorders.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GlyphAgo: Potential Differentiated Therapy for GAD</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GlyphAgo is a novel, Glyphed oral prodrug of agomelatine that we are developing for the treatment of GAD. We are currently progressing a key Phase 1 proof-of-concept trial of GlyphAgo in Australia in healthy volunteers in which we plan to enroll up to approximately 190 participants. Agomelatine, a clinically validated melatonin receptor agonist and serotonin 2C receptor antagonist, is an effective anxiolytic and antidepressant approved for the treatment of GAD in Australia and MDD in Australia and the EU. With GlyphAgo, we aim to achieve the exposure levels of agomelatine that are effective in GAD, but at a lower dose that reduces or eliminates the need for liver function testing, while creating new composition of matter IP.</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2228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9493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Background on GAD and Market Opportunity</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According to the World Health Organization, anxiety disorders affect 359 million people worldwide, as of 2021. Of these, 100 million adults suffer from GAD, including more than seven million adults in the United States, according to JAMA Psychiatry as of 2017. As there have been no new approved therapies for GAD in almost two decades, and the current standards of care for GAD are characterized by modest efficacy, slow onset, and/or unfavorable side effects, there is a significant unmet need for novel treatments. GAD results in excessive, obsessive, and continuous stress to the point where patients are incapable of living normal lives or carrying out standard daily routines. GAD patients typically have uncontrollable symptoms of restlessness, fatigue, inability to focus, irritability, muscle tension, and sleep disturbance. GAD places substantial strain on the broader healthcare system, with patients with GAD having more than twice as many health care visits and almost nine times more mental health care visits than those without GAD.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Current Standard of Care and Limitations in GAD</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According to the Anxiety &amp; Depression Association of America, as of 2025, more than approximately half of GAD patients do not receive treatment, and those that do typically are prescribed SSRI or SNRI agents, which can have significant AEs including weight gain, sexual dysfunction, emotional blunting, and insomnia. These AEs, coupled with the observation that only half of patients respond to these medications, lead many patients to pursue augmentation therapies including benzodiazepines, buspirone, gabapentin, mirtazapine, or antipsychotics—each with its own risks. For example, benzodiazepines are widely used and can result in dependence and abuse in just a few weeks. Despite this, approximately 1 in 8 adults in the United States use benzodiazepines each year.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Clinical Validation of Agomelatine in GAD</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Agomelatine is a clinically validated anxiolytic and antidepressant and is approved in Australia for the treatment of GAD. Agomelatine has demonstrated clinical efficacy compared to placebo in four out of four third-party, randomized, placebo-controlled studies in GAD, and its efficacy in GAD is better than standard-of-care drugs like benzodiazepines or SSRIs. These studies demonstrate a favorable efficacy and tolerability profile, with the only key exception being dose-dependent elevations in liver enzymes in a small but notable percentage of patients. As a result, frequent liver function testing is required prior to and during use of agomelatine. Agomelatine is also approved in the EU and Australia for the treatment of MDD, but it has never been approved in the United States.</w:t>
      </w:r>
    </w:p>
    <w:p>
      <w:pPr>
        <w:spacing w:after="0" w:line="18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favorable efficacy and safety profile of agomelatine in GAD is supported by a recent meta-analysis of 22 pharmacological treatments evaluated in randomized trials of adult outpatients with GAD. This non-head-to-head,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60"/>
          </w:cols>
          <w:pgMar w:left="320" w:top="455" w:right="5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literature meta-analysis, which was based on data collected from 25,441 patients across 89 trials, including two placebo-controlled trials of agomelatine, found that agomelatine demonstrated superior efficacy compared to SSRIs and benzodiazepines. In addition, agomelatine demonstrated a superior tolerability profile compared to both benzodiazepines, which have abuse potential, and SSRIs, which can have significant AEs, including insomnia, sexual dysfunction, emotional blunting, weight gain, and even withdrawal symptoms in the event of discontinuation.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favorable efficacy and safety profile of agomelatine in GAD is also supported by a recent systematic review and network meta-analysis that aimed to assess the efficacy and tolerability of agomelatine versus approved medications for the treatment of GAD. This non-head-to-head analysis was based on a total of 25 trials, including three placebo-controlled trials of agomelatine. Using the treatment rankings based on the network meta-analysis results, agomelatine was found to be the most favorable drug in terms of both efficacy (measured by remission rate) and tolerability (measured by discontinuation due to AEs) among the analyzed competitors (venlafaxine, escitalopram, paroxetine, duloxetine, and pregabalin).</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Moreover, agomelatine’s favorable tolerability profile consists of no statistically significant difference in overall adverse events or dropout rate and no association with clinically significant somnolence compared to placebo. Agomelatine does not cause sexual dysfunction. Specifically, no deleterious effect on sexual function was observed during agomelatine treatment over 12 or 24-week treatment periods in a specific sexual dysfunction comparative trial in remitted depressed patients. Agomelatine also does not exhibit the “hangover” effects (e.g., lethargy, fatigue, decreased motivation, anxiety, etc.) caused by various antidepressants and antipsychotics. Agomelatine, in a head-to-head study conducted by a third-party, also improves sleep latency, sleep architecture, and daytime sleepiness compared to escitalopram (SSRI), which can worsen sleep and cause insomnia. This makes agomelatine well-suited for GAD, where sleep disturbance is a core symptom.</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Agomelatine Improves Sleep Compared to Escitalopram (SSRI)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33947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9493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5"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600"/>
        <w:spacing w:after="0" w:line="261" w:lineRule="auto"/>
        <w:rPr>
          <w:sz w:val="20"/>
          <w:szCs w:val="20"/>
          <w:color w:val="auto"/>
        </w:rPr>
      </w:pPr>
      <w:r>
        <w:rPr>
          <w:rFonts w:ascii="Times New Roman" w:cs="Times New Roman" w:eastAsia="Times New Roman" w:hAnsi="Times New Roman"/>
          <w:sz w:val="14"/>
          <w:szCs w:val="14"/>
          <w:color w:val="auto"/>
        </w:rPr>
        <w:t>Quera-Salva, Maria-Antonia, et al. (2011) Comparison of agomelatine and escitalopram on nighttime sleep and daytime condition and efficacy in major depressive disorder patients. International clinical psychopharmacology, 26(5), 252-262</w:t>
      </w:r>
    </w:p>
    <w:p>
      <w:pPr>
        <w:spacing w:after="0" w:line="1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Despite the superior tolerability profile of agomelatine, clinical uptake has been limited by the requirement for frequent liver function monitoring. Due to extensive first-pass liver metabolism, the oral bioavailability of agomelatine is very low (~1%), and the frequency of liver transaminase elevations with agomelatine treatment is two to five-fold greater than placebo. As a result, patients in Australia and the EU—where agomelatine is approved—are required to undergo frequent liver function tests. Specifically, liver function tests must be performed before starting treatment, after 3, 6, 12, and 24 weeks, and when increasing dose. This burdensome liver testing, combined with a lack of patent protection, has limited clinical and commercial adoption of agomelatine.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Glyph enables bypass of liver first-pass metabolism, improving oral bioavailability and enabling the potential to achieve therapeutic exposures at a lower dose. As the increases in liver transaminase levels observed with agomelatine are dose-dependent, our goal is to achieve the exposure levels of agomelatine that are effective in GAD, but at a higher bioavailability and thus lower dose that reduces or eliminates the need for liver function testing. Based on internal analyses, we believe a two-fold increase in the bioavailability of agomelatine will reduce or eliminate liver enzyme elevations.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Agomelatine Can Cause Dose-Dependent Liver Enzyme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173990</wp:posOffset>
            </wp:positionV>
            <wp:extent cx="5023485" cy="31546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234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GlyphAgo in Preclinical Studies</w:t>
      </w:r>
    </w:p>
    <w:p>
      <w:pPr>
        <w:spacing w:after="0" w:line="11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validation for GlyphAgo and further validation for our Glyph platform, we conducted in vivo studies in NHPs to evaluate the potential for GlyphAgo to achieve therapeutic exposure levels at a lower dose that may reduce or eliminate the need for liver function testing. In these studies, we dosed NHPs with either GlyphAgo or an equivalent (i.e., equimolar) amount of agomelatine alone (Dose A), or a greater dose of GlyphAgo (Dose B). GlyphAgo was shown to enhance lymphatic absorption and provide significantly higher systemic exposures of agomelatine compared to agomelatine alone. Oral dosing of GlyphAgo in a rat model resulted in over 50% of agomelatine being transported through the mesenteric lymphatics versus less than 1% for orally dosed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agomelatine alone. Following administration of agomelatine alone, levels of agomelatine in plasma were below the limit of quantification, consistent with the low oral bioavailability of agomelatine in humans and NHPs (Valdoxan EPAR). In contrast, administration of GlyphAgo substantially increased plasma exposures of agomelatine compared with agomelatine alone, demonstrating the potential of GlyphAgo to achieve therapeutic exposures of agomelatine while minimizing the dose impacting the liver.</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GlyphAgo Substantially Increased Plasma Agomelatine Levels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32232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73761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Following the therapeutic exposures achieved with GlyphAgo in our NHP studies, we modelled the clinical implications of these data with respect to potential liver enzyme elevations using DILIsym, an analytical, computational model-based software capable of predicting and explaining Drug-Induced Liver Injury, or DILI. The FDA uses and cites DILIsym in drug approvals as the standard software for the quantitative prediction and investigation of DILI.</w:t>
      </w:r>
    </w:p>
    <w:p>
      <w:pPr>
        <w:spacing w:after="0" w:line="180"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One useful output of DILIsym is an eDISH (Evaluation of Drug-Induced Serious Hepatotoxicity) plot. eDISH plots are a standard way that the FDA evaluates liver safety of new drug candidates in clinical trials. eDISH graphs the peak serum alanine aminotransferase (ALT; a liver enzyme) value and peak serum bilirubin value observed in each patient (or simulated patient) in a clinical trial along the x-axis and y-axis, respectively. Each patient (or simulated patient) is represented by a single point on the graph, and liver enzyme elevations (&gt;3x upper limit of normal) are indicated by the presence of points on the right half of the graph. We first simulated the relationship between agomelatine dose and liver enzyme elevations using available clinical data for two approved doses of agomelatine (25 and 50 mg). Next, we simulated potential liver enzyme elevations following administration of GlyphAgo at doses designed to generate comparable systemic exposures of agomelatine, using assumptions derived from our in vivo study in NHPs described above. The results are shown in the four eDISH plots below. The eDISH plots in the upper row represent approved doses of agomelatine (25 mg and 50 mg) and recapitulate the liver enzyme elevations observed in previous clinic trials of agomelatine. The eDISH plots in the lower row represent doses of GlyphAgo with enhanced bioavailability and thus lower doses of agomelatine, which in contrast show no liver enzyme elevations.</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DILIsym Simulations Demonstrate that GlyphAgo is Not Projected to Cause Liver Enzyme Elevations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32143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208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Therefore, our DILIsym simulations demonstrated that, with conservative estimates, clinically relevant doses of GlyphAgo are not projected to cause liver enzyme elevations.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Clinical Development Plan of GlyphAgo in GAD</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advancing a Phase 1 proof-of-concept trial of GlyphAgo in healthy adult volunteers in which we plan to enroll up to approximately 190 participants, that we believe has the potential to be proof of concept, in addition to addressing key development questions for the GlyphAgo program. In this trial, we aim to demonstrate that GlyphAgo can achieve exposure levels that have demonstrated efficacy in GAD at a lower dose that does not cause an increase in liver enzymes and reduces or eliminates the need for liver function testing. This Phase 1 trial will be conducted in multiple parts to evaluate the safety, tolerability, and pharmacokinetics of GlyphAgo compared to agomelatine. The primary endpoints will be safety, tolerability, and pharmacokinetics. It will include single- and multiple-ascending dose phases, as well as a food-effect crossover portion, using both open-label and placebo-controlled designs.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April 2026, we reported topline data from the SAD and crossover portions of our Phase 1 proof-of-concept clinical trial of GlyphAgo. In the head-to-head crossover portion of the trial, GlyphAgo demonstrated a 6.8-fold increase in bioavailability of agomelatine compared to unmodified orally administered agomelatine. GlyphAgo also showed significantly lower (10-fold) PK variability compared to unmodified agomelatine. The crossover portion included participants who were taking estrogen-containing oral contraceptives that are known to increase agomelatine exposure due to liver drug-drug interaction. In contrast, GlyphAgo exposure was unaffected by oral contraceptives, further supporting the ability of GlyphAgo to bypass first - pass liver metabolism. GlyphAgo demonstrated a 9.6 to 14.5-fold increase in dose-normalized exposure compared to agomelatine in a separate SAD portion of the trial in which no participants were on oral contraceptives. GlyphAgo was well tolerated and no liver-related AEs were observed. We plan to initiate a Phase 2a proof-of-pharmacology trial designed to evaluate the potential sleep benefit of GlyphAgo in patients with GAD and sleep disturbance, with topline data expected in early 2028.</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GlyphAgo</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18"/>
          <w:szCs w:val="18"/>
          <w:b w:val="1"/>
          <w:bCs w:val="1"/>
          <w:color w:val="auto"/>
        </w:rPr>
        <w:t xml:space="preserve"> Exceeded Target of Two-Fold Increase in Bioavailability Compared to Unmodified Agomelatine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115570</wp:posOffset>
            </wp:positionV>
            <wp:extent cx="4663440" cy="2434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663440" cy="243459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4"/>
          <w:szCs w:val="14"/>
          <w:color w:val="auto"/>
        </w:rPr>
        <w:t>Figure 1. Exposure (AUC</w:t>
      </w:r>
      <w:r>
        <w:rPr>
          <w:rFonts w:ascii="Times New Roman" w:cs="Times New Roman" w:eastAsia="Times New Roman" w:hAnsi="Times New Roman"/>
          <w:sz w:val="10"/>
          <w:szCs w:val="10"/>
          <w:color w:val="auto"/>
        </w:rPr>
        <w:t>0-24</w:t>
      </w:r>
      <w:r>
        <w:rPr>
          <w:rFonts w:ascii="Times New Roman" w:cs="Times New Roman" w:eastAsia="Times New Roman" w:hAnsi="Times New Roman"/>
          <w:sz w:val="14"/>
          <w:szCs w:val="14"/>
          <w:color w:val="auto"/>
        </w:rPr>
        <w:t>) of agomelatine produced by agomelatine 25 mg (ago 25 mg) or three dose levels of GlypgAgo (containing 2.5 mg, 5mg, and 10 mg of Agomelatine respectively) from the single ascending dose (SAD) portion of study (SPT-320-2024-101). GlyphAgo demonstrated a 9.6-14.5-fold increase in dose-normalized AUC compared to agomelatine. Horizontal line represents geometric mean.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Figure 2. Exposure (AUC</w:t>
      </w:r>
      <w:r>
        <w:rPr>
          <w:rFonts w:ascii="Times New Roman" w:cs="Times New Roman" w:eastAsia="Times New Roman" w:hAnsi="Times New Roman"/>
          <w:sz w:val="10"/>
          <w:szCs w:val="10"/>
          <w:color w:val="auto"/>
        </w:rPr>
        <w:t>0-24</w:t>
      </w:r>
      <w:r>
        <w:rPr>
          <w:rFonts w:ascii="Times New Roman" w:cs="Times New Roman" w:eastAsia="Times New Roman" w:hAnsi="Times New Roman"/>
          <w:sz w:val="14"/>
          <w:szCs w:val="14"/>
          <w:color w:val="auto"/>
        </w:rPr>
        <w:t>) of agomelatine produced by a single dose of Agomelatine 25 mg (Ago 25 mg) or single dose of GlyphAgo (containing 10mg of Agomelatine) from the crossover portion of study SPT-320-2024-101. In this portion of the trial, exposure provided by GlyphAgo and unmodified agomelatine were compared head-to-head within the same participants. GlyphAgo demonstrated a 6.8-fold increase in does-normalized AUC compared to agomelatine (90% confidence interval, 4.7 to 10.0x; geometric means). Horizontal line represents geometric mean.</w:t>
      </w:r>
    </w:p>
    <w:p>
      <w:pPr>
        <w:spacing w:after="0" w:line="183" w:lineRule="exact"/>
        <w:rPr>
          <w:sz w:val="20"/>
          <w:szCs w:val="20"/>
          <w:color w:val="auto"/>
        </w:rPr>
      </w:pPr>
    </w:p>
    <w:p>
      <w:pPr>
        <w:sectPr>
          <w:pgSz w:w="11900" w:h="16838" w:orient="portrait"/>
          <w:cols w:equalWidth="0" w:num="2">
            <w:col w:w="5720" w:space="240"/>
            <w:col w:w="5140"/>
          </w:cols>
          <w:pgMar w:left="320" w:top="455" w:right="47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2a and Phase 2b trials of GlyphAgo</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plan to initiate a Phase 2a proof-of-pharmacology trial designed to evaluate the potential sleep benefit of GlyphAgo in patients with GAD and sleep disturbance, with topline data expected in early 2028.</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We also plan to initiate in parallel, a randomized, double-blind, placebo-controlled Phase 2b trial evaluating the efficacy and safety of GlyphAgo in patients with GAD, with topline data expected by the end of 2028. This multiregional trial is designed to be registration-enabling, subject to review by the FDA and other comparable regulatory authorities, as an adequate and well-controlled investigation that seeks to provide substantial evidence of effectiveness by assessing GlyphAgo’s efficacy and safety in several hundred patients. Although this trial is designed to be registration-enabling, additional clinical trials may be required prior to the submission of a new drug application even if this trial is successful or positive.</w:t>
      </w:r>
    </w:p>
    <w:p>
      <w:pPr>
        <w:spacing w:after="0" w:line="2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Opportunities to Expand the Potential for GlyphAgo in GAD and Other Indications</w:t>
      </w:r>
    </w:p>
    <w:p>
      <w:pPr>
        <w:spacing w:after="0" w:line="11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Although the development and commercialization of GlyphAgo for the treatment of GAD is our primary focus, as part of our longer-term growth strategy, we may evaluate GlyphAgo in other indications as well, including MDD. Indeed, agomelatine is approved for MDD in Australia and the EU, but it is constrained by similar liver function testing requirements in MDD as well. As agomelatine also improves sleep latency, sleep quality, and daytime sleepiness compared to SSRIs, which can worsen sleep and cause insomnia, we may also evaluate GlyphAgo for the treatment of insomnia.</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Glyph2BLSD: Non-Hallucinogenic Neuroplastogen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Glyph2BLSD is our novel, Glyphed oral prodrug of the non-hallucinogenic neuroplastogen 2-bromo-LSD, which we are developing for the treatment of depressive disorders, including TRD, PTSD, and headache disorders with significant unmet need. Neuroplastogens are compounds that enhance neuroplasticity, the brain’s ability to form, reorganize, and strengthen neural connections, and include psychedelics and ketamine. They offer the potential to repair disrupted brain circuits and have demonstrated efficacy for treating neuropsychiatric disorders. However, significant challenges remain, including functional unblinding of clinical trials due to the production of hallucinations and sensory disturbances, the accompanying need for supervised administration, and concerns over long-term safety, such as the risk of fibrosis. Leveraging our Glyph platform, we have designed Glyph2BLSD to harness the differentiated and non-hallucinogenic profile of 2-bromo-LSD, which has rapidly acting clinical activity and is not expected to exhibit the risks of fibrosis, cardiovascular effects, or hallucinations characteristic of some other neuroplastogens. With Glyph2BLSD, we aim to improve the pharmacokinetic and tolerability profile of 2-bromo-LSD while maintaining therapeutic exposure levels, and enable the execution of placebo-controlled trials, outpatient dosing, and an enhanced dosing regimen to optimize efficacy.</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Development Plan of Glyph2BLSD</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candidate is in the early stages of development. We are currently conducting first-in-human-enabling studies of Glyph2BLSD, including single- and repeat-dose toxicology studies, in addition to in vitro and in vivo assays to further characterize Glyph2BLSD. We expect to complete first-in-human-enabling studies by the end of 2027. We then expect to initiate a Phase 1 trial to evaluate the safety, tolerability and pharmacokinetics of Glyph2BLSD in healthy volunteers.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Potential Indications for Glyph2BLSD</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Approximately 3 million adults in the United States have TRD, according to The Journal of Clinical Psychiatry, as of 2021. Unlike MDD, which, according to the National Institute of Mental Health, as of 2021, impacts an estimated 21 million adults annually, TRD is characterized by the failure to achieve an adequate response after two or more antidepressant treatments. Patients with TRD face severe challenges, including a significantly lower likelihood of responding to subsequent therapies, a reduced quality of life, and an increased risk of attempting suicide, more than double the rate seen in non-resistant depression. Many of these individuals experience chronic disability, relying heavily on social support systems.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PTSD affects approximately 12 million individuals in the United States and is also characterized by significant unmet need. There are currently only two approved therapies for PTSD, both of which are SSRIs. We believe Glyph2BLSD has the potential to restore function and improve outcomes to address the significant unmet medical need in TRD and PTSD.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Trigeminal autonomic cephalalgias, notably cluster headaches, are severe neurological conditions linked to the trigeminal nerve. Cluster headaches affect approximately 150,000 patients in the United States and cause the most severe pain known to humans, greater than labor pain or gunshot wounds. Individuals with cluster headache experience intense pain and autonomic symptoms including eye watering, swelling, and redness, as well as nose congestion. Headache attacks may last for up to 3 hours per episode and occur up to 8 times a day, disrupting patients’ lives. Cluster headache has also been called “suicide headache” due to the increased risk of suicide during headache periods.</w:t>
      </w:r>
    </w:p>
    <w:p>
      <w:pPr>
        <w:spacing w:after="0" w:line="183"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A small trial by Karst et al. showed that three doses of 2-bromo-LSD over a 10-day period significantly reduced the frequency and intensity of chronic cluster headaches, with effects lasting weeks to months. Importantly, the treatment did not induce hallucinations, making it a safer alternative to traditional psychedelics. While the trial was not placebo-controlled, and thus requires additional clinical investigation, we believe that Glyph2BLSD has the potential to optimize the pharmacokinetics of 2-bromo-LSD to ensure precise and sustained dosing, while preserving its non-hallucinogenic profile.</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a clinical-stage therapeutics company focused on inventing and developing novel medicines for patients with depression, anxiety, and other debilitating neuropsychiatric disorders. While we believe our Glyph platform can produce small molecules that offer an attractive alternative to branded and generic therapeutics treating neuropsychiatric diseases if they are approved, today we face competition from major pharmaceutical and biopharmaceutical companies, academic institutions, governmental agencies, consortiums, and public and private research institutions, among others. Many of our potential competitors, either alone or with collaboration partners, have significantly greater financial resources than we do, as well as equal or greater experience in the discovery and development of product candidates, obtaining FDA and other regulatory approvals of products, and the commercialization of those products. Accordingly, our potential competitors may be more successful than we are in achieving regulatory approvals and commercializing their neuropsychiatric products.</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believe the key competitive factors affecting the success of our lead product candidates GlyphAllo and GlyphAgo, that we are developing to address MDD and GAD, respectively, if approved, are likely to be efficacy, safety, and frequency of dosing, convenience, price, the level of generic competition, and the availability of reimbursement from government and other third-party payors.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developing GlyphAllo for the treatment of MDD. We believe, if approved, that GlyphAllo would compete with several currently approved therapeutics, including: Caplyta and Spravato (marketed by Janssen Pharmaceuticals), Vraylar (AbbVie and Gideon Richert Plc.), Trintellix (Takeda Pharmaceuticals and Lundbeck), Auvelity (Axsome Therapeutics), and Rexulti and Abilify (Ostuka Pharmaceuticals). We are also aware of multiple potentially competitive late-clinical-stage assets, including azetukalner (Xenon Pharmaceuticals), ALTO-300 and ALTO-203 (Alto Neuroscience) and CYB003 (Cybin). We also face competition from branded and generic atypical antipsychotics and SSRI/SNRIs.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developing GlyphAgo for the treatment of GAD. We believe, if approved, that GlyphAgo would compete with several currently marketed therapeutics, including: Lyrica and Buspirone (marketed by Viatris) and marketed generic SSRI/SNRIs and benzodiazepines. In relation to both GlyphAgo and Glyph2BLSD, we are also aware of multiple potentially competitive late-clinical-stage assets, including an LSD program (Mind Medicine, MindMed), ENX-102 (Engrail Therapeutics), CYB004 (Cybin), and non-hallucinogenic neuroplastogens (Gilgamesh Pharma and AbbVie).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improvements that are commercially important to the development of our business, by seeking, maintaining and standing ready to defend patent rights, whether developed internally or licensed from third parties. We also rely on trademarks, trade secrets and other intellectual property rights relating to our proprietary Glyph platform and product candidates, and on continuing technological innovation and in-licensing opportunities to develop, strengthen and maintain our proprietary and intellectual property position. We may also rely on regulatory and other protections afforded through data and marketing exclusivities, where available.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seek to protect the intellectual property and proprietary technology that we consider important to our business by pursuing patent applications that cover our technologies (including the Glyph platform) and product candidates and methods of using the same, as well as any other relevant inventions and improvements that are considered commercially important to the development of our business. We likewise seek to protect the intellectual property to which we obtain rights through licenses and sublicenses and work collaboratively with our licensors to ensure patent prosecution and protection. Our commercial success depends in part upon our ability to obtain and maintain patent and other proprietary protection for our product candidates, commercially important technologies (including the Glyph platform), inventions and trade secrets related to our business, defend and enforce our intellectual property rights, particularly our patent rights and any patents we may own or in-license in the future, preserve the confidentiality of our trade secrets and operate without infringing valid and enforceable intellectual property rights of others.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5"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patent positions for therapeutics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that we own or in-license now or in the future.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Notwithstanding the scope of the patent protection available to us, a competitor could develop competitive technologies and products that are not covered by our patents, and we may be unable to stop such competitor from commercializing such technologies and products.</w:t>
      </w:r>
    </w:p>
    <w:p>
      <w:pPr>
        <w:spacing w:after="0" w:line="192" w:lineRule="exact"/>
        <w:rPr>
          <w:sz w:val="20"/>
          <w:szCs w:val="20"/>
          <w:color w:val="auto"/>
        </w:rPr>
      </w:pPr>
    </w:p>
    <w:p>
      <w:pPr>
        <w:ind w:left="120" w:right="160" w:firstLine="440"/>
        <w:spacing w:after="0" w:line="273" w:lineRule="auto"/>
        <w:rPr>
          <w:sz w:val="20"/>
          <w:szCs w:val="20"/>
          <w:color w:val="auto"/>
        </w:rPr>
      </w:pPr>
      <w:r>
        <w:rPr>
          <w:rFonts w:ascii="Times New Roman" w:cs="Times New Roman" w:eastAsia="Times New Roman" w:hAnsi="Times New Roman"/>
          <w:sz w:val="17"/>
          <w:szCs w:val="17"/>
          <w:color w:val="auto"/>
        </w:rPr>
        <w:t>Our patent portfolio includes a combination of patents and pending patent applications solely owned by us or co-owned with Monash University where Monash University’s rights are exclusively licensed to us, and patents and pending patent applications owned by Monash University that are exclusively licensed to us. As of April 1, 2026, our owned and exclusively licensed patent estate contains eight patent families comprising five issued U.S. patents, fourteen issued patents in Australia, Canada, China, Europe (validated in Great Britain and through a Unitary Patent in Austria, Belgium, Bulgaria, Denmark, Estonia, Finland, France, Germany, Italy, Latvia, Lithuania, Luxembourg, Malta, Netherlands, Portugal, Romania, Slovenia, and Sweden), Japan and New Zealand, eight pending U.S. non-provisional patent applications, two allowed European applications, 40 pending patent applications in various jurisdictions outside of the U.S., as further described below, and three pending PCT international applications.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GlyphAllo Program</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Glyph platform patents and applications discussed below, as of April 1, 2026, with regard to the GlyphAllo program, we co-own with and exclusively license from Monash University one issued U.S. patent relating to composition of matter coverage of GlyphAllo, which is expected to expire in 2041. We also co-own with and exclusively license from Monash University two pending U.S. non-provisional patent applications, one allowed European application, one issued Japanese patent and 21 pending patent applications in Australia, Canada, China, Europe, Hong Kong, India, Israel, Japan, Korea, New Zealand, and Singapore, relating to the composition of matter and methods of treatment which, if issued, will be expected to expire between 2039 and 2041. The foregoing expiration dates may not account for potentially available patent term adjustments or extensions and terminal disclaimers, and assume payment of all appropriate maintenance, renewal, and annuity fees.</w:t>
      </w:r>
    </w:p>
    <w:p>
      <w:pPr>
        <w:spacing w:after="0" w:line="18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solely own one international patent application filed under the Patent Cooperation Treaty (PCT) directed to methods of treating MDD with and without anxious distress using our GlyphAllo product candidate. We expect that any issued patents claiming priority to this application will expire in 2044, without taking into account any possible patent term adjustments or extensions and if all maintenance and annuity fees are paid.</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other Company has composition of matter patent protection on the parent molecule or the unmodified, non-glyphed form of allopregnanolone. Allopregnanolone, a naturally occurring neuroactive steroid, has no composition-of-matter patent protection in the United States or globally.</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GlyphAgo Program</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Glyph platform patents and applications discussed below, we also solely own one international patent application filed under the PCT, directed to the composition of matter of our GlyphAgo product candidate and its use. We expect that any issued patents claiming priority to the international patent application will expire in 2044, without taking into account any possible patent term adjustments or extensions and if all maintenance and annuity fees are paid.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Neither we nor any other Company has composition of matter patent protection on the parent molecule or the unmodified, non-glyphed form of agomelatine. The composition-of-matter patents for agomelatine have expired in the United States and worldwide between 2010 and 2012.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Glyph2BLSD Program</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Glyph platform patents and applications discussed below, we also solely own one international patent application filed under the PCT, directed to the composition of matter of our Glyph2BLSD product candidate and its use. We expect that any issued patents claiming priority to this international patent application will expire in 2044, without taking into account any possible patent term adjustments or extensions and if all maintenance and annuity fees are paid.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Glyph Platform</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With regard to the Glyph platform, we exclusively license from Monash University two issued U.S. patents, twelve issued patents in Australia, Canada, China, Europe (validated in Great Britain and through a Unitary Patent in Austria, Belgium, Bulgaria, Denmark, Estonia, Finland, France, Germany, Italy, Latvia, Lithuania, Luxembourg, Malta, Netherlands, Portugal, Romania, Slovenia and Sweden), Japan, and New Zealand, and one allowed European patent application, relating to platform coverage of GlyphAllo, GlyphAgo and Glyph2BLSD, as well as design-around coverage, which are expected to expire between 2035 and 2037. We also exclusively license from Monash University four pending U.S. non-provisional patent applications and 15 pending patent applications in Australia, Canada, China, Europe, Hong Kong, Japan, and New Zealand, relating to platform coverage of GlyphAllo, GlyphAgo and Glyph2BLSD, as well as design-around coverage, which are expected to expire between 2035 and 2036 We also co-own and exclusively license from Monash University two issued U.S. patents, two pending U.S. non-provisional patent applications and four pending patent applications in Australia, Canada, Europe, and Hong Kong, relating to platform coverage of Glyph2BLSD, as well as design-around coverage, which are expected to expire in 2039. The foregoing expiration dates may not account for potentially available patent term adjustments or extensions and terminal disclaimers, and assume payment of all appropriate maintenance, renewal, and annuity fees.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patent’s term may be lengthened by patent term adjustment, which compensates a patentee for administrative delays by the United States Patent and Trademark Office in examining and granting a patent, or may be shortened if a patent is terminally disclaimed over an earlier expiring patent. Our patent applications may not issue as patents, and even if issued, the scope or term of any issued patent may not afford sufficient protection or competitive advantage to our existing or future products. See the section titled “Risk Factors—Risks related to our intellectual property” for a more comprehensive description of risks related to our intellectual property.</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January 15, 2026, we have no outstanding litigation related to our intellectual property nor any threat to initiate claims against us. In the future, we may need to engage in litigation to enforce patents issued or licensed to us, to protect our trade secrets or know-how or to defend against claims of infringement of the rights of others. Such litigation could be costly and could divert our attention from other functions and responsibilities. We may not receive adequate remedies even if we prevail in such litigation and adverse determinations could subject us to significant liabilities to third parties, which could severely harm our business. See the section titled “Risk Factors—Risks related to our intellectual property” for a more comprehensive description of risks related to our intellectual property.</w:t>
      </w:r>
    </w:p>
    <w:p>
      <w:pPr>
        <w:spacing w:after="0" w:line="18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Although we rely on intellectual property rights, including patents, trademarks and trade secrets, as well as contractual protections to establish and protect our proprietary rights, we believe that factors such as the technological and creative skills of our personnel, creation of new solutions, features and functionality, and frequent enhancements to our platform are also essential to establishing and maintaining our technology leadership position.</w:t>
      </w:r>
    </w:p>
    <w:p>
      <w:pPr>
        <w:spacing w:after="0" w:line="15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and monitoring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and trade secret information. See the section titled “Risk Factors—Risks related to our intellectual property” for a more comprehensive description of risks related to our intellectual property.</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we plan to rely on regulatory protection based on orphan drug exclusivities, data exclusivities, and market exclusivities. See the section titled “—Government Regulation” for additional information.</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Further, we have and will continue to pursue trademark protection for our company name and brand. As of April 6, 2026, we own seventeen pending trademark applications in the United States and foreign jurisdictions, including eight allowed trademarks in the United States, and one registered trademark in Australia.</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Transfer Agreement with PureTech</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April 2024,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PureTech Health’s and PureTech LYT’s right, title, and interest in, to, and under the assets related to its Glyph technology or products, including the Monash License Agreement and the exclusive patents thereunder, subject to the terms set forth in the Asset Transfer Agreement. In exchange, we issued 40,000,000 shares of our Series A-1 convertible preferred stock and 302,161 shares of our common stock to PureTech LYT.</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Asset Transfer Agreement, we have agreed to make milestone payments for the first product covered by assets transferred through the Asset Transfer Agreement, or the first Seaport Glyph Product, of $2.0 million for the first patient dosed in the first phase 3 clinical trial, $4.0 million for the first commercial sale in the United States, $2.0 million for the first commercial sale in a major European market, and $2.0 million for the first commercial sale in Japan, and for each subsequent Seaport Glyph Product, we have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we are obligated to pay royalties between 3% and 5% on the annual net sales of each Seaport Glyph Product as follows: less than $500 million: 3%;</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$500 million to $1 billion: 3.5%; $1 billion to $2.5 billion: 4%; $2.5 billion to $3.5 billion: 4.5%; $3.5 billion or greater: 5%.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As of the date of this filing, the last-to-expire patents under the Asset Transfer Agreement expire in 2044, not including any patent term extension or patent term adjustment. We may update or revise the year of the last-to-expire patents as the transferred assets under the Asset Transfer Agreement include patents exclusively licensed under the Monash License Agreement which covers, in addition to a prespecified list, any patent or patent application that claims new intellectual property created under any research agreement entered into with Monash University. Please refer to the Monash License Agreement summary below for further information.</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event we license or sublicense to a third-party a product directed to an indication that is primarily affecting or manifesting in the brain, spinal cord, or peripheral nervous system (with the exception of and not including the enteric nervous system), including neurological, psychiatric, neuropsychiatric, pain, mental, and behavioral indications made using our Glyph platform under the Glyph intellectual property, transferred to us through the Asset Transfer Agreement, we have also agreed to pay a percentage of net income we receive from such third party under such a license within the range of 5%-7.5% and adjusted depending on the date such a license is granted, with the amount to be paid subject to certain reductions. Any such amount of net income are creditable against royalty payments.</w:t>
      </w:r>
    </w:p>
    <w:p>
      <w:pPr>
        <w:spacing w:after="0" w:line="18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Under the Asset Transfer Agreement, PureTech may from time to time request that we grant it a license under the Glyph technology to utilize certain products directed to an indication that is not primarily affecting or manifesting in the brain, spinal cord, or peripheral nervous system (such as, for example, neurological, psychiatric, neuropsychiatric, pain, mental, and behavioral indications) under license terms that have already been agreed to by PureTech and us in the Asset Transfer Agreement; provided that such products (i) are not subject to an agreement, or we are not actively engaged in negotiations, with a third party that would prevent us from granting such license, (ii) are not the subject of an internal research and development program, and (iii) have not been demonstrated or under experimental investigation by us to be potentially useful as a therapeutic for any disease, disorder, or condition primarily affecting or manifesting in the brain, spinal cord, or peripheral nervous system. PureTech’s right to request such a license terminates upon a change of control of either PureTech or us.</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Other than the upfront equity grant, we have not made any payments to date pursuant to the Asset Transfer Agreement. Should we sell our first controlled affiliate that has exclusive rights to utilize any Seaport Glyph Product, we will be obligated to pay a low double-digit percentage, within the range of 5% to 15%, of the value of the aggregate amount of all change of control consideration paid to us. We will not be obligated to pay any fee under the Asset Transfer Agreement in the event of a sale of the Company or any other subsequent controlled affiliate. The Asset Transfer Agreement closed on April 8, 2024, and it is not contractually permissible to terminate the Asset Transfer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Monash University Exclusive License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April 2024, PureTech Health exclusively assigned to us, and we assumed, all rights and obligations under the Original License Agreement. In March 2025, we entered Monash License Agreement. Pursuant to the Monash License Agreement, Monash University grants us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we and Monash University agreed to collaborate in conducting research and development activities.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Monash License Agreement, we have agreed to use reasonable commercial endeavors to (i) develop at least one Licensed Product,</w:t>
      </w:r>
    </w:p>
    <w:p>
      <w:pPr>
        <w:spacing w:after="0" w:line="27" w:lineRule="exact"/>
        <w:rPr>
          <w:sz w:val="20"/>
          <w:szCs w:val="20"/>
          <w:color w:val="auto"/>
        </w:rPr>
      </w:pPr>
    </w:p>
    <w:p>
      <w:pPr>
        <w:ind w:left="120" w:right="20" w:hanging="4"/>
        <w:spacing w:after="0" w:line="252" w:lineRule="auto"/>
        <w:tabs>
          <w:tab w:leader="none" w:pos="3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We grant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consideration for the licenses granted by Monash University, we are required to pay Monash University: (i) low-single digit royalties with a rate based on net sales per calendar year (subject to certain reductions); (ii) a low-double digit percentage (within the range of 5-15%)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 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We are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Monash License Agreement commenced on the execution date of the Original License Agreement and will expire seven years after the last of the Licensed Patents expires, unless terminated earlier. Although the last-to-expire patent licensed under the Monash License Agreement currently expires in 2041, the year of the last-to-expire patent may change as the Monash License Agreement covers, in addition to a prespecified list, any patent or patent application that claims new intellectual property created under any research agreement entered into with Monash University. Either party may terminate for due cause, including for material breach and bankruptcy. Monash University may terminate if we fail to meet our diligence requirements. Either party may terminate the Monash License Agreement if we determine that the activities are no longer commercially viable.</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first two development milestones for a total of $0.2 million were achieved and paid by PureTech as they occurred prior to our formation, and we have paid the third development milestone of $0.1 million as well as annual maintenance fees. No other milestones have occurred or have been paid under the Monash License Agreement as of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manufacturing, quality control, safety, effectiveness,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require the expenditure of substantial time and financial resources.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U.S. Federal Food, Drug, and Cosmetic Act, or FDCA, and its implementing regulations. The failure to comply with applicable U.S. requirements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seizures, total or partial suspension of production or distribution, injunctions, fines, product recalls, and other post-market actions, refusals of government contracts, restitution, disgorgement of profits, or civil or criminal investigations, and penalties brought by the FDA and the U.S. Department of Justice or other governmental entities.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31" w:lineRule="exact"/>
        <w:rPr>
          <w:sz w:val="20"/>
          <w:szCs w:val="20"/>
          <w:color w:val="auto"/>
        </w:rPr>
      </w:pPr>
    </w:p>
    <w:p>
      <w:pPr>
        <w:ind w:left="1080" w:right="4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or preclinical, laboratory tests, animal studies, and formulation studies in compliance with the FDA’s good laboratory practice, or GLP,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take effect before human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representing each clinical site before each clinical trial may be initiated at that site;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GCPs, to establish the safety and efficacy of the proposed drug product for each indication;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and payment of user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current Good Manufacturing Practices, or cGMP, requirements and to assure that the facilities, methods and controls are adequate to preserve the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Before an applicant begins testing a compound in humans, the drug candidate enters the preclinical testing stage. Preclinical studies include, among other things, laboratory evaluation of the purity and stability of the manufactured drug substance or active pharmaceutical ingredient, or API, and the 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safety and activity of the drug for initial testing in humans and to establish a rationale for therapeutic use. The conduct of certain preclinical studies is subject to federal regulations and requirements, including GLP regulations. Some long-term preclinical testing, such as animal tests of reproductive adverse effects, or AEs, and carcinogenicity, may continue after the IND is submitted.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 and IRB Processes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 IND is an exemption from the FDCA that allows an investigational drug to be shipped in interstate commerce for use in a clinical trial and a request for FDA authorization to administer such investigational drug to humans. Such authorization must be secured prior to interstate shipment and administration of the investigational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drug. In an IND, applicants must submit a protocol for each clinical trial and any subsequent protocol amendments. In addition, the results of the preclinical tests, manufacturing information, analytical data, any available clinical data or literature and plans for clinical trials, among other things, are submitted to the FDA as part of an IND. An IND automatically becomes effective 30 days after receipt by the FDA, unless before that time, the FDA raises concerns or questions related to one or more proposed clinical trials and places the trial on clinical hold. The FDA also may impose a clinical hold or partial clinical hold after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among other things, including review and approval by an independent ethics committee and obtaining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7"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Additionally, some trials are overseen by an independent group of qualified experts organized by the trial sponsor, known as a data safety monitoring board or committee. This group provides advice to the sponsor as to whether or not a trial may move forward at designated check points based on pre-specified criteria and access that only the group maintains to available data from the study. The FDA or the sponsor may suspend or terminate a clinical trial at any time on various grounds, including a finding that the research subjects are being exposed to an unacceptable health risk.</w:t>
      </w:r>
    </w:p>
    <w:p>
      <w:pPr>
        <w:spacing w:after="0" w:line="16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for public dissemination on its ClinicalTrials.gov website.</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or their legal representative,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which may overlap or be combined:</w:t>
      </w:r>
    </w:p>
    <w:p>
      <w:pPr>
        <w:spacing w:after="0" w:line="129" w:lineRule="exact"/>
        <w:rPr>
          <w:sz w:val="20"/>
          <w:szCs w:val="20"/>
          <w:color w:val="auto"/>
        </w:rPr>
      </w:pPr>
    </w:p>
    <w:p>
      <w:pPr>
        <w:ind w:left="1080" w:right="220" w:hanging="424"/>
        <w:spacing w:after="0" w:line="284"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product candidate is initially introduced into healthy human subjects or, in certain indications such as cancer,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target disease or condition and tested for safety, dosage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tolerance, absorption, metabolism, distribution, excretion and, if possible, to gain an early indication of its effectiveness, and to determine maximal dosage.</w:t>
      </w:r>
    </w:p>
    <w:p>
      <w:pPr>
        <w:spacing w:after="0" w:line="65" w:lineRule="exact"/>
        <w:rPr>
          <w:sz w:val="20"/>
          <w:szCs w:val="20"/>
          <w:color w:val="auto"/>
        </w:rPr>
      </w:pPr>
    </w:p>
    <w:p>
      <w:pPr>
        <w:ind w:left="1080" w:right="160" w:hanging="424"/>
        <w:spacing w:after="0" w:line="267"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product candidate is administered to a limited patient population with the specified disease or condition to identify possible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AEs and safety risks, to preliminarily evaluate the efficacy of the product for specific targeted diseases or conditions and to determine dosage tolerance and optimal dosage.</w:t>
      </w:r>
    </w:p>
    <w:p>
      <w:pPr>
        <w:spacing w:after="0" w:line="78" w:lineRule="exact"/>
        <w:rPr>
          <w:rFonts w:ascii="Times New Roman" w:cs="Times New Roman" w:eastAsia="Times New Roman" w:hAnsi="Times New Roman"/>
          <w:sz w:val="18"/>
          <w:szCs w:val="18"/>
          <w:color w:val="auto"/>
        </w:rPr>
      </w:pPr>
    </w:p>
    <w:p>
      <w:pPr>
        <w:ind w:left="1080" w:right="20" w:hanging="424"/>
        <w:spacing w:after="0" w:line="267"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product candidate is administered to an expanded patient population, generally at geographically dispersed clinical trial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well-controlled clinical trials with the intent to generate enough data to evaluate the efficacy and safety of the product for approval, to establish the overall risk-benefit profile of the product candidate and to provide adequate information for the labeling of the product.</w:t>
      </w:r>
    </w:p>
    <w:p>
      <w:pPr>
        <w:spacing w:after="0" w:line="17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Post-approval studies, sometimes referred to as Phase 4 studies, may be conducted after initial regulatory approval. These studies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 IND is active, progress reports detailing the results of the clinical trials, among other information, must be submitted at least annually to the FDA. In addition, within 15 calendar days after the sponsor determines that the information qualifies for reporting,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case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applicant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of an NDA by the FDA</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 significant application user fee as well as annual prescription drug product program fees. These fees are typically increased annually. Certain exceptions and waivers are available for some of these fees.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product candidate is ready for approval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for use in adults before pediatric clinical trials are complete or that additional safety or effectiveness data needs to be collected before any pediatric clinical trials begin. The FDA must send a non-compliance letter to any sponsor that fails to submit the required assessment, keep a deferral current or fails to submit a request for approval of a pediatric formulation.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before accepting the NDA for filing,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a product is safe and effective for its intended use and whether its manufacturing is cGMP compliant to assure and preserve the product’s identity, strength, quality, and purity. Under the performance goals and policies implemented by the FDA under the Prescription Drug User Fee Act, or PDUFA, FDA has agreed to specified performance goals in the review process of NDAs. Applications for drugs containing new molecular entities are meant to be reviewed within 10 months from the date of filing, and applications for “priority review” products containing new molecular entities are meant to be reviewed within six months of filing. The review process may be extended by the FDA for three additional months if FDA requests or the applicant otherwise provides additional information or clarification regarding information already provided in the submission within the last three months before the PDUFA goal date or is otherwise deemed a “major amendment” to the application.</w:t>
      </w:r>
    </w:p>
    <w:p>
      <w:pPr>
        <w:spacing w:after="0" w:line="19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 In addition, the FDA will typically inspect one or more clinical sites to assure compliance with GCP and the integrity of the clinical data submitted.</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risk evaluation and mitigation strategy, or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AEs, and whether the product is a new molecular entity.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w:t>
      </w:r>
    </w:p>
    <w:p>
      <w:pPr>
        <w:spacing w:after="0" w:line="19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Fast Track, Breakthrough Therapy, and Priority Review</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FDA has a number of programs intended to facilitate and expedite development and review of investigational drugs if they are intended to address an unmet medical need in the treatment of a serious or life-threatening disease or condition. Three of these programs are referred to as Fast Track Designation, Breakthrough Therapy Designation, and priority review designation.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First, the FDA may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disease or condition. For Fast Track product candidates, sponsors may have greater interactions with the FDA and the FDA may initiate review of sections of a Fast Track product candidate’s application before the application is complete. This rolling review may be available if the FDA determines, after preliminary evaluation of clinical data submitted by the sponsor, that a Fast Track product candidate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Second, a product candidate may be designated as a Breakthrough Therapy if it is intended, either alone or in combination with one or more other drugs products,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includes all of the benefits associated with Fast Track Designation, including the potential for rolling review of an NDA submission. In addition,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92"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Third, the FDA may designate an NDA review for a priority review if it is for a product candidate that treats a serious or life-threatening disease or condition and, if approved, would provide a significant improvement in safety or effectiveness compared to available therapies. The FDA determines, on a case-by-case basis, whether the product candidate may represent a significant improvement when compared with other available therapies. Significant improvement may be illustrated, among other things,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six months.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grant accelerated approval to a product candidate intended to treat a serious or life-threatening condition that provides meaningful therapeutic advantage to patients over existing treatments based upon a determination that the product candidate has an effect on a surrogate endpoint that is reasonably likely to predict clinical benefit or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accelerated approval pathway is often used in settings in which the course of a disease is long and an extended period of time is required to measure the intended clinical benefit of a product, even if the effect on the surrogate or intermediate clinical endpoint occurs rapidly.</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typically contingent on a sponsor’s agreement to conduct, in a diligent manner, additional post-approval confirmatory studies to verify and describe the product’s anticipated clinical benefit. As a result, a product candidate approved on this basis is subject to rigorous post-marketing compliance requirements, including the completion of Phase 4 or other post-approval clinical trials to verify and describe the anticipated the effect on the clinical endpoint. Under the Food and Drug Omnibus Reform Act of 2022, or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the FDA generally requires, unless otherwise informed by the agency, pre-approval of promotional materials for product candidates approved under accelerated regulations, which could adversely impact the timing of the commercial launch of the product.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FDA’s Decision on an NDA</w:t>
      </w:r>
    </w:p>
    <w:p>
      <w:pPr>
        <w:spacing w:after="0" w:line="121"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On the basis of the FDA’s evaluation of the NDA and accompanying information, including the results of any inspections of the manufacturing facilities and select clinical trial sites,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 complete response letter is issued, the applicant may resubmit the NDA to address all of the deficiencies identified in the letter, withdraw the application, or request a hearing. If the applicant resubmits the NDA, the FDA will issue an approval letter only when the deficiencies have been addressed to the FDA’s satisfaction.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or effectiveness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reporting of adverse experiences with the product and applicable product tracking and tracing requirements. After approval, many changes to the approved product, such as adding new indications or other labeling claims, are subject to prior FDA review and approval. There also are annual prescription drug product program fee requirements for certain marketed products.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and those supplying products, ingredients, and components of them are required to register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60"/>
          </w:cols>
          <w:pgMar w:left="320" w:top="455" w:right="5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NDA holder and any third-party manufacturers that the NDA holder may decide to use. Manufacturers and other parties involved in the drug supply chain for prescription drug products must also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w:t>
      </w:r>
    </w:p>
    <w:p>
      <w:pPr>
        <w:spacing w:after="0" w:line="17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9" w:lineRule="exact"/>
        <w:rPr>
          <w:sz w:val="20"/>
          <w:szCs w:val="20"/>
          <w:color w:val="auto"/>
        </w:rPr>
      </w:pPr>
    </w:p>
    <w:p>
      <w:pPr>
        <w:ind w:left="1080" w:right="18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voluntary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Amendments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companies to perform additional</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studies or measurements, including clinical trials, to support the change from the approved branded reference drug. The FDA may then approve the new product candidate for all, or some, of the labeled indications for which the branded reference drug has been approved, as well as for any new indication sought by the 505(b)(2) applicant.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or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 other testing.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Non-Patent Exclusivity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Hatch-Waxman Amendments, the FDA may not approve (or in some cases accept) an ANDA or 505(b)(2) application until any applicable period of non-patent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for non-NCE drugs if the NDA or a supplement to the NDA includes reports of one or more new clinical investigations, other than bioavailability or bioequivalence studies, that were conducted by or for the applicant and are essential to the approval of the application or supplement. This three-year exclusivity period often protects changes to a previously approved drug product, such as a new dosage form, route of administration, combination, or indication, but it generally would not protect the original, unmodified product from generic competition. Unlike five-year NCE exclusivity, an award of three-year exclusivity does not block the FDA from accepting ANDAs seeking approval for generic versions of the drug as of the date of approval of the original drug product; it only prevents FDA from approving such ANDAs.</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drug product can obtain pediatric market exclusivity in the United States. Pediatric exclusivity, if granted, adds six months to existing exclusivity periods for all formulations, dosage forms, and indications of the active moiety and to patent terms. This six-month exclusivity, which runs from the end of other exclusivity protection and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seeking approval of an NDA or a supplement thereto, NDA sponsors are required to list with the FDA each patent with claims that cover the applicant’s product or an approved method of using the product. Upon approval of an NDA, each of the patents listed in the application for the drug is published in the FDA’s Approved Drug Products with Therapeutic Equivalence Evaluations, commonly known as the Orange Book. Upon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submission of an ANDA or 505(b)(2) NDA, an applicant is required to certify to the FDA concerning any patents listed for the RLD in the Orange Book that:</w:t>
      </w:r>
    </w:p>
    <w:p>
      <w:pPr>
        <w:spacing w:after="0" w:line="67"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patent information on the drug product that is the subject of the application has been submitted to the FDA;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has expired;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patent expires; or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patent is invalid, unenforceable, or will not be infringed upon by the manufacture, use, or sale of the drug product for which the application is submitted.</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and within 60 days of drug approval. A patent that covers multiple drugs for which approval is sought can only be extended in connection with one of the approvals. The U.S. Patent and Trademark Office, or USPTO, reviews and approves the application for any patent term extension or restoration in consultation with the FDA.</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Drug Enforcement Administration Regulation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the potential to be regulated as controlled substances by the U.S. Drug Enforcement Administration, or DEA. The Controlled Substances Act of 1970, or CSA, establishes registration, security, recordkeeping, reporting, storage, distribution, and other requirements administered by the DEA. The DEA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 any controlled substance, and authorization must be obtained to destroy any controlled substance. In addition, special authorization and notification requirements apply to imports and exports.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meet its responsibilities, the DEA conducts periodic inspections of registered establishments that handle controlled substances. Failure to maintain compliance with applicable requirements, particularly as manifested in loss or diversion, can result in enforcement action. The DEA may seek civil penalties, refuse to renew necessary registrations, or initiate proceedings to revoke those registrations. In certain circumstances, violations can lead to criminal prosecution. Individual states also regulate controlled substances, and manufacturers are also subject to state regulation on distribution of these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other countries outside of the United States, such as those in Europe, Latin America, or Asia, the requirements governing product development, the conduct of clinical trials, product marketing, product licensing, pricing and reimbursement can vary from country to country. Failure to comply with applicable foreign regulatory requirements may subject sponsors, manufacturers, or marketers of pharmaceutical products to, among other things, fines, suspension, or withdrawal of regulatory authorizations and approvals, product recalls, seizure of products, operating restrictions and criminal prosecution.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obtaining marketing authorization, or MA,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similar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 application, or MAA, and granting of an MA by these authorities before the product can be marketed and sold in the EU.</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or GLP, as set forth in EU Directive 2004/10/EC (unless otherwise justified for certain particular medicinal products, e.g., radio-pharmaceutical precursors for radio-labeling purposes). These GLP standards reflect the Organization for Economic Co-operation and Development requirements.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repealed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allowed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88"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Medicines used in clinical trials must be manufactured in accordance with Good Manufacturing Practice, or GMP. Other national and EU-wide regulatory requirements may also apply.</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 candidates can only be commercialized after obtaining an MA. To obtain an MA, an applicant must submit an MAA either under a centralized procedure administered by the European Medicines Agency, or EMA, or one of the procedures administered by competent authorities in the EU member states (decentralized procedure or mutual recognition procedure) for obtaining an MA in multiple EU Member States.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or CHMP, of the European Medicines Agency, or EMA, and are valid throughout the EU. Pursuant to Regulation (EC) No 726/2004, the centralized procedure is compulsory for specific products, including for medicines produced by certain biotechnological processes, products designated as orphan medicinal products, advanced therapy medicinal products (gene therapy, somatic cell therapy and tissue-engineered products) and products with a new active substance indicated for the treatment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of certain diseases, including products for the treatment of HIV, AIDS, cancer, diabetes, neurodegenerative diseases,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76" w:lineRule="exact"/>
        <w:rPr>
          <w:sz w:val="20"/>
          <w:szCs w:val="20"/>
          <w:color w:val="auto"/>
        </w:rPr>
      </w:pPr>
    </w:p>
    <w:p>
      <w:pPr>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Under the centralized procedure, the maximum timeframe for the evaluation of an MAA by the EMA is 210 days, excluding clock stops, when additional information or written or oral explanation is to be provided by the applicant in response to questions asked by the CHMP. Clock stops may extend the timeframe of evaluation of an MAA considerably beyond 210 days. Accelerated evaluation might be granted by the CHMP in exceptional cases, when a medicinal product is of major interest from a public health perspective and in particular from the point of view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67 days from the date of the CHMP opinion, the European Commission will adopt its final decision on the MAA.</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MA has an initial validity of five years. The MA may be renewed after five years on the basis of a re-evaluation of the risk-benefit balance by the EMA or by the competent authority of the relevant EU member state for a nationally authorized product. To this end, the MA holder must provide the EMA or the competent authority with a consolidated version of the file in respect of quality, safety, and efficacy, including all variations introduced since the MA was granted, at least nine months before the MA ceases to be valid. Once renewed, the MA is valid for an unlimited period, unless the European Commission or the competent authorities of the relevant member states decide, on justified grounds relating to pharmacovigilance, to proceed with one further five year renewal period. Any authorization which is not followed by the actual placing of the medicinal product on the EU market (for centrally-authorized products) or on the market of the authorizing EU member state (for nationally-authorized products) within three years after authorization ceases to be valid (the so-called “sunset clause”).</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generally receive eight years of data exclusivity and an additional two years of market exclusivity upon grant of an MA. The data exclusivity period prevents applicants for authorization of generics or biosimilars of these innovative products from referencing the innovator’s preclinical and clinical trial data contained in the dossier of the reference product when applying for a generic or biosimilar (abbreviated) MA, for a period of eight years from the date on which the reference product was first authorized in the EU. During an additional two-year period of market exclusivity, a generic or biosimilar MAA can be submitted,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an MA based on an MAA with a complete and independent data package of pharmaceutical tests, preclinical tests and clinical trials.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1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can be designated as an orphan if its sponsor can establish that: (1) the product is intended for the diagnosis, prevention, or treatment of a life-threatening or chronically debilitating condition, (2) either (i) such condition affects no more than five in ten thousand persons in the EU when the application is made, or (ii) without the benefits derived from orphan status, it is unlikely that the marketing of the product in the EU would generate sufficient return to justify the necessary investment in its development; (3) there exists no satisfactory method of diagnosis, prevention, or treatment of the condition in question that has been authorized in the EU or, if such method exists, the product would be of significant benefit to those affected by that condition.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orphan designation provides a number of benefits, including fee reductions, regulatory assistance, and the possibility to apply for a centralized EU MA. Upon grant of an MA, orphan medicinal products are entitled to a ten-year period of market exclusivity, which means that the EMA and the competent authorities of the EU member states cannot accept another MAA, or grant an MA, or accept an application to extend an MA for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period of market exclusivity is extended by two years for orphan medicinal products that have also complied with an agreed pediatric investigation plan, or PIP. No extension to any supplementary protection certificate, or SPC, can be granted on the basis of pediatric studies for orphan indications. Orphan designation does not convey any advantage in, or shorten the duration of, the regulatory review and approval process.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an MA may be granted to a similar product for the same indication as an authorized orphan product at any time if (i) a second applicant can establish that its product, although similar to the authorized orphan product, is safer, more effective or otherwise clinically superior; (ii) the MA holder for the authorized orphan product consents to a second medicinal product application; or (iii) the MA holder for the authorized product cannot supply enough orphan medicinal product.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Regulation (EC) No 1901/2006 provides that prior to obtaining an MA in the EU, applicants have to demonstrate compliance with all measures included in a pediatric investigation plan, or PIP, agreed with the EMA’s Pediatric Committee, or PDCO, and covering all subsets of the pediatric population, unless the PDCO has granted (1) a product-specific waiver, (2) a class waiver, or (3) a deferral for one or more of the measures included in the PIP. The PIP sets out the timing and measures proposed to generate data to support a pediatric indication of the product for which an MA is being sought. Products that are granted an MA with the results of the pediatric clinical trials conducted in accordance with the PIP are eligible for a six-month extension of the protection under a SPC provided an application for such extension is made at the same time as filing the SPC application for the product, or at any point up to two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or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All new MAA must include a risk management plan, or RMP, describing the risk management system that the company will put in place and documenting measures to prevent or minimize the risks associated with the product.</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in the EU.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EU member states plus Norway, Liechtenstein, and Iceland.</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Council of the EU and the proposals may therefore be substantially revised before adoption, which is not anticipated before early 2026.</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Following the end of the Brexit transition period on January 1, 2021 and the implementation of the Windsor Framework on January 1, 2025, the United Kingdom, or UK, is not generally subject to EU laws in respect of medicines. The EU laws that have been transposed into UK law through secondary legislation remain applicable in the UK however, new legislation such as the (EU) CTR is not applicable in the UK.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Under the Medicines and Medical Devices Act 2021, the Secretary of State or an ‘appropriate authority’ have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of January 1, 2021, the Medicines and Healthcare products Regulatory Agency, or MHRA, is the UK’s standalone medicines and medical devices regulator. As a result of the Ireland/Northern Ireland protocol, different rules applied in Northern Ireland than in England, Wales, and Scotland (together, “Great Britain”, or GB), which continued to follow the EU regulatory regime.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187"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governed by the Medicines for Human Use (Clinical Trials) Regulations 2004, as amended, which is derived from the CTD, as implemented into UK national law through secondary legislation. In April 2025, the UK introduced the Medicines for Human Use (Clinical Trials) (Amendment) Regulations. These changes, which will take full effect from April 2026, aim to create a streamlined, risk-proportionate system that accelerates approvals while maintaining robust safety standards.</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addition,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MAs in the UK are governed by the Human Medicines Regulations (SI 2012/1916), as amended. All existing EU MAs for centrally authorized products were automatically converted or grandfathered into UK MAs, effective in GB (only), free of charge on January 1, 2021, unless the MA holder chose to opt-out. Under the terms of the Windsor Framework, these licenses became valid for the whole of the UK from January 1, 2025. In order to use the centralized procedure to obtain an MA that will be valid throughout the EEA, companies must be established in the EEA. Therefore, after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final decision should be received within 100 days (subject to clock-stops). In addition, since January 1, 2024, the MHRA may rely on the International Recognition Procedure, or IRP, when reviewing certain types of MAAs. Pursuant to the IRP, the MHRA will take into account the expertise and decision-making of trusted regulatory partners (e.g. the medicines regulatory authorities in Australia, Canada, Switzerland, Singapore, Japan, the U.S.A. and the EMA in the EU). The MHRA will conduct a targeted assessment of IRP applications but retain the authority to reject applications if the evidence provided is considered insufficiently robust. Applications should be decided within a maximum of 60 days if there are no major objections identified that cannot be resolved within such 60 day period and the approval from the trusted regulatory partner selected has been granted within the previous 2 years. If there are such major objections identified or such approval hasn’t been granted within the previous 2 years, then the relevant timeframe for the MHRA decision is within 110 days. Applicants can submit initial MAAs to the IRP but the procedure can also be used throughout the lifecycle of a product for post-authorization procedures including line extensions, variations, and renewals.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UK, the initial duration of an MA is five years and following renewal will be valid for an unlimited period unless the MHRA decides on justified grounds relating to pharmacovigilance, to proceed with only one additional five-year renewal. Any authorization which is not followed by the actual placing of the medicine on the market in the UK (or GB, if the MA is only valid in GB) within three (3) years shall cease to be in force.</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There is no pre-MA orphan designation in the UK. Instead, the MHRA reviews applications for orphan designation in parallel to the corresponding MA application. The criteria are essentially the same,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 laws that may affect our ability to operate, and our proposed sales, marketing, and distribution strategies, include, but are not limited to:</w:t>
      </w:r>
    </w:p>
    <w:p>
      <w:pPr>
        <w:spacing w:after="0" w:line="81" w:lineRule="exact"/>
        <w:rPr>
          <w:sz w:val="20"/>
          <w:szCs w:val="20"/>
          <w:color w:val="auto"/>
        </w:rPr>
      </w:pPr>
    </w:p>
    <w:p>
      <w:pPr>
        <w:ind w:left="1080" w:right="20" w:hanging="424"/>
        <w:spacing w:after="0" w:line="25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FCA (discussed below);</w:t>
      </w:r>
    </w:p>
    <w:p>
      <w:pPr>
        <w:spacing w:after="0" w:line="93"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FCA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7" w:lineRule="exact"/>
        <w:rPr>
          <w:rFonts w:ascii="Times New Roman" w:cs="Times New Roman" w:eastAsia="Times New Roman" w:hAnsi="Times New Roman"/>
          <w:sz w:val="18"/>
          <w:szCs w:val="18"/>
          <w:color w:val="auto"/>
        </w:rPr>
      </w:pPr>
    </w:p>
    <w:p>
      <w:pPr>
        <w:ind w:left="1080" w:right="80" w:hanging="424"/>
        <w:spacing w:after="0" w:line="273" w:lineRule="auto"/>
        <w:tabs>
          <w:tab w:leader="none" w:pos="10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these statutes without actual knowledge of the statutes or specific intent to violate them;</w:t>
      </w:r>
    </w:p>
    <w:p>
      <w:pPr>
        <w:spacing w:after="0" w:line="76" w:lineRule="exact"/>
        <w:rPr>
          <w:rFonts w:ascii="Times New Roman" w:cs="Times New Roman" w:eastAsia="Times New Roman" w:hAnsi="Times New Roman"/>
          <w:sz w:val="17"/>
          <w:szCs w:val="17"/>
          <w:color w:val="auto"/>
        </w:rPr>
      </w:pPr>
    </w:p>
    <w:p>
      <w:pPr>
        <w:ind w:left="1080" w:right="2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take appropriate steps to keep consumers’ personal information secure could constitute an unfair act or practice in or affecting commerce in violation of Section 5(a) of the Federal Trade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Commission Act, 15 U.S.C. § 45(a) or similar state laws. The Federal Trade Commission, or FTC, and state regulators expect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5" w:lineRule="exact"/>
        <w:rPr>
          <w:sz w:val="20"/>
          <w:szCs w:val="20"/>
          <w:color w:val="auto"/>
        </w:rPr>
      </w:pPr>
    </w:p>
    <w:p>
      <w:pPr>
        <w:ind w:left="1080" w:right="100" w:hanging="424"/>
        <w:spacing w:after="0" w:line="254"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created under the Patient Protection and Affordable Care Act, as amended by the Health Care and Education Reconciliation Act, or collectively, the ACA, and its implementing regulations requires manufacturers of drugs, devices, biologicals, and medical supplies for which payment is available under Medicare, Medicaid or the Children’s Health Insurance Program (with certain exceptions) to report annually to the Department of Health and Human Services, or HHS, information related to payments or other transfers of value made to physicians (defined to include doctors, dentists, optometrists, podiatrists, and chiropractors), certain other licensed healthcare professionals (i.e., physician assistants, nurse practitioners, clinical nurse specialists, anesthesiologist assistants, certified registered nurse anesthetists, and certified nurse midwives), and teaching hospitals, as well as ownership and investment interests held by physicians and their immediate family members;</w:t>
      </w:r>
    </w:p>
    <w:p>
      <w:pPr>
        <w:spacing w:after="0" w:line="9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Federal, state, and foreign enforcement bodies are continuing to increase their scrutiny of interactions between healthcare companies and healthcare providers, which has led to a number of investigations, prosecutions, convictions, and settlements in the healthcare industry. If our operations are found to be in violation of any of such laws or any other governmental regulations that apply, we may be subject to significant penalties, including, without limitation, administrative, civil, and criminal penalties, damages, fines, disgorgement, contractual damages, the curtailment or restructuring of operations, integrity oversight and reporting obligations, exclusion from participation in federal and state healthcare programs, reputational harm, diminished profits and future earnings, and individual imprisonment.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w:t>
      </w:r>
    </w:p>
    <w:p>
      <w:pPr>
        <w:spacing w:after="0" w:line="121"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upon which we rely collect, receive, store, or otherwise process personal data, including information we may collect about participants in our clinical trials. This personal data can also include data that is considered “sensitive” personal data under privacy laws, policies, or agreements to which we are subject. Accordingly, we are, or may be become, subject to numerous, evolving privacy and data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These privacy and data security laws are evolving and may impose potentially conflicting obligations. Such obligations may include, without limitation, federal health information privacy laws, state information security and data breach notification laws, state health information privacy laws, and federal and state consumer protection laws (e.g., the Federal Trade Commission Act). 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Additionally, a smaller number of states have passed or are considering laws governing the privacy of consumer health data. While existing state consumer privacy laws provide exemptions for data processed in the context of clinical trials, the continued development of complex requirements at the state level may further complicate compliance efforts and may impact our business activities, including our identification of research subjects, relationships with business partners and ultimately the marketing and distribution of our products, and are examples of the increasingly stringent and evolving regulatory frameworks related to personal data processing, as more fully discussed in the section titled “Risk Factors.”.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Additionally, to the extent we collect personal data outside of the United States, through clinical trials or otherwise, we are, or may become, subject to foreign data and data security laws, such as the European Union’s General Data Protection Regulation 2016/679, or EU GDPR, and other national data protection legislation in force in relevant EEA Member States, and the EU GDPR as it forms part UK law by virtue of section 3 of the European Union (Withdrawal) Act 2018, or UK GDPR. Foreign privacy and data security laws impose significant and complex compliance obligations on entities that are subject to those laws and may impose significant sanctions for non-compliance (including fines of up to the greater of 20 million Euros (17.5 million GBP for the UK) or 4% of worldwide annual revenue), as more fully discussed in the section titled “Risk Factors.”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costs associated with their prescription. Therefore, adequate coverage and reimbursement from such third-party payors are critical to new and ongoing product acceptance.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Factors payors consider in determining coverage and reimbursement are based on whether the product is:</w:t>
      </w:r>
    </w:p>
    <w:p>
      <w:pPr>
        <w:spacing w:after="0" w:line="93"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In the United States,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A third-party payor’s decision to provide coverage for a product does not imply that an adequate reimbursement rate will be approved. Therefore, even if coverage is provided, the approved reimbursement amount may not be high enough to allow us to establish or maintain pricing sufficient to realize a return on our investment.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examining the medical necessity, and reviewing the cost- effectiveness of medical products and services and imposing controls to manage costs.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as the process of determining coverage and reimbursement is often time consuming and costly. 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Moreover, coverage may be more limited than the purposes for which the product is approved by FDA or regulatory authorities in other countries. Additionally, companies may also need to provide discounts to purchasers, private health plans, or government healthcare programs. Third-party payors may limit coverage to specific products on an approved list, also known as a formulary, which might not include all of the approved products for a particular indication. Third-party payors could determine that our product candidates are not medically necessary or cost effective. A decision by a third-party payor not to cover a product could reduce physician utilization once the product is approved and have a material adverse effect on sales, results of operations and our financial condition.</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including the relaxation of laws that presently restrict imports of drugs from countries where they may be sold at lower prices than in the United States.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Further, third-party payors are increasingly reducing reimbursements for drugs and services and implementing measures to control utilization of drugs (such as requiring prior authorization or step therapy for coverage, among other things).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Even if favorable coverage and reimbursement status is attained for one or more products for which we receive regulatory approval, less favorable coverage policies and reimbursement rates may be implemented in the future. Moreover, payment methodologies may be subject to changes in healthcare legislation and regulatory initiatives. For example, the U.S. Centers for Medicare &amp; Medicaid Services, or CMS, may develop new payment and delivery models, such as bundled payment models. In addition, recently there has been heightened governmental scrutiny over the manner in which manufacturers set prices for their commercial products, which has resulted in several U.S.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3" w:lineRule="exact"/>
        <w:rPr>
          <w:sz w:val="20"/>
          <w:szCs w:val="20"/>
          <w:color w:val="auto"/>
        </w:rPr>
      </w:pPr>
    </w:p>
    <w:p>
      <w:pPr>
        <w:ind w:left="120" w:right="1180" w:firstLine="440"/>
        <w:spacing w:after="0" w:line="282"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and regulatory changes to the healthcare system that could impact our ability to sell our products profitably. For example, in March 2010,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 among other things:</w:t>
      </w:r>
    </w:p>
    <w:p>
      <w:pPr>
        <w:spacing w:after="0" w:line="89" w:lineRule="exact"/>
        <w:rPr>
          <w:sz w:val="20"/>
          <w:szCs w:val="20"/>
          <w:color w:val="auto"/>
        </w:rPr>
      </w:pPr>
    </w:p>
    <w:p>
      <w:pPr>
        <w:ind w:left="1080" w:right="36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50% point-of-sale discount off negotiated prices of applicable brand drugs to eligible beneficiaries during their coverage gap period, as a condition for the manufacturer’s outpatient drugs to be covered under Medicare Part D (later increased to 70%); and</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legislative challenges to certain aspects of the ACA as well as executive orders related to the ACA’s implementation. It is unclear how healthcare reform measures of the current presidential administration or other efforts, if any, to challenge repeal or replace the ACA, will impact our business.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and health plans (including Part D prescription drug plans) of up to 2% per fiscal year, effective April 1, 2013, and which will stay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effect through 2032, unless Congress takes additional action. Additionally, American Taxpayer Relief Act of 2012, which, among other things, reduced Medicare payments to several providers, and increased the statute of limitations period for the government to recover overpayments to providers from three to five years. Moreover, the One Big Beautiful Bill Act, which was enacted in July 2025, imposes significant reductions in the funding of the Medicaid program. Such reductions are expected to decrease the number of persons enrolled in Medicaid and reduce the services covered by Medicaid. These new laws and regulatory changes may result in additional reductions in Medicare and other healthcare funding, which could have a material adverse effect on prescribers of our drugs, if approved, and accordingly, our financial operations.</w:t>
      </w:r>
    </w:p>
    <w:p>
      <w:pPr>
        <w:spacing w:after="0" w:line="18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as of January 1, 2024, the American Rescue Plan Act of 2021 eliminated the statutory Medicaid drug rebate cap of 100% of a drug’s average manufacturer price, for single source and innovator multiple source drugs. More recently, the Inflation Reduction Act of 2022, or IRA, among other things, directed HHS to negotiate the price of certain high-expenditure, single-source drugs and biologics covered under Medicare, and created civil monetary penalties and an excise tax for manufacturers that fail to comply with the drug price negotiation requirements. The IRA also imposed rebates for certain drugs and biologics covered under Medicare Part B or Medicare Part D to penalize price increases that outpace inflation, and, beginning in 2025, replaced the Part D coverage gap discount program with a new discounting program. The IRA permits HHS to implement many of these provisions through guidance, as opposed to regulation, for the initial years. On August 15, 2024, HHS announced the negotiated prices for the first ten drugs that will be subject to price negotiations, and on January 17, 2025, HHS announced 15 additional drugs subject to negotiations. The Medicare drug price negotiation program is currently subject to multiple legal challenges. The impact of these challenges, as well as any other future challenges, is uncertain, and it is unclear how the IRA will be implemented but is likely to have a significant impact on the pharmaceutical industry.</w:t>
      </w:r>
    </w:p>
    <w:p>
      <w:pPr>
        <w:spacing w:after="0" w:line="19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product candidates, if approved.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2020, FDA released its implementing regulations regarding section 804 Importation Programs under the Medicare Prescription Drug Improvement and Modernization Act of 2003, which create a pathway for states to submit proposals to import certain drugs from Canada. On January 5, 2024, the FDA authorized a Florida program to import prescription drugs from Canada for a period of two years to help reduce drug costs, provided that Florida’s Agency for Health Care Administration meets the requirements set forth by the FDA. If broadly implemented, importation of drugs under this program from Canada may materially and adversely affect the price we receive for any of our product candidates. Additionally, it is unclear what steps the current presidential administration will take with respect to increasing importation of drugs at the state or federal level.</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Individual states have also been increasingly active in passing legislation and implementing regulations designed to control pharmaceutical and biological product pricing, including price or patient reimbursement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particularly in light of the new presidential administration, any of which could limit the amounts that federal and state governments will pay for healthcare products and services.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authorization through additional legislation to become effective, and the current presidential administration may reverse or otherwise change these measures, both the current presidential administration and Congress have indicated that they will continue to seek new legislative measures to control drug costs.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9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80" w:lineRule="exact"/>
        <w:rPr>
          <w:sz w:val="20"/>
          <w:szCs w:val="20"/>
          <w:color w:val="auto"/>
        </w:rPr>
      </w:pPr>
    </w:p>
    <w:p>
      <w:pPr>
        <w:ind w:left="120" w:right="320" w:firstLine="440"/>
        <w:spacing w:after="0" w:line="281" w:lineRule="auto"/>
        <w:rPr>
          <w:sz w:val="20"/>
          <w:szCs w:val="20"/>
          <w:color w:val="auto"/>
        </w:rPr>
      </w:pPr>
      <w:r>
        <w:rPr>
          <w:rFonts w:ascii="Times New Roman" w:cs="Times New Roman" w:eastAsia="Times New Roman" w:hAnsi="Times New Roman"/>
          <w:sz w:val="17"/>
          <w:szCs w:val="17"/>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6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December 13, 2021, Regulation No 2021/2282 on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66" w:lineRule="auto"/>
        <w:rPr>
          <w:sz w:val="20"/>
          <w:szCs w:val="20"/>
          <w:color w:val="auto"/>
        </w:rPr>
      </w:pPr>
      <w:r>
        <w:rPr>
          <w:rFonts w:ascii="Times New Roman" w:cs="Times New Roman" w:eastAsia="Times New Roman" w:hAnsi="Times New Roman"/>
          <w:sz w:val="18"/>
          <w:szCs w:val="18"/>
          <w:color w:val="auto"/>
        </w:rPr>
        <w:t>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maintain a physical corporate office for administrative purposes and a small non-GxP lab space, which we do not view as material.</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our existing facilities arrangements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April 1, 2026, we had 58 full-time employees. Within our workforce, 39 employees are engaged in research and development and 19 are engaged in business development, finance, legal, and general management and administration. Our human capital resources objectives include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 None of our employees is represented by a labor union or covered by a collective bargaining agreement. We consider our relationship with our employees to be good.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prospectus: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5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Daphne Zohar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 Chen, Ph.D.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Lana Gladstein, J.D.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 White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
        </w:trPr>
        <w:tc>
          <w:tcPr>
            <w:tcW w:w="5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60" w:type="dxa"/>
            <w:vAlign w:val="bottom"/>
          </w:tcPr>
          <w:p>
            <w:pPr>
              <w:spacing w:after="0"/>
              <w:rPr>
                <w:sz w:val="7"/>
                <w:szCs w:val="7"/>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Board Chair</w:t>
            </w: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James I. Healy, M.D., Ph.D. </w:t>
            </w:r>
            <w:r>
              <w:rPr>
                <w:rFonts w:ascii="Times New Roman" w:cs="Times New Roman" w:eastAsia="Times New Roman" w:hAnsi="Times New Roman"/>
                <w:sz w:val="25"/>
                <w:szCs w:val="25"/>
                <w:color w:val="auto"/>
                <w:vertAlign w:val="superscript"/>
              </w:rPr>
              <w:t>(3)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Robert J. Hombach </w:t>
            </w:r>
            <w:r>
              <w:rPr>
                <w:rFonts w:ascii="Times New Roman" w:cs="Times New Roman" w:eastAsia="Times New Roman" w:hAnsi="Times New Roman"/>
                <w:sz w:val="25"/>
                <w:szCs w:val="25"/>
                <w:color w:val="auto"/>
                <w:vertAlign w:val="superscript"/>
              </w:rPr>
              <w:t>(3)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Mates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Sandra E. Peterson </w:t>
            </w:r>
            <w:r>
              <w:rPr>
                <w:rFonts w:ascii="Times New Roman" w:cs="Times New Roman" w:eastAsia="Times New Roman" w:hAnsi="Times New Roman"/>
                <w:sz w:val="25"/>
                <w:szCs w:val="25"/>
                <w:color w:val="auto"/>
                <w:vertAlign w:val="superscript"/>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Jason Pitts, Ph.D.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Denice Torres, J.D. </w:t>
            </w:r>
            <w:r>
              <w:rPr>
                <w:rFonts w:ascii="Times New Roman" w:cs="Times New Roman" w:eastAsia="Times New Roman" w:hAnsi="Times New Roman"/>
                <w:sz w:val="25"/>
                <w:szCs w:val="25"/>
                <w:color w:val="auto"/>
                <w:vertAlign w:val="superscript"/>
              </w:rPr>
              <w:t>(1)(2)(3)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David Wheadon, M.D.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Daphne Zohar. </w:t>
      </w:r>
      <w:r>
        <w:rPr>
          <w:rFonts w:ascii="Times New Roman" w:cs="Times New Roman" w:eastAsia="Times New Roman" w:hAnsi="Times New Roman"/>
          <w:sz w:val="18"/>
          <w:szCs w:val="18"/>
          <w:color w:val="auto"/>
        </w:rPr>
        <w:t>Ms. Zohar was our founder and has served as our President and Chief Executive Officer and as a member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April 2024. Prior to joining us, Ms. Zohar served as Founder, Chief Executive Officer and as a member of the board of directors of PureTech (Nasdaq/LSE: PRTC), since its formation in June 2015 to April 2024, and since 2005 at PureTech’s predecessor entity. A successful entrepreneur, Ms. Zohar created PureTech, assembling a leading team and scientific network to help implement her vision for the company, and was a key participant in fundraising, business development and establishing the underlying programs and platforms that have resulted in PureTech’s substantial pipeline of products and product candidates. She also co-founded PureTech’s entities, including Karuna Therapeutics, Inc. (formerly Nasdaq: KRTX), which developed the groundbreaking antipsychotic drug, Cobenfy (KarXT). The FDA approval of Cobenfy in September 2024 marked the first new schizophrenia mechanism in 70 years. Following FDA approval of Cobenfy (invented by PureTech), Karuna was acquired by Bristol Myers Squibb for $14 billion. Ms. Zohar was a key driver in PureTech’s productive R&amp;D engine, which led to 28 new medicines and a clinical success rate at PureTech and founded entities that was around six times better than the industry average during her tenure. Ms. Zohar is a founder &amp; co-host of the weekly podcast “Biotech Hangout.” Ms. Zohar received a B.S. from Northeastern University. Our board of directors believes that Ms. Zohar is qualified to serve as a member of our board of directors because of her extensive experience and leadership in the biopharmaceutical industry and her role as our company’s founder and chief executive officer.</w:t>
      </w:r>
    </w:p>
    <w:p>
      <w:pPr>
        <w:spacing w:after="0" w:line="187"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Michael C. Chen, Ph.D. </w:t>
      </w:r>
      <w:r>
        <w:rPr>
          <w:rFonts w:ascii="Times New Roman" w:cs="Times New Roman" w:eastAsia="Times New Roman" w:hAnsi="Times New Roman"/>
          <w:sz w:val="18"/>
          <w:szCs w:val="18"/>
          <w:color w:val="auto"/>
        </w:rPr>
        <w:t>Dr. Chen has served as our Chief Scientific Officer since May 2024. Prior to joining us, Dr. Chen served various roles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PureTech from 2016 to May 2024, most recently as Head of</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58" w:lineRule="auto"/>
        <w:rPr>
          <w:sz w:val="20"/>
          <w:szCs w:val="20"/>
          <w:color w:val="auto"/>
        </w:rPr>
      </w:pPr>
      <w:r>
        <w:rPr>
          <w:rFonts w:ascii="Times New Roman" w:cs="Times New Roman" w:eastAsia="Times New Roman" w:hAnsi="Times New Roman"/>
          <w:sz w:val="18"/>
          <w:szCs w:val="18"/>
          <w:color w:val="auto"/>
        </w:rPr>
        <w:t>Innovation from 2016 to May 2024, where he oversaw the rapid advancement of the neuropsychiatric medicines that led to our launch. From 2016 to 2019, Dr. Chen was also co-founder and Head of Research and Strategy at Sonde Health, Inc., a company developing vocal biomarkers for depression and other neuropsychiatric disorders. He was a postdoctoral fellow at Beth Israel Deaconess Medical Center and Harvard Medical School, Department of Neurology. Dr. Chen completed his Ph.D. at Stanford University, focusing on the neurobiological mechanisms of depression and sleep disorders. He received a B.A. from Yale University.</w:t>
      </w:r>
    </w:p>
    <w:p>
      <w:pPr>
        <w:spacing w:after="0" w:line="179"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Lana Gladstein, J.D. </w:t>
      </w:r>
      <w:r>
        <w:rPr>
          <w:rFonts w:ascii="Times New Roman" w:cs="Times New Roman" w:eastAsia="Times New Roman" w:hAnsi="Times New Roman"/>
          <w:sz w:val="18"/>
          <w:szCs w:val="18"/>
          <w:color w:val="auto"/>
        </w:rPr>
        <w:t>Ms. Gladstein has served as our General Counsel since June 2024. Prior to joining us, she served as the Group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at APRINOIA Therapeutics, Inc. (Nasdaq: APRI) from May 2023 to June 2024. From June 2022 to May 2023, she also served as Chief Legal Officer of Recipharm AB North America from June 2022 to May 2023, Chief Legal Officer and General Counsel of Arranta Bio (acquired by Recipharm) from November 2019 to May 2023 and Executive Vice President and General Counsel of Brammer Bio (acquired by Thermo Fisher Scientific) from March 2017 to October 2019. Prior to that, Ms. Gladstein was a partner at the law firm of Nutter McClennen &amp; Fish LLP and Pepper Hamilton LLP. Ms. Gladstein holds a J.D. from Northeastern University School of Law and a B.A. in Biology from Brandeis University.</w:t>
      </w:r>
    </w:p>
    <w:p>
      <w:pPr>
        <w:spacing w:after="0" w:line="18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Antony Loebel, M.D. </w:t>
      </w:r>
      <w:r>
        <w:rPr>
          <w:rFonts w:ascii="Times New Roman" w:cs="Times New Roman" w:eastAsia="Times New Roman" w:hAnsi="Times New Roman"/>
          <w:sz w:val="18"/>
          <w:szCs w:val="18"/>
          <w:color w:val="auto"/>
        </w:rPr>
        <w:t>Dr. Loebel has served as our Chief Medical Officer and President of Clinical Development since June 2024. He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the President and Chief Executive Officer of Sunovion Pharmaceuticals Inc. from April 2019 to June 2023, and served as Chief Medical Officer from 2011 to March 2019. During his tenure at Sunovion, Dr. Loebel played a key role in the company’s growth to over $3.5 billion in total revenue and was instrumental in the development and commercialization of Latuda for the treatment of bipolar depression and schizophrenia. Prior to his time at Sunovion, he held senior roles in research and development and medical affairs at Dainippon Sumitomo Pharma America and Pfizer Inc. (NYSE: PFE). Dr. Loebel earned his M.D. from the University of Washington in Seattle, completed his psychiatry residency at the Zucker Hillside Hospital in New York, and is board certified in psychiatry.</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Lauren A. White. </w:t>
      </w:r>
      <w:r>
        <w:rPr>
          <w:rFonts w:ascii="Times New Roman" w:cs="Times New Roman" w:eastAsia="Times New Roman" w:hAnsi="Times New Roman"/>
          <w:sz w:val="18"/>
          <w:szCs w:val="18"/>
          <w:color w:val="auto"/>
        </w:rPr>
        <w:t>Ms. White has served as our Chief Financial Officer since November 2024. Prior to joining us, Ms. White served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Treasurer of ImmunoGen, Inc. (formerly Nasdaq: IMGN), or ImmunoGen, from September 2023 to June 2024 prior to its acquisition by AbbVie. Prior to that, she served as Chief Financial Officer, Treasurer, and Principal Accounting Officer at C4 Therapeutics, Inc. (Nasdaq: CCCC) from June 2021 to September 2023, and held roles of increasing responsibility at Novartis AG (NYSE: NVS), most recently as Vice President, Finance, and Global Head of Business Planning and Analysis at Novartis Institutes for BioMedical Research from July 2017 to June 2021. Ms. White earned an M.B.A. from Harvard Business School and a B.S. from the Carroll School of Management at Boston College.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Steven M. Paul, M.D. </w:t>
      </w:r>
      <w:r>
        <w:rPr>
          <w:rFonts w:ascii="Times New Roman" w:cs="Times New Roman" w:eastAsia="Times New Roman" w:hAnsi="Times New Roman"/>
          <w:sz w:val="18"/>
          <w:szCs w:val="18"/>
          <w:color w:val="auto"/>
        </w:rPr>
        <w:t>Dr. Paul has been a member and chair of our board of directors since April 2024. Dr. Paul was one of our founders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served as our senior advisor since February 2024. From August 2018 to January 2024, Dr. Paul served in senior leadership roles at Karuna Therapeutics, Inc. (Nasdaq: KRTX, prior to its recent acquisition by Bristol Myers Squibb Company), including as Chief Scientific Officer and President of Research and Development from January 2023 to January 2024, and President, Chief Executive Officer, and Chairman of the board of directors from August 2018 to January 2023. Dr. Paul has also served as a Venture Partner at Third Rock Ventures since 2010. Dr. Paul is also board certified by the American Board of Psychiatry and Neurology. Dr. Paul has served on the board of directors of Rapport Therapeutics, Inc. (Nasdaq: RAPP) since December 2022 and Sage Therapeutics, Inc. (Nasdaq: SAGE) from September 2011 until June 2024 and is also the chairman of the board of directors of the Foundation for the National Institutes of Health (FNIH). Previously, Dr. Paul served on the boards of directors of Alnylam Pharmaceuticals, Inc. (Nasdaq: ALNY) from September 2010 to April 2022, Voyager Therapeutics, Inc. (Nasdaq: VYGR) from September 2014 to June 2022 and Karuna Therapeutics, Inc. from March 2018 to March 2024. Dr. Paul also previously spent 17 years at Eli Lilly and Company (NYSE: LLY), during which time he held several leadership roles, including Executive Vice President for Science and Technology, and President of the Lilly Research Laboratories. Prior to Lilly, Dr. Paul</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spent 18 years at the National Institute of Mental Health (NIMH) where he served as Scientific Director. Dr. Paul received a Bachelor of Arts degree in biology and psychology from Tulane University and Master of Science and Doctor of Medicine degrees from the Tulane University School of Medicine. Our board of directors believes that Dr. Paul is qualified to serve on our board of directors due to his numerous leadership roles and experience in the pharmaceutical industry and his expertise in neuroscience.</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James I. Healy, M.D., Ph.D. </w:t>
      </w:r>
      <w:r>
        <w:rPr>
          <w:rFonts w:ascii="Times New Roman" w:cs="Times New Roman" w:eastAsia="Times New Roman" w:hAnsi="Times New Roman"/>
          <w:sz w:val="18"/>
          <w:szCs w:val="18"/>
          <w:color w:val="auto"/>
        </w:rPr>
        <w:t>Dr. Healy has been a member of our board of directors since April 2024. Dr. Healy has served as Managing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Sofinnova Investments, Inc. since June 2000. Dr. Healy has served on the boards of directors of Rapport Therapeutics, Inc. (Nasdaq: RAPP) since August 2023, ArriVent Biopharma, Inc. (Nasdaq: AVBP) since March 2023 and BioAge Labs, Inc. (Nasdaq: BIOA) since February of 2024. Previously, Dr. Healy served on numerous public company boards of directors including Bolt Biotherapeutics, Inc. (Nasdaq: BOLT) from January 2021 until September 2024, Natera, Inc. (Nasdaq: NTRA) from November 2014 until June 2025, Y-mAbs Therapeutics, Inc. (Nasdaq: YMAB) from November 2017 until September 2025, Ascendis Pharma A/S (Nasdaq: ASND) from November 2014 to May 2022, Amarin Corporation PLC (Nasdaq: AMRN) from May 2008 to December 2016, CinCor Pharma, Inc. (Nasdaq: CINC, prior to its recent acquisition by AstraZeneca PLC) from May 2019 to February 2023, Coherus BioSciences, Inc. (Nasdaq: CHRS) from February 2014 to February 2022, Karuna Therapeutics, Inc. (Nasdaq: KRTX, prior to its recent acquisition by Bristol Myers Squibb Company) from June 2019 to March 2024, Iterum Therapeutics plc (Nasdaq: ITRM) from November 2015 to February 2020, ObsEva SA (Nasdaq: OBSEF) from August 2013 to May 2021, and NuCana PLC (Nasdaq: NCNA) from March 2014 to April 2022. He also previously served as a director on the Board of the National Venture Capital Association (NVCA) and the Board of the Biotechnology Industry Organization (BIO). Dr. Healy holds Bachelor of Arts degrees in molecular biology and Scandinavian studies from the University of California, Berkeley, and Doctor of Medicine and Doctor of Philosophy degrees in immunology from Stanford University School of Medicine. Our board of directors believes that Dr. Healy is qualified to serve on our board of directors due to his extensive experience and leadership roles in the biopharmaceutical industry and expertise in healthcare investing.</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Robert J. Hombach. </w:t>
      </w:r>
      <w:r>
        <w:rPr>
          <w:rFonts w:ascii="Times New Roman" w:cs="Times New Roman" w:eastAsia="Times New Roman" w:hAnsi="Times New Roman"/>
          <w:sz w:val="18"/>
          <w:szCs w:val="18"/>
          <w:color w:val="auto"/>
        </w:rPr>
        <w:t>Mr. Hombach has been a member of our board of directors since March 2025. Mr. Hombach served as the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Chief Financial Officer and Chief Operations Officer of Baxalta (NYSE: BXLT), a global biopharmaceutical company, until it was acquired by Shire plc. in 2016. Mr. Homach has served on the board of directors of Henry Schein Inc (Nasdaq: HSIC) since February, 2025, BioMarin Pharmaceutical Inc (Nasdaq: BMRN) since September 2017, Embecta Corp. (Nasdaq: EMBC) since April, 2022, Aptinyx Inc. from April, 2018 to December, 2023, CarMax Inc, (NYSE: KMX) from March, 2018 to June, 2022. He was instrumental in Baxalta’s successful spin off from its parent company, Baxter (NYSE: BAX), where he previously served as Corporate Vice President and Chief Financial Officer. In addition to his board positions at BioMarin and Henry Schein, Mr. Hombach is the Chair of the Audit Committee at Embecta, a global diabetes care company spun out of Becton Dickinson, and has held previous board positions at several other companies including Naurex, Inc., which was acquired by Allergan in 2015.</w:t>
      </w:r>
    </w:p>
    <w:p>
      <w:pPr>
        <w:spacing w:after="0" w:line="5" w:lineRule="exact"/>
        <w:rPr>
          <w:sz w:val="20"/>
          <w:szCs w:val="20"/>
          <w:color w:val="auto"/>
        </w:rPr>
      </w:pPr>
    </w:p>
    <w:p>
      <w:pPr>
        <w:ind w:left="120" w:right="260"/>
        <w:spacing w:after="0" w:line="255" w:lineRule="auto"/>
        <w:rPr>
          <w:sz w:val="20"/>
          <w:szCs w:val="20"/>
          <w:color w:val="auto"/>
        </w:rPr>
      </w:pPr>
      <w:r>
        <w:rPr>
          <w:rFonts w:ascii="Times New Roman" w:cs="Times New Roman" w:eastAsia="Times New Roman" w:hAnsi="Times New Roman"/>
          <w:sz w:val="18"/>
          <w:szCs w:val="18"/>
          <w:color w:val="auto"/>
        </w:rPr>
        <w:t>Mr. Hombach received an MBA from Northwestern University’s J.L. Kellogg Graduate School of Management, and a BS in Finance cum laude from the University of Colorado. Our board of directors believes that Mr. Hombach is qualified to serve on our board of directors due to his significant leadership experience in the biopharmaceutical industry.</w:t>
      </w:r>
    </w:p>
    <w:p>
      <w:pPr>
        <w:spacing w:after="0" w:line="182" w:lineRule="exact"/>
        <w:rPr>
          <w:sz w:val="20"/>
          <w:szCs w:val="20"/>
          <w:color w:val="auto"/>
        </w:rPr>
      </w:pPr>
    </w:p>
    <w:p>
      <w:pPr>
        <w:ind w:left="120" w:firstLine="440"/>
        <w:spacing w:after="0"/>
        <w:rPr>
          <w:sz w:val="20"/>
          <w:szCs w:val="20"/>
          <w:color w:val="auto"/>
        </w:rPr>
      </w:pPr>
      <w:r>
        <w:rPr>
          <w:rFonts w:ascii="Times New Roman" w:cs="Times New Roman" w:eastAsia="Times New Roman" w:hAnsi="Times New Roman"/>
          <w:sz w:val="18"/>
          <w:szCs w:val="18"/>
          <w:b w:val="1"/>
          <w:bCs w:val="1"/>
          <w:color w:val="auto"/>
        </w:rPr>
        <w:t xml:space="preserve">Sharon Mates. </w:t>
      </w:r>
      <w:r>
        <w:rPr>
          <w:rFonts w:ascii="Times New Roman" w:cs="Times New Roman" w:eastAsia="Times New Roman" w:hAnsi="Times New Roman"/>
          <w:sz w:val="18"/>
          <w:szCs w:val="18"/>
          <w:color w:val="auto"/>
        </w:rPr>
        <w:t>Sharon Mates, Ph.D., joined our Board upon the effectiveness of the registration statement of which this prospectus forms a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served as Chairman of the Board, President and Chief Executive Officer of Intra-Cellular Therapies, Inc., which she co-founded in 2002, until its acquisition by Johnson &amp; Johnson in 2025. During her tenure, Intra-Cellular Therapies developed and commercialized CAPLYTA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 FDA-approved treatment for schizophrenia, bipolar depression, and was under FDA review for adjunctive treatment for major depressive disorder. Earlier in her career, Dr. Mates served as President and a board member of North American Vaccine, Inc., where she oversaw the development of pediatric vaccines, and also helped to found other biotechnology companies. Dr. Mates has served on several not-for-profit and industry organizations, including as Chair of the New York Biotechnology Association and a board member of the Biotechnology Industry Organization. Dr. Mates brings extensive leadership experience in building and scaling</w:t>
      </w:r>
    </w:p>
    <w:p>
      <w:pPr>
        <w:spacing w:after="0" w:line="1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biotechnology companies and advancing innovative therapies from discovery through commercialization. She currently serves as a director of Medincell S.A. (EPA: MEDCL) and Benitec Biopharma (Nasdaq: BNTC). She has also served on advisory councils affiliated with Harvard School of Public Health and the University of Maryland Biotechnology Institute. Dr. Mates received a B.S. from the Ohio State University, a Ph.D. from the University of Washington, and completed postdoctoral fellowships at Massachusetts General Hospital and Harvard Medical School. Our board of directors believes that Ms. Mates is qualified to serve on our board of directors due to her extensive knowledge of strategy and business development in the life sciences industry and her wide-ranging experience in leadership positions.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Sandra E. Peterson. </w:t>
      </w:r>
      <w:r>
        <w:rPr>
          <w:rFonts w:ascii="Times New Roman" w:cs="Times New Roman" w:eastAsia="Times New Roman" w:hAnsi="Times New Roman"/>
          <w:sz w:val="18"/>
          <w:szCs w:val="18"/>
          <w:color w:val="auto"/>
        </w:rPr>
        <w:t>Ms. Peterson has been a member of our board of directors since November 2024. She has served as an Operating Partner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Clayton Dubilier &amp; Rice, or CD&amp;R, a private investment firm, since April 2019 where she invests in life sciences and consumer companies and oversees technology initiatives to enhance performance of the firm’s portfolio companies. Prior to joining CD&amp;R, Ms. Peterson was the Group Worldwide Chair for Johnson &amp; Johnson, or J&amp;J, where she led J&amp;J’s consumer and medical devices businesses and was responsible for global operating infrastructure, technology, supply chain, quality, and key strategic initiatives from 2012 to 2018. Ms. Peterson currently serves as Lead Independent Director of Microsoft Corp. (Nasdaq: MSFT) since March 2023 and a member of its board of directors since December 2015. She also serves as Executive Chairwoman of the board of directors of Volastra Therapeutics since October 2019. Ms. Peterson received her M.P.A. from Princeton University and a B.A. from Cornell University. Our board of directors believes that Ms. Peterson is qualified to serve on our board of directors due to her extensive knowledge of strategy and business development in the life sciences industry and her wide-ranging experience in leadership positions.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Denice Torres, J.D. </w:t>
      </w:r>
      <w:r>
        <w:rPr>
          <w:rFonts w:ascii="Times New Roman" w:cs="Times New Roman" w:eastAsia="Times New Roman" w:hAnsi="Times New Roman"/>
          <w:sz w:val="18"/>
          <w:szCs w:val="18"/>
          <w:color w:val="auto"/>
        </w:rPr>
        <w:t>Ms. Torres has been a member of our board of directors since May 2024. Ms. Torres is the founder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Ignited Company, a consulting firm she founded in November 2017, and is also the founder of The Mentoring Place, a nonprofit organization established in 2017. From December 2004 to December 2017, Ms. Torres served in senior leadership roles at Johnson &amp; Johnson, including President of J&amp;J Neuroscience, President of J&amp;J Consumer Health, and Chief Strategy and Transformation Officer of the J&amp;J Medical Device Sector. Prior to that, from 1990 to 2004, Ms. Torres held various leadership positions at Eli Lilly and Company, including Executive Director of Global Neuroscience and Director of U.S. Women’s Health. Ms. Torres currently serves on the board of directors of Celldex Therapeutics Inc. (Nasdaq: CLDX), Glaukos Corp. (Nasdaq: GKOS), National Resilience Inc., and ByHeart Inc. Ms. Torres previously served on the boards of Karuna Therapeutics, Inc., 2seventy bio, Inc., Thirty Madison, bluebird bio, Inc., and Surface Oncology, Inc. Ms. Torres holds an M.B.A. from the University of Michigan, a J.D. from Indiana University School of Law, a B.S. in Psychology from Ball State University, and an M.A. in the Study of Happiness from Centenary University. She is currently pursuing a Ph.D. in Happiness Studies at Centenary University. Our board of directors believes that Ms. Torres is qualified to serve on our board of directors due to her extensive leadership experience in the pharmaceutical, biotechnology, and consumer health industries and her expertise in neuroscience, strategy, and business operations.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Wheadon, M.D. </w:t>
      </w:r>
      <w:r>
        <w:rPr>
          <w:rFonts w:ascii="Times New Roman" w:cs="Times New Roman" w:eastAsia="Times New Roman" w:hAnsi="Times New Roman"/>
          <w:sz w:val="18"/>
          <w:szCs w:val="18"/>
          <w:color w:val="auto"/>
        </w:rPr>
        <w:t>Dr. Wheadon has been a member of our board of directors since July 2024. He served as Senior Vice President,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Affairs, Patient Safety, and Quality Assurance for AstraZeneca Pharmaceuticals from 2014 to 2019 and as Executive Vice President, Research and Advocacy at the Juvenile Diabetes Research Foundation from 2013 to 2014. From 2009 to 2013, Dr. Wheadon served as Senior Vice President, Scientific and Regulatory Affairs and as a member of the Management Committee of the Pharmaceutical Research and Manufacturers of America, or PhRMA. Prior to his joining PhRMA, Dr. Wheadon held senior regulatory and clinical development leader roles at Abbott Laboratories and GlaxoSmithKline plc. Dr. Wheadon began his career as a clinical research physician in neuroscience at Eli Lilly &amp; Company. Dr. Wheadon has served on the board of directors of Indivior, PLC (Nasdaq: INDV) since June 2024, Vaxart, Inc. (Nasdaq: VXRT) since April 2021, and Sotera Health, Inc. (Nasdaq: SHC) since May 2021. He formerly served on the board of directors of Assertio Holdings, Inc. (formerly Assertio Therapeutics, Inc.), Karuna Therapeutics, Inc., and Chemocentryx, Inc. Dr. Wheadon holds an A.B. from Harvard College and an M.D. from Johns Hopkins University School of Medicine. He completed his fellowship training in Psychiatry at the Tufts, New England Medical Center. Our board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of directors believes that Dr. Wheadon is qualified to serve as a member of the board of directors due to his leadership roles in the pharmaceutical industry and his extensive experience in regulatory affairs.</w:t>
      </w:r>
    </w:p>
    <w:p>
      <w:pPr>
        <w:spacing w:after="0" w:line="158"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Jason Pitts, Ph.D. </w:t>
      </w:r>
      <w:r>
        <w:rPr>
          <w:rFonts w:ascii="Times New Roman" w:cs="Times New Roman" w:eastAsia="Times New Roman" w:hAnsi="Times New Roman"/>
          <w:sz w:val="17"/>
          <w:szCs w:val="17"/>
          <w:color w:val="auto"/>
        </w:rPr>
        <w:t>Dr. Pitts has been a member of our board of directors since October 2024. Dr. Pitts has served as Principal at General Atlantic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since December 2024, and prior to such role served in various roles, including Vice President, since March 2021 at General Atlantic, and focuses on investments in the life sciences sector. Prior to joining General Atlantic, he was a Principal at Sofinnova Investments focused on therapeutics investments from June 2019 to January 2021. Dr. Pitts has also served as a board member of Solve Therapeutics since December 2024, CinCor Pharma, Inc. from October 2021 to February 2023 and Bolt Biotherapeutics, Inc. from July 2020 to January 2021. He received his Ph.D. in neuroscience from The Rockefeller University and a B.S. in neuroscience from Cornell University. Our board of directors believes that Dr. Pitts is qualified to serve on our board of directors due to his extensive expertise in healthcare investing and experience as a board member of other biotechnology companies.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21"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which currently consists of nine members. The primary responsibilities of our board of directors are to provide oversight, strategic guidance, counseling and direction to our management. Our board of directors meets on a regular basis and additionally as required.</w:t>
      </w:r>
    </w:p>
    <w:p>
      <w:pPr>
        <w:spacing w:after="0" w:line="176"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which will become effective immediately prior to the completion of this offering, and our amended and restated bylaws, which became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become effective immediately prior to the completion of this offering, and our amended and restated bylaws, which became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55"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1" w:lineRule="exact"/>
        <w:rPr>
          <w:sz w:val="20"/>
          <w:szCs w:val="20"/>
          <w:color w:val="auto"/>
        </w:rPr>
      </w:pPr>
    </w:p>
    <w:p>
      <w:pPr>
        <w:ind w:left="1080" w:right="74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Daphne Zohar, James Healy and Jason Pitts, and their terms will expire at our first annual meeting of stockholders following this offering, to be held in 2027;</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Denice Torres, Sandra Peterson and David Wheadon, and their terms will expire at our second annual meeting of stockholders following this offering, to be held in 2028;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Steven Paul, Sharon Mates and Robert Hombach, and their terms will expire at our third annual meeting of stockholders following this offering, to be held in 2029.</w:t>
      </w:r>
    </w:p>
    <w:p>
      <w:pPr>
        <w:spacing w:after="0" w:line="16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listing standards, requirements and rules of The Nasdaq Stock Market LLC, or the Nasdaq Listing Rules, independent directors must comprise a majority of our board of directors as a listed company within one year of the listing date.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under of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9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each of James Healy, Robert Hombach, Sharon Mates, Jason Pitts, Sandra Peterson, Denice Torres and David Wheadon does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Daphne Zohar and Steven Paul are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Policies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have adopted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Currently, the role of chair of our board of directors is separated from the role of chief executive officer. We believe that separating these positions allows our chief executive officer to focus on our day-to-day business, while allowing the chairman of our board to lead the board of directors in its fundamental role of providing advice to and independent oversight of management. Our board of directors recognizes the time, effort and energy that the chief executive officer is required to devote to her position in the current business environment, as well as the commitment required to serve as our chair of our board of directors, particularly as the board of directors’ oversight responsibilities continue to grow. While our amended and restated bylaws and corporate 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has adopted, effective prior to the completion of this offering,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“Risk Factors.”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will establish upon the completion of this offering an audit committee, a compensation committee, and a nominating and corporate governance committee. The composition and responsibilities of each of the committees of our board of directors are described below. Members serve on these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committees until their resignation or until otherwise determined by our board of directors. Each committee will operate under a written charter that satisfies the application rules and regulation of the SEC and the Nasdaq Listing Rules, which we will post to our website at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xml:space="preserve"> upon the completion of this offering.</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also established a science and technology committee of the board of directors which operates under a charter duly adopted by the board of directors.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Upon the completion of this offering, our audit committee will consist of Robert Hombach, Denice Torres and James Healy, and the chair of our audit committee will be Robert Hombach.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Robert Hombach is an “audit committee financial expert” within the meaning of SEC regulations.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will be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will include:</w:t>
      </w:r>
    </w:p>
    <w:p>
      <w:pPr>
        <w:spacing w:after="0" w:line="81"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insurance coverage for our officers and directors;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preparation of our annual proxy statement, reviewing with management our financial statements to be included in our quarterly reports to be filed with the SEC, and reviewing with management the “Risk Factors” and “Management’s Discussion and Analysis of Financial Condition and Results of Operations” disclosures in our periodic reports filed with the SEC;</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major risk exposures, including financial, operational, cybersecurity, competition, legal, and regulatory exposures.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operate under a written charter, which will be effective upon the completion of this offering, that satisfies the applicable Nasdaq Listing Rules.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compensation committee will consist of Denice Torres, Sandra Peterson and Jason Pitts, and the chair of our compensation committee will be Denice Torres. Our board of directors has determined that each member of the compensation committee is independent under the Nasdaq Listing Rules and is a “non-employee director” as defined in Rule 16b-3 promulgated under the Exchange Act.</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p>
    <w:p>
      <w:pPr>
        <w:spacing w:after="0" w:line="81"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chief executive officer, other executive officers, and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paid to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arrangements with our executive officers and other senior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to our board of directors succession plans for our executive officers;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which will be effective upon the completion of this offering, that satisfies the applicable Nasdaq Listing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our nominating and corporate governance committee will consist of Sandra Peterson, Denice Torres and David Wheadon, and the chair of our nominating and corporate governance committee will be Sandra Peterson.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primary purpose of the nominating and corporate governance committee will be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will include:</w:t>
      </w:r>
    </w:p>
    <w:p>
      <w:pPr>
        <w:spacing w:after="0" w:line="81" w:lineRule="exact"/>
        <w:rPr>
          <w:sz w:val="20"/>
          <w:szCs w:val="20"/>
          <w:color w:val="auto"/>
        </w:rPr>
      </w:pPr>
    </w:p>
    <w:p>
      <w:pPr>
        <w:ind w:left="1080" w:right="4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plans or programs for the continuing education of our board of directors and orientation of new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 of directors’ performance, including committees of the board of directors and management.</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which will be effective upon the completion of this offering, that satisfies the applicable Nasdaq Listing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science and technology committee, which is chaired by Steven Paul, supports board oversight of our research and development, manufacturing and supply activities, by providing a forum for review of strategic considerations and issues in such areas, as well as to evaluate relevant emerging technology and advances in the field.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this offering, 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Recovery</w:t>
      </w:r>
    </w:p>
    <w:p>
      <w:pPr>
        <w:spacing w:after="0" w:line="121"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this offering, we have adopted a compensation recovery policy that is compliant with the Nasdaq Listing Rules, as required by the Dodd-Frank Act, which became effective in connection with the effectiveness of the registration statement of which this prospectus forms a part.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Agreements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permitted by Delaware law, provisions in our amended and restated certificate of incorporation and amended and restated bylaws, which will become effective immediately prior to the completion of this offering and became effective upon the effectiveness of the registration statement of which this prospectus forms a part, respectively, limit or eliminate the personal liability of directors and officers for a breach of their fiduciary duty of care as a director or officer. The duty of care generally requires that, when acting on behalf of the corporation, a director and,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93" w:lineRule="exact"/>
        <w:rPr>
          <w:sz w:val="20"/>
          <w:szCs w:val="20"/>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 or officer’s duty of loyalty to us or our stockholders;</w:t>
      </w:r>
    </w:p>
    <w:p>
      <w:pPr>
        <w:spacing w:after="0" w:line="130" w:lineRule="exact"/>
        <w:rPr>
          <w:rFonts w:ascii="Times New Roman" w:cs="Times New Roman" w:eastAsia="Times New Roman" w:hAnsi="Times New Roman"/>
          <w:sz w:val="18"/>
          <w:szCs w:val="18"/>
          <w:color w:val="auto"/>
        </w:rPr>
      </w:pPr>
    </w:p>
    <w:p>
      <w:pPr>
        <w:ind w:left="5480" w:right="2300" w:hanging="4824"/>
        <w:spacing w:after="0" w:line="454" w:lineRule="auto"/>
        <w:tabs>
          <w:tab w:leader="none" w:pos="10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 191</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Delaware General Corporation Law, or DGCL;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officers, any derivative action by or in the right of the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closing of this offering also will authorize us to indemnify our officers, directors, and other agents to the fullest extent permitted under Delaware law.</w:t>
      </w:r>
    </w:p>
    <w:p>
      <w:pPr>
        <w:spacing w:after="0" w:line="180"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As permitted by Delaware law, our amended and restated bylaws that became effective immediately upon effectiveness of the registration statement provide that:</w:t>
      </w:r>
    </w:p>
    <w:p>
      <w:pPr>
        <w:spacing w:after="0" w:line="67"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employees, and other agents to the fullest extent permitted by law;</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the programs as summarized in this discussion.</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an emerging growth company and a smaller reporting company, we have opted to comply with the executive compensation disclosure rules applicable to “smaller reporting companies,” as such terms are defined in the rules promulgated under the Securities Act. The compensation provided to our named executive officers for the fiscal year ended December 31, 2025, or Fiscal Year 2025, is detailed in the 2025 Summary Compensation Table and accompanying footnotes and narrative that follow.</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named executive officers for Fiscal Year 2025 are:</w:t>
      </w:r>
    </w:p>
    <w:p>
      <w:pPr>
        <w:spacing w:after="0" w:line="131"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Daphne Zohar, our Founder, Chief Executive Officer, President and Board Member;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Chen, Ph.D., our Co-Founder and Chief Scientific Officer;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Antony Loebel, M.D., our Chief Medical Officer and President of Clinical Development.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date, the compensation of our named executive officers has consisted of a combination of base salary, cash incentive compensation, and long-term incentive compensation, as more fully described below. Our executive officers, like all full-time employees, are eligible to participate in our health, welfare, and retirement benefit plans. As we transition from a private company to a publicly traded company, we intend to evaluate our compensation values and philosophy and compensation plans and arrangements as circumstances require.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earned by, or paid to, our named executive officers for services rendered to us in all capacities during Fiscal Year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00" w:type="dxa"/>
            <w:vAlign w:val="bottom"/>
            <w:gridSpan w:val="2"/>
            <w:vMerge w:val="continue"/>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320" w:type="dxa"/>
            <w:vAlign w:val="bottom"/>
            <w:vMerge w:val="restart"/>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0"/>
                <w:szCs w:val="10"/>
                <w:b w:val="1"/>
                <w:bCs w:val="1"/>
                <w:color w:val="auto"/>
              </w:rPr>
              <w:t>(1)</w:t>
            </w:r>
          </w:p>
        </w:tc>
        <w:tc>
          <w:tcPr>
            <w:tcW w:w="13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0"/>
                <w:szCs w:val="10"/>
                <w:b w:val="1"/>
                <w:bCs w:val="1"/>
                <w:color w:val="auto"/>
              </w:rPr>
              <w:t>(2)</w:t>
            </w:r>
          </w:p>
        </w:tc>
        <w:tc>
          <w:tcPr>
            <w:tcW w:w="1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0"/>
                <w:szCs w:val="10"/>
                <w:b w:val="1"/>
                <w:bCs w:val="1"/>
                <w:color w:val="auto"/>
              </w:rPr>
              <w:t>(3)</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6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060" w:type="dxa"/>
            <w:vAlign w:val="bottom"/>
          </w:tcPr>
          <w:p>
            <w:pPr>
              <w:jc w:val="right"/>
              <w:ind w:right="359"/>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78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Daphne Zohar</w:t>
            </w: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Founder, Chief Executive Officer, President and Board Member</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768,922</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481,000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1,260,422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Chen, Ph.D.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Co-Founder and Chief Scientific Officer</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414,000</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490,462</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1,094,962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Medical Officer and President of Clinical Development</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465,750</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194,000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10,500</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670,250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7715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right="20" w:hanging="424"/>
        <w:spacing w:after="0" w:line="253"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the aggregate grant date fair value of a stock option award granted to Dr. Chen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10 of our consolidated financial statements for Fiscal Year 2025, included elsewhere in this prospectus. The amounts reported in this column reflect the accounting cost for these option awards and do not correspond to the actual economic value that may be received by Dr. Chen upon the exercise of the option awards or any sale of the underlying securities.</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bonuses for performance during Fiscal Year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401(k) employer matching contributions made by us.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the 2025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Base Salaries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named executive officers each receive a base salary to compensate them for services rendered to us. Base salaries are intended to provide a fixed component of compensation reflecting the executive’s skill set, experience, role, and responsibilities. Base salaries are expected to be reviewed annually, typically in connection with our annual performance review process, approved by our board of directors or the compensation committee of the board of directors, and may be adjusted from time to time to realign salaries with market levels after taking into account individual responsibilities, performance, and experience.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Fiscal Year 2025, the base salaries for Ms. Zohar, Dr. Chen, and Dr. Loebel were $768,922, $414,000 and $465,750,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Cash Bonuses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to receive annual performance-based cash bonuses, which are designed to provide appropriate incentives to our executives to achieve corporate performance goals and to reward our executives for individual achievement towards these goals. For Fiscal Year 2025, each of the named executive officers was eligible to earn an annual performance bonus based on the achievement of certain corporate performance and individual performance goals, with any such bonus expected to be paid in February 2026. For Fiscal Year 2025, the target annual bonus for Ms. Zohar, Dr. Chen, and Dr. Loebel was 50%, 35% and 35% of base salary,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equity grants provide our executives with a strong link to our long-term performance, create an ownership culture, and help to align the interests of our executives and our stockholders. In addition, we believe equity grants promote executive retention because they incentivize our executive officers to remain in our service during the vesting period.</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Fiscal Year 2024, we granted each of our named executive officers options to purchase common stock of the Company under our 2024 Equity Incentive Plan, as amended from time to time, or the 2024 Plan. In addition, Ms. Zohar received a grant of 1,194,001 shares of restricted stock, which vested in full in conjunction with our Series B Convertible Preferred Stock Financing in October 2024, and she paid $1.8 million to cover the tax liability associated with such grant.</w:t>
      </w:r>
    </w:p>
    <w:p>
      <w:pPr>
        <w:spacing w:after="0" w:line="180"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During Fiscal Year 2025, we granted Dr. Chen an option to purchase common stock of the Company under the 2024 Plan, but none of our other named executive officers received any equity awards in Fiscal Year 2025. For additional information regarding outstanding equity awards held by our named executive officers as of December 31, 2025, see the “</w:t>
      </w:r>
      <w:r>
        <w:rPr>
          <w:rFonts w:ascii="Times New Roman" w:cs="Times New Roman" w:eastAsia="Times New Roman" w:hAnsi="Times New Roman"/>
          <w:sz w:val="18"/>
          <w:szCs w:val="18"/>
          <w:i w:val="1"/>
          <w:iCs w:val="1"/>
          <w:color w:val="auto"/>
        </w:rPr>
        <w:t>Outstanding Equity Awards at 2025 Fiscal Year End</w:t>
      </w:r>
      <w:r>
        <w:rPr>
          <w:rFonts w:ascii="Times New Roman" w:cs="Times New Roman" w:eastAsia="Times New Roman" w:hAnsi="Times New Roman"/>
          <w:sz w:val="18"/>
          <w:szCs w:val="18"/>
          <w:color w:val="auto"/>
        </w:rPr>
        <w:t>” table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 and Health and Welfare Benefits</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We currently maintain a tax-qualified 401(k) retirement savings plan, or the 401(k)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 treatment under Section 401(a) of the Code and contains a cash or deferred feature that is intended to meet the requirements of Section 401(k) of the Code. We provide nondiscretionary contributions under the 401(k) Plan of 3% of the employee’s annual eligible compensation, subject to the safe harbor limit. We believe that providing a vehicle for tax-deferred retirement savings though our 401(k) Plan adds to the overall desirability of our executive compensation package and further incentivizes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employees, including our named executive officers, in accordance with our compensation policies. Other than the 401(k) plan, we do not provide any qualified or non-qualified retirement or deferred compensation benefits to our employees, including our named executive officers.</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including medical dental, and vision benefits, short-term and long-term disability insurance, and basic life and AD&amp;D insurance.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for Named Executive Officers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entered into offer letters with each of our named executive officers in connection with their commencement of employment, which set forth the terms and conditions of their employment, including base salary, target annual bonus opportunity, initial equity awards and eligibility to participate in our employee benefit plans generally offered to our employees.</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Daphne Zohar</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April 8, 2024, we entered into an offer letter with Ms. Zohar for the position of Chief Executive Officer, which provides for Ms. Zohar’s at-will employment. Ms. Zohar’s offer letter was amended on September 13, 2024. We refer to the offer letter with Ms. Zohar, as amended, as the Zohar Offer Letter. Pursuant to the Zohar Offer Letter, Ms. Zohar is eligible to receive an annual base salary, subject to annual review for merit increases at the sole discretion of our board of directors, and an annual performance bonus, as determined by our board of directors based on her individual performance and the performance of the Company. Ms. Zohar is also eligible to participate in the employee benefit plans generally available to our employees, subject to the terms of those plans.</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Ms. Zohar received an initial equity award in the form of an option to purchase a number of shares of our common stock equal to 7.5% of then fully diluted capitalization of the Company. 1/18th of the shares subject to this option vested on April 16, 2024, with the remaining shares vesting in 34 equal monthly installments thereafter. 50% of the then-unvested shares subject to this option accelerated and became fully vested upon the first closing of the Series B preferred stock financing, which occurred on October 18, 2024. The remaining 50% of the unvested shares subject to this option will further accelerate and become fully vested upon the closing of this offering, subject to Ms. Zohar’s continued service relationship as our Chief Executive Officer through such closing. In addition, for so long as Ms. Zohar remains our Chief Executive Officer up to and including our initial public offering (but excluding any shares issued pursuant to any over-allotment option), Ms. Zohar shall receive additional equity grants (either in the form of stock options or restricted stock) so that her share ownership shall remain at 7.5% of the fully diluted capitalization of the Company, excluding any annual awards or IPO grants that were not issued in connection with her initial award.</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Zohar Offer Letter, in the event that Ms. Zohar’s employment is terminated by us without “cause” or by Ms. Zohar for “good reason” (each as defined in the Zohar Offer Letter), subject to Ms. Zohar’s execution of a general release of claims in favor of us and our affiliates, Ms. Zohar is entitled to receive (i) continuation of her then-current base salary for a period of 12 months, (ii) up to 12 months of COBRA premium payments at the same rate we pay for active and similarly-situated employees, (iii) a prorated portion of her annual performance bonus based on actual performance, or the Prorated Bonus; and (iv) an extension of the exercise period for Ms. Zohar’s outstanding stock options granted pursuant to the Zohar Offer Letter to the one-year anniversary of the termination date.</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event that Ms. Zohar’s employment is terminated by us without cause or by Ms. Zohar for good reason, in each case, within 12 months following a “sale event” (as defined in the Zohar Offer Letter), Ms. Zohar shall be entitled to the same payments and benefits set forth above, except that in lieu of the Prorated Bonus, Ms. Zohar shall be entitled to receive a lump sum payment of 100% of her annual performance bonus for the year in which the termination occurs.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Zohar Offer Letter provides that if any executive officer enters into an employment agreement that provides for any termination or severance benefits that are more favorable, the Company shall seek to amend the Zohar Offer Letter to provide the more favorable benefits.</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Michael Chen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April 29, 2024, we entered into an offer letter with Dr. Chen for the position of Chief Scientific Officer, which provides for Dr. Chen’s at-will employment. We refer to the offer letter with Dr. Chen, as the Chen Offer Letter. Pursuant to the Chen Offer Letter, Dr. Chen is eligible to receive an annual base salary, subject to annual review for merit increases at the sole discretion of our board of directors, and an annual performance bonus, as determined by our board of directors based on his individual performance and the performance of the Company. Dr. Chen is also eligible to participate in the employee benefit plans generally available to our employees, subject to the terms of those plans.</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Additionally, Dr. Chen received an initial equity award in the form of an option to purchase 400,618 shares of our common stock. 25% of Dr. Chen’s initial equity award vested on April 9, 2025, with the remaining shares vesting in 36 equal monthly installments thereafter.</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Chen Offer Letter, in the event that Dr. Chen’s employment is terminated by us without “cause” or by Dr. Chen for “good reason” (each as defined in the Chen Offer Letter), subject to Dr. Chen’s execution of a general release of claims in favor of us and our affiliates, Dr. Chen is entitled to receive (i) continuation of his then-current base salary for a period of 6 months, and (ii) up to six months of COBRA premium payments at the same rate we pay for active and similarly-situated employees.</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event that Dr. Chen’s employment is terminated by us without cause or by Dr. Chen for good reason, in each case, within 12 months following a “change in control” (as defined in the Chen Offer Letter), in lieu of the above benefits, Dr. Chen is entitled to receive (i) continuation of his then-current base salary for a period of 12 months, (ii) up to 12 months of COBRA premium payments at the same rate we pay for active and similarly-situated employees, and (iii) accelerated vesting of the initial equity award.</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Antony Loebel, M.D.</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June 11, 2024, we entered into an offer letter with Dr. Loebel, or the Loebel Offer Letter, for the position of Chief Medical Officer and President of Clinical Development, which provides for Dr. Loebel’s at-will employment. Pursuant to the Loebel Offer Letter, Dr. Loebel is eligible to receive an annual base salary, subject to annual review for merit increases at the sole discretion of our board of directors, and an annual performance bonus, as determined by our board of directors based on his individual performance and the performance of our Company. Dr. Loebel is also eligible to participate in the employee benefit plans generally available to our employees, subject to the terms of those plans.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Additionally, Dr. Loebel received an initial equity award in the form of an option to purchase 539,293 shares of our common stock. 25% of Dr. Loebel’s initial equity award vested on July 18, 2025, with the remaining shares vesting in 36 equal monthly installments thereafter.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Loebel Offer Letter, in the event that Dr. Loebel’s employment is terminated by us without “cause” or by Dr. Loebel for “good reason” (each as defined in the Loebel Offer Letter), subject to Dr. Loebel’s execution of a general release of claims in favor of us and our affiliates, Dr. Loebel is entitled to receive (i) continuation of his then-current base salary for a period of 12 months, (ii) up to 12 months of COBRA premium payments at the same rate we pay for active and similarly-situated employees, (iii) a prorated portion of his annual performance bonus, and (iv) if the termination occurs after the first anniversary of his start date and on or prior to the second anniversary of his start date (or 12 months if such termination occurs after the first anniversary of his start date), accelerated vesting of his initial equity award such that he will vest in the portion of</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5"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award that would have vested during the six months following his termination date, or, if the termination occurs after the second anniversary of his start date, accelerated vesting of his initial equity award such that he will vest in the portion of the award that would have vested during the nine months following the termination date, in each case as if he had remained employed through such date.</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Dr. Loebel’s employment is terminated by us without cause or by Dr. Loebel for good reason occurs on or within 12 months following a “change in control” (as defined in the Loebel Offer Letter), subject to Dr. Loebel’s execution of a general release of claims in favor of us and our affiliates, in lieu of the above benefits, Dr. Loebel is entitled to receive (i) 12 months of his then-current base salary, (ii) 12 months of COBRA premium payments at the same rate we pay for active and similarly-situated employees, (iii) a lump sum payment of 100% of his annual performance bonus, and (iv) accelerated vesting of Dr. Loebel’s initial equity grant.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 xml:space="preserve">Option Awards </w:t>
            </w:r>
            <w:r>
              <w:rPr>
                <w:rFonts w:ascii="Times New Roman" w:cs="Times New Roman" w:eastAsia="Times New Roman" w:hAnsi="Times New Roman"/>
                <w:sz w:val="10"/>
                <w:szCs w:val="10"/>
                <w:b w:val="1"/>
                <w:bCs w:val="1"/>
                <w:color w:val="auto"/>
              </w:rPr>
              <w:t>(1)</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460" w:type="dxa"/>
            <w:vAlign w:val="bottom"/>
            <w:vMerge w:val="restart"/>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0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9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Daphne Zohar</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6/4/2024</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1,861,847</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449,411</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88"/>
              </w:rPr>
              <w:t>3.05</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6/3/2034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12/29/2024</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147,001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35,483</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7.39</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12/28/2034</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44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Chen, Ph.D.</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6/4/2024</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166,924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233,694</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3.05</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6/3/2034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12/24/2024</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54,128</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7.39</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12/23/2034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1/26/2025</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86,267</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1/25/2035</w:t>
            </w:r>
          </w:p>
        </w:tc>
        <w:tc>
          <w:tcPr>
            <w:tcW w:w="0" w:type="dxa"/>
            <w:vAlign w:val="bottom"/>
          </w:tcPr>
          <w:p>
            <w:pPr>
              <w:spacing w:after="0"/>
              <w:rPr>
                <w:sz w:val="1"/>
                <w:szCs w:val="1"/>
                <w:color w:val="auto"/>
              </w:rPr>
            </w:pPr>
          </w:p>
        </w:tc>
      </w:tr>
      <w:tr>
        <w:trPr>
          <w:trHeight w:val="32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8/12/2024</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190,999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348,294</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3.05</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8/11/2034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12/24/2024</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15,920</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7.39</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12/23/2034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 awards were granted under our 2024 Plan, described below.</w:t>
      </w:r>
    </w:p>
    <w:p>
      <w:pPr>
        <w:spacing w:after="0" w:line="27"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vest as follows: 1/18th of the shares vested on April 16, 2024, and the remaining shares vest in 34 equal monthly installments thereafter. Additionally, 50% of the then-unvested shares would accelerate and become fully vested upon the first closing of the Series B preferred stock financing, which occurred on October 18, 2024. The remaining 50% of the unvested shares will further accelerate and become fully vested upon the closing of this offering, subject to Ms. Zohar’s continued service relationship as our Chief Executive Officer through such closing.</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25% of the shares vested on April 9, 2025, and the remaining 75% of the shares vest in 36 equal monthly installments thereafter, subject to Dr. Chen’s continued service relationship through the applicable vesting date.</w:t>
      </w:r>
    </w:p>
    <w:p>
      <w:pPr>
        <w:ind w:left="540" w:right="80" w:hanging="424"/>
        <w:spacing w:after="0" w:line="253"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1/3rd of the shares will vest and become exercisable in 2026 based on annual performance metrics (starting with the 2025 annual Company goals) as determined by our Chief Executive Officer in consultation with the Compensation Committee and the remaining shares will vest and become exercisable in 1/3rd increments upon each of the two subsequent annual performance metrics (based on the annual Company goals) as determined by our Chief Executive Officer in consultation with the Compensation Committee. For accounting purposes, this stock option award is not considered granted under FASB ASC Topic 718 as of the date hereof.</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40"/>
          </w:cols>
          <w:pgMar w:left="320" w:top="455"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80" w:hanging="424"/>
        <w:spacing w:after="0" w:line="257"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25% of the shares vest on the first anniversary of January 26, 2025, and the remaining 75% of the shares vest in 36 equal monthly installments thereafter, subject to Dr. Chen’s continued service relationship through the applicable vesting date.</w:t>
      </w:r>
    </w:p>
    <w:p>
      <w:pPr>
        <w:spacing w:after="0" w:line="1"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this stock option award vest as follows: 25% of the shares vested on the first anniversary of July 18, 2024, and the remaining 75% of the shares vest in 36 equal monthly installments thereafter, subject to the executive’s continued service relationship through the applicable vesting date.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Plan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7, 2026, our board of directors adopted the Executive Severance Plan (the “Severance Plan”), which became effective on the date of the effectiveness of the registration statement of which this prospectus forms a part, in which our currently employed named executive officers and certain other executives are expected to participate. The benefits provided in the Severance Plan will replace any severance for which such named executive officer may be eligible under their existing agreements (unless otherwise specified).</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Severance Plan provides that upon a termination by us for any reason other than for Cause, death or Disability, or resignation for Good Reason, each as defined in the Severance Plan (a “Qualifying Termination”), in each case outside of the period commencing three months prior to and ending on the first month anniversary following a Change in Control, as defined in the Severance Plan (the “Change in Control Period”), eligible participants will be entitled to receive, subject to the execution and delivery of a release of claims in favor of the company and continued compliance with all applicable restrictive covenants, (a) 12 months of continued base salary (or the annual base salary in effect for the year immediately prior to the year in which the date of termination occurs) (“Base Salary”) for the Chief Executive Officer and the Chief Medical Officer, and nine months for each other chief executive other than the Chief Executive Officer and the Chief Medical Officer, (b) an amount equal to the monthly employer contribution that we would have made to provide health insurance for the applicable participant if he or she had remained employed by us while receiving payments of Base Salary, (c) a pro-rated annual bonus and (d) for all outstanding and unvested equity awards of the company that are subject to time based vesting held by (i) the Chief Executive Officer, full accelerated vesting of such awards with an additional 12 months for the exercise period and (ii) the Chief Medical Officer, nine months acceleration on vesting of such awards. The Severance Plan also provides that upon a Qualifying Termination within the Change in Control Period, an eligible participant will be entitled to receive, in lieu of the payments and benefits above and subject to the execution and delivery of a release of claims in favor of the company and continued compliance with all applicable restrictive covenants, (a) a lump sum payment equal to the sum of (i) 18 months’ Base Salary for the Chief Executive Officer, 12 months’ Base Salary and bonus for each chief executive other than the Chief Executive Officer (such periods, the “CIC Periods”) and (ii) 1.5 times the target annual bonus in effect immediately prior to the date of termination (or immediately prior to the change in control if higher) for the Chief Executive Officer, 1.0 times for each chief executive other than the Chief Executive Officer, (b) an amount equal to the monthly employer contribution, based on the premiums as of the date of termination, that we would have made to provide health insurance for the applicable participant if he or she had remained employed by us for the duration of the applicable CIC Period and (c) for all outstanding and unvested equity awards of the company that are subject to time-based vesting held by the participant, full accelerated vesting of such awards.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payments and benefits provided under the Severance Plan in connection with a Change in Control may not be eligible for a federal income tax deduction by us pursuant to Section 280G of the Code. These payments and benefits may also subject an eligible participant, including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Cash Incentive Bonus Plan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April 7, 2026, our board of directors adopted the Senior Executive Cash Incentive Bonus Plan (the Bonus Plan). The Bonus Plan provides for cash bonus payments based upon company and individual performance targets established by our compensation committee. The payment targets will be related to financial and operational measures or objectives with respect to our company, or the corporate performance goals, as well as individual performance objectives.</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acquisitions, licenses, collaborations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as compared to any incremental increase, (B) measured in terms of growth, as compared to results of a peer group, (C) measured against the market as a whole, compared to applicable market indices and/or measured on a pre-tax or post-tax basis.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2024 Plan, was approved by the Company’s subsidiary’s Board and Stockholders and became effective for the Company in April 2024 and was subsequently amended in April 2024 and October 2024 to increase the number of shares reserved for issuance thereunder. Under the 2024 Plan, as amended, we have reserved for issuance an aggregate of 12,292,486 shares of our common stock. These numbers are subject to adjustment in the event of a stock dividend, stock split, spin-off, recapitalization, or other similar equity restructuring. Our board of directors has determined not to issue any further awards under the 2024 Plan following the closing of this offering, but all outstanding awards under the 2024 Plan will continue to be governed by their existing terms. In connection with this offering, we intend to adopt a new incentive equity plan under which we will grant equity-based awards following this offering, as described below under “</w:t>
      </w:r>
      <w:r>
        <w:rPr>
          <w:rFonts w:ascii="Times New Roman" w:cs="Times New Roman" w:eastAsia="Times New Roman" w:hAnsi="Times New Roman"/>
          <w:sz w:val="18"/>
          <w:szCs w:val="18"/>
          <w:i w:val="1"/>
          <w:iCs w:val="1"/>
          <w:color w:val="auto"/>
        </w:rPr>
        <w:t>2026 Equity Incentive Plan</w:t>
      </w:r>
      <w:r>
        <w:rPr>
          <w:rFonts w:ascii="Times New Roman" w:cs="Times New Roman" w:eastAsia="Times New Roman" w:hAnsi="Times New Roman"/>
          <w:sz w:val="18"/>
          <w:szCs w:val="18"/>
          <w:color w:val="auto"/>
        </w:rPr>
        <w:t>.” The following summary describes the material terms of the 2024 Plan. This summary is not a complete description of all provisions of the 2024 Plan and is qualified in its entirety by reference to the 2024 Plan, which is filed as an exhibit to the registration statement of which this prospectus is a part.</w:t>
      </w:r>
    </w:p>
    <w:p>
      <w:pPr>
        <w:spacing w:after="0" w:line="188"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any awards that are expired, lapsed, terminated, surrendered, cancelled without having been fully exercised, or is forfeited in whole or in part (including repurchased by us at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or below the original issuance price), and shares that are withheld upon exercise of an option or settlement of an award to cover the exercise price or tax withholding under our 2024 Plan are currently added back to the shares of common stock available for issuance under our 2024 Plan (and, following the completion of this offering, will be added back to the shares of common stock available for issuance under the 2026 Equity Incentive Plan, or the 2026 Plan).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2024 Plan. The administrator has full power to, among other things, select, from among the individuals eligible for awards, determine the specific terms and conditions of each award, and accelerate at any time the exercisability or vesting of any award, subject to the provisions of the 2024 Plan. Persons eligible to participate in our 2024 Plan are our employees, consultants and directors.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2024 Plan permits the granting of (1) options to purchase common stock intended to qualify as incentive stock options under Section 422 of the Code and (2) options that do not so qualify. The option exercise price of each option is determined by the administrator but may not be less than 100% of the fair market value of the common stock on the date of grant or, in the case of an incentive stock option granted to a 10% owner, the exercise price shall not be less than 110% of the fair market value of our common stock on the date of grant. The term of each option is fixed by the administrator and may not exceed ten years from the date of grant (or five years in the case of certain incentive stock option grants). The administrator determines at what time or times each option may be exercised.</w:t>
      </w:r>
    </w:p>
    <w:p>
      <w:pPr>
        <w:spacing w:after="0" w:line="1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administrator of the 2024 Plan may award restricted shares of common stock and restricted stock units subject to such conditions and restrictions as it determines.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 of the 2024 Plan may also grant other stock-based awards to be delivered in the future. The awards may be paid in shares of common stock, cash, or other forms of property, as determined by the administrator.</w:t>
      </w:r>
    </w:p>
    <w:p>
      <w:pPr>
        <w:spacing w:after="0" w:line="162"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equity restructuring, including stock dividend, stock split, spin-off, recapitalization or other similar change to the Company’s capital structure, the administrator of the 2024 Plan shall make appropriate adjustments to the maximum number of shares reserved for issuance under the 2024 Plan, the number and type of securities subject to outstanding awards under the 2024 Plan, and the exercise price of any outstanding awards under the 2024 Plan.</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2024 Plan provides that in the event of a “change in control” (as defined in the 2024 Plan), the administrator is authorized to take various actions, including, but not limited to: (i) canceling any award in exchange for cash or property, (ii) accelerating the vesting of any award, (iii) providing for the assumption or substitution of awards by the successor entity, (iv) adjusting the number and type of shares subject to outstanding awards, (v) replacing the award with other rights or property selected by the administrator, and (vi) terminating the award.</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suspend or terminate the 2024 Plan at any time, subject to stockholder approval where required by applicable law. The administrator of the 2024 Plan may also amend, modify or terminate any outstanding award. The participant’s consent to such action will be required unless (i) the administrator determines that the action would not materially and adversely affect the participant, or (ii) the change is permitted under the 2024 Plan.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awards may be granted under our 2024 Plan after the date that is ten years from the date our 2024 Plan was adopted by our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As described above, our board of directors has determined not to issue any further awards under our 2024 Plan following the completion of this offering.</w:t>
      </w:r>
    </w:p>
    <w:p>
      <w:pPr>
        <w:spacing w:after="0" w:line="21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options to purchase up to 8,798,389 shares of common stock at a weighted average exercise price of $4.68 per share and 1,990,001 shares of restricted stock were outstanding under the 2024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Equity Incentive Plan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2026 Plan was adopted by our board of directors on April 7, 2026, approved by our stockholders on April 23, 2026 and became effective on the date immediately preceding the date on which the registration statement of which this prospectus is a part became effective. The 2026 Plan will allow us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of which this prospectus is a part.</w:t>
      </w:r>
    </w:p>
    <w:p>
      <w:pPr>
        <w:spacing w:after="0" w:line="181"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We have initially reserved 6,020,000 shares of our common stock for the issuance of awards under the 2026 Plan, or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The 2026 Plan provides that the number of shares reserved and available for issuance under the 2026 Plan will automatically increase on January 1, 2027 and each January thereafter during the term of the 2026 Plan, by 5% of the outstanding number of shares of our common stock on the immediately preceding December 31 or such lesser number of shares as determined by our compensation committee, or the Annual Increase. The number of shares reserved for issuance under the 2026 Plan will be subject to adjustment in the event of a stock split, stock dividend, or other change in our capitalization.</w:t>
      </w:r>
    </w:p>
    <w:p>
      <w:pPr>
        <w:spacing w:after="0" w:line="18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shares we issue under the 2026 Plan will be authorized but unissued shares or shares that we reacquire. The shares of common stock underlying any awards under the 2026 Plan and the 2024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2026 Plan. The maximum number of shares of common stock that may be issued pursuant to incentive stock options shall not exceed the Initial Limit, cumulatively increased on January 1, 2027 and on each January 1 thereafter by the lesser of the Annual Increase for such year or 6,020,000 shares of common stock.</w:t>
      </w:r>
    </w:p>
    <w:p>
      <w:pPr>
        <w:spacing w:after="0" w:line="185" w:lineRule="exact"/>
        <w:rPr>
          <w:sz w:val="20"/>
          <w:szCs w:val="20"/>
          <w:color w:val="auto"/>
        </w:rPr>
      </w:pPr>
    </w:p>
    <w:p>
      <w:pPr>
        <w:ind w:left="120" w:right="10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Non-Employee Director Limit</w:t>
      </w:r>
      <w:r>
        <w:rPr>
          <w:rFonts w:ascii="Times New Roman" w:cs="Times New Roman" w:eastAsia="Times New Roman" w:hAnsi="Times New Roman"/>
          <w:sz w:val="17"/>
          <w:szCs w:val="17"/>
          <w:color w:val="auto"/>
        </w:rPr>
        <w:t>. The grant date fair value of all awards under the 2026 Plan and all other cash compensation paid by us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 during any one calendar year for services as a non-employee director may not exceed $1,000,000; provided, however, that such amount shall be $750,000 for the calendar year in which the applicable non-employee director is initially elected or appointed to our board of directors.</w:t>
      </w:r>
    </w:p>
    <w:p>
      <w:pPr>
        <w:spacing w:after="0" w:line="15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2026 Plan will be administered by our compensation committee. Our compensation committee will have full power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82"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2026 Plan will be those employees, non-employee directors, and consultants selected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our compensation committee in its discretion.</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2026 Plan permits the granting of both options to purchase common stock intended to qualify as incentive stock options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Our compensation committee may award stock appreciation rights under the 2026 Plan subject to such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Our compensation committee may award restricted shares of common stock and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participants subject to such conditions and restrictions as it determines. These conditions and restrictions may include the achievement of certain performance goals and/or continued employment or other service relationship with us through a specified vesting period.</w:t>
      </w:r>
    </w:p>
    <w:p>
      <w:pPr>
        <w:spacing w:after="0" w:line="173"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Our compensation committee may grant shares of common stock that are free from any restrictions under the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Unrestricted stock may be granted to participants in recognition of past services or for other valid consideration and may be issued in lieu of cash compensation due to such participant.</w:t>
      </w:r>
    </w:p>
    <w:p>
      <w:pPr>
        <w:spacing w:after="0" w:line="173"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Our compensation committee may grant dividend equivalent rights to participants that entitle the recipient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for dividends that would be paid if the recipient had held a specified number of shares of common stock.</w:t>
      </w:r>
    </w:p>
    <w:p>
      <w:pPr>
        <w:spacing w:after="0" w:line="158"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Cash-Based Awards</w:t>
      </w:r>
      <w:r>
        <w:rPr>
          <w:rFonts w:ascii="Times New Roman" w:cs="Times New Roman" w:eastAsia="Times New Roman" w:hAnsi="Times New Roman"/>
          <w:sz w:val="18"/>
          <w:szCs w:val="18"/>
          <w:color w:val="auto"/>
        </w:rPr>
        <w:t>. Our compensation committee may grant cash bonuses under the 2026 Plan to participants,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The 2026 Plan provides that, upon the effectiveness of a “sale event” (as defined in the 2026 Plan), an acquirer or successor entity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the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w:t>
      </w:r>
    </w:p>
    <w:p>
      <w:pPr>
        <w:spacing w:after="0" w:line="18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Our board of directors may amend or discontinue the 2026 Plan and our compensation committee may amend or cancel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for purposes of satisfying changes in law or any other lawful purpose, but no such action may materially and adversely affect rights under an award without the holder’s consent. Certain amendments to the 2026 Plan require the approval of our stockholders.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awards may be granted under the 2026 Plan after the date that is ten years from the effective date of the 2026 Plan. No awards have been made under the 2026 Plan prior to the date 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Employee Stock Purchase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ESPP was adopted by our board of directors on April 7, 2026, approved by our stockholders on April 23, 2026, and became effective on the date immediately preceding the date on which the registration statement of which this prospectus is part became effective. The ESPP has two components: a component intended to qualify as an “employee stock purchase plan” within the meaning of Section 423 of the Code, or the 423 Component, and a component that is not intended to so qualify, or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8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ESPP initially reserves and authorizes the issuance of up to a total of 510,000 shares of our common stock to participating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The ESPP provides that the number of shares reserved and available for issuance will automatically increase on January 1, 2027 and each January 1 thereafter through January 1, 2036, by the least of (i) 1% of the outstanding number of shares of our common stock on the immediately preceding December 31, (ii) 1,500,000 shares of common stock, or (iii) such number of shares of common stock as determined by the administrator of the ESPP. The number of shares reserved under the ESPP is subject to adjustment in the event of a stock split, stock dividend, or other change in our capitalization.</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All individuals classified as employees on the payroll records of the Company or a “designated company” (as defined in the ESPP)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first day of the applicable offering period are eligible to participate in the ESPP, provided that the ESPP administrator may determine in advance of an offering that employees are eligible only if, as of the first day of the offering, they (a) are customarily employed by us or a designated company for more than 20 hours a week (or such lesser amount determined by the ESPP administrator), (b) are customarily employed by us or a designated company for more than five months per calendar year, (c) have completed a minimum period of employment as determined by the ESPP administrator, provided such service requirement does not exceed two years of employment, and/or (d) they are not highly compensated employees. However, any employee who owns, or as a result of participation in the ESPP would own or hold, 5% or more of the total combined voting power or value of all classes of our stock will not be eligible to purchase shares of common stock under the ESPP.</w:t>
      </w:r>
    </w:p>
    <w:p>
      <w:pPr>
        <w:spacing w:after="0" w:line="18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We may make one or more offerings each year to our employees to purchase shares of our common stock under the ESPP,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employee who is a participant in the ESPP may purchase shares by authorizing payroll deductions at a minimum of 1% and up to a maximum of 15%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more than $25,000 worth of shares of our common stock, valued at the start of the offering period, under the ESPP for each calendar year during which any option granted to the employee is outstanding at any time.</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3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In the case of and subject to the consummation of a “sale event” (as defined in the ESPP), the administrator of the ESPP,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90"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ESPP may be terminated or amended by our board of directors at any time. An amendment that increases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authorized under the ESPP and certain other amendments require the approval of our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and Director IPO Grants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the effective date of the registration statement of which this prospectus forms a part, based on the initial public offering price of $18.00 per share, we granted certain executive officers and directors an aggregate of 3,172,781 options to purchase shares under the 2026 Plan, subject to continued service through such grant date. Based on the fair value of $18.00 per share, we estimate that the aggregate grant-date fair value of the shares to be granted in connection with this offering is approximately $41.5 million, which is expected to be recognized as stock-based compensation expense over a period of immediate vesting to four years.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00"/>
          </w:cols>
          <w:pgMar w:left="320" w:top="455"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person who served as a non-employee member of our board of directors for their services to us during Fiscal Year 2025. During Fiscal Year 2025, Ms. Zohar served as a member of our board of directors and received no additional compensation for her service as a member of our board of directors. The compensation for Fiscal Year 2025 received by Ms. Zohar as our Founder, Chief Executive Officer, President &amp; Board Member is presented in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above.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Name </w:t>
            </w:r>
            <w:r>
              <w:rPr>
                <w:rFonts w:ascii="Times New Roman" w:cs="Times New Roman" w:eastAsia="Times New Roman" w:hAnsi="Times New Roman"/>
                <w:sz w:val="10"/>
                <w:szCs w:val="10"/>
                <w:b w:val="1"/>
                <w:bCs w:val="1"/>
                <w:color w:val="auto"/>
                <w:w w:val="99"/>
              </w:rPr>
              <w:t>(1)</w:t>
            </w:r>
          </w:p>
        </w:tc>
        <w:tc>
          <w:tcPr>
            <w:tcW w:w="572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2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1620" w:type="dxa"/>
            <w:vAlign w:val="bottom"/>
            <w:gridSpan w:val="2"/>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Paid in Cash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0"/>
                <w:szCs w:val="10"/>
                <w:b w:val="1"/>
                <w:bCs w:val="1"/>
                <w:color w:val="auto"/>
              </w:rPr>
              <w:t>(2)</w:t>
            </w:r>
          </w:p>
        </w:tc>
        <w:tc>
          <w:tcPr>
            <w:tcW w:w="64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(3)(4)</w:t>
            </w:r>
          </w:p>
        </w:tc>
        <w:tc>
          <w:tcPr>
            <w:tcW w:w="46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 xml:space="preserve"> (5)</w:t>
            </w:r>
          </w:p>
        </w:tc>
        <w:tc>
          <w:tcPr>
            <w:tcW w:w="4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Elenko, Ph.D.</w:t>
            </w:r>
          </w:p>
        </w:tc>
        <w:tc>
          <w:tcPr>
            <w:tcW w:w="1160" w:type="dxa"/>
            <w:vAlign w:val="bottom"/>
            <w:tcBorders>
              <w:top w:val="single" w:sz="8" w:color="auto"/>
            </w:tcBorders>
            <w:shd w:val="clear" w:color="auto" w:fill="CCEEFF"/>
          </w:tcPr>
          <w:p>
            <w:pPr>
              <w:ind w:left="8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16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16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Denice Torres, J.D.</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35,000</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Steven M. Paul, M.D. </w:t>
            </w:r>
            <w:r>
              <w:rPr>
                <w:rFonts w:ascii="Times New Roman" w:cs="Times New Roman" w:eastAsia="Times New Roman" w:hAnsi="Times New Roman"/>
                <w:sz w:val="25"/>
                <w:szCs w:val="25"/>
                <w:color w:val="auto"/>
                <w:vertAlign w:val="superscript"/>
              </w:rPr>
              <w:t>(5)</w:t>
            </w:r>
          </w:p>
        </w:tc>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500,000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Robert J. Hombach </w:t>
            </w:r>
            <w:r>
              <w:rPr>
                <w:rFonts w:ascii="Times New Roman" w:cs="Times New Roman" w:eastAsia="Times New Roman" w:hAnsi="Times New Roman"/>
                <w:sz w:val="25"/>
                <w:szCs w:val="25"/>
                <w:color w:val="auto"/>
                <w:vertAlign w:val="superscript"/>
              </w:rPr>
              <w:t>(6)</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29,069</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433,175</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462,245</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 LLB</w:t>
            </w:r>
          </w:p>
        </w:tc>
        <w:tc>
          <w:tcPr>
            <w:tcW w:w="1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Bharatt Chowrira, Ph.D., J.D. </w:t>
            </w:r>
            <w:r>
              <w:rPr>
                <w:rFonts w:ascii="Times New Roman" w:cs="Times New Roman" w:eastAsia="Times New Roman" w:hAnsi="Times New Roman"/>
                <w:sz w:val="25"/>
                <w:szCs w:val="25"/>
                <w:color w:val="auto"/>
                <w:vertAlign w:val="superscript"/>
              </w:rPr>
              <w:t>(7)</w:t>
            </w:r>
          </w:p>
        </w:tc>
        <w:tc>
          <w:tcPr>
            <w:tcW w:w="16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00" w:hanging="424"/>
        <w:spacing w:after="0" w:line="261"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Ms. Peterson, Ms. Torres, Dr. Wheadon, and Mr. Hombach has entered into a letter agreement with our board pursuant to which he or she is entitled to receive an initial option grant and an annual cash retainer of $35,000.</w:t>
      </w:r>
    </w:p>
    <w:p>
      <w:pPr>
        <w:ind w:left="540" w:hanging="424"/>
        <w:spacing w:after="0"/>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cash fees each director earned for their services to our board of directors during Fiscal Year 2025.</w:t>
      </w:r>
    </w:p>
    <w:p>
      <w:pPr>
        <w:spacing w:after="0" w:line="9"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 awards granted to our directors in Fiscal Year 2025, computed in accordance with FASB ASC Topic 718. Such grant date fair values do not take into account any estimated forfeitures related to service-based vesting. The assumptions used in calculating the grant date fair values of the option awards reported in this column are set forth in Note 10 of our consolidated financial statements for Fiscal Year 2025, included elsewhere in this prospectus. The amounts reported in this column reflect the accounting cost for these option awards and do not correspond to the actual economic value that may be received by our directors upon the exercise of the option awards or any sale of the underlying securities.</w:t>
      </w:r>
    </w:p>
    <w:p>
      <w:pPr>
        <w:spacing w:after="0" w:line="2" w:lineRule="exact"/>
        <w:rPr>
          <w:rFonts w:ascii="Times New Roman" w:cs="Times New Roman" w:eastAsia="Times New Roman" w:hAnsi="Times New Roman"/>
          <w:sz w:val="18"/>
          <w:szCs w:val="18"/>
          <w:color w:val="auto"/>
        </w:rPr>
      </w:pPr>
    </w:p>
    <w:p>
      <w:pPr>
        <w:ind w:left="540" w:right="360" w:hanging="424"/>
        <w:spacing w:after="0" w:line="260"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unvested restricted stock and the aggregate number of stock option awards for each non-employee director that were outstanding as of December 31, 2025 are,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2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60"/>
        </w:trPr>
        <w:tc>
          <w:tcPr>
            <w:tcW w:w="3540" w:type="dxa"/>
            <w:vAlign w:val="bottom"/>
            <w:gridSpan w:val="2"/>
            <w:vMerge w:val="continue"/>
          </w:tcPr>
          <w:p>
            <w:pPr>
              <w:spacing w:after="0"/>
              <w:rPr>
                <w:sz w:val="13"/>
                <w:szCs w:val="13"/>
                <w:color w:val="auto"/>
              </w:rPr>
            </w:pPr>
          </w:p>
        </w:tc>
        <w:tc>
          <w:tcPr>
            <w:tcW w:w="5120" w:type="dxa"/>
            <w:vAlign w:val="bottom"/>
          </w:tcPr>
          <w:p>
            <w:pPr>
              <w:spacing w:after="0"/>
              <w:rPr>
                <w:sz w:val="13"/>
                <w:szCs w:val="13"/>
                <w:color w:val="auto"/>
              </w:rPr>
            </w:pPr>
          </w:p>
        </w:tc>
        <w:tc>
          <w:tcPr>
            <w:tcW w:w="96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Eric Elenko, Ph.D.</w:t>
            </w:r>
          </w:p>
        </w:tc>
        <w:tc>
          <w:tcPr>
            <w:tcW w:w="5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I. Healy, M.D., Ph.D.</w:t>
            </w:r>
          </w:p>
        </w:tc>
        <w:tc>
          <w:tcPr>
            <w:tcW w:w="5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Nelsen</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E. Peterson</w:t>
            </w:r>
          </w:p>
        </w:tc>
        <w:tc>
          <w:tcPr>
            <w:tcW w:w="5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77,042</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Denice Torres, J.D.</w:t>
            </w:r>
          </w:p>
        </w:tc>
        <w:tc>
          <w:tcPr>
            <w:tcW w:w="5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77,042</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Wheadon, M.D.</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77,042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M. Paul, M.D.</w:t>
            </w:r>
          </w:p>
        </w:tc>
        <w:tc>
          <w:tcPr>
            <w:tcW w:w="6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154,778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1,662,495</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J. Hombach</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77,042</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 LLB</w:t>
            </w:r>
          </w:p>
        </w:tc>
        <w:tc>
          <w:tcPr>
            <w:tcW w:w="5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Bharatt Chowrira, Ph.D., J.D.</w:t>
            </w:r>
          </w:p>
        </w:tc>
        <w:tc>
          <w:tcPr>
            <w:tcW w:w="5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12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205</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3"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Paul has entered into a Senior Advisor Agreement with us, pursuant to which Dr. Paul spends approximately 2.5 days per week at the company and shall be entitled to an annual fee of $500,000 and received an initial equity grant intended to represent 5.0% of the Company’s fully-diluted capitalization as of the effective date. In addition, Dr. Paul shall receive additional equity grants (either in the form of stock options or restricted stock) so that his share ownership shall remain at 5.0% of the fully diluted capitalization of the Company through our initial public offering but excluding any shares issued pursuant to any over-allotment option and excluding any annual awards or IPO grants that were not issued in connection with his initial award. 100% of the unvested restricted stock will accelerate and become fully vested upon the closing of this offering, subject to Dr. Paul’s continued service relationship through such closing.</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Hombach was appointed as a director on March 3,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Chowrira resigned from the Board on July 16, 2025 in connection with his departure from PureTech.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have adopted a new non-employee director compensation policy that will become effective upon the completion of this offering and is designed to enable us to attract and retain, on a long-term basis, highly qualified non-employee directors. Under the policy, each director who is not an employee will be paid cash compensation from and after the completion of this offering, as set forth below, which amounts will be payable quarterly in arrears and prorated for partial years of service: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tc>
        <w:tc>
          <w:tcPr>
            <w:tcW w:w="9140" w:type="dxa"/>
            <w:vAlign w:val="bottom"/>
            <w:vMerge w:val="restart"/>
          </w:tcPr>
          <w:p>
            <w:pPr>
              <w:spacing w:after="0"/>
              <w:rPr>
                <w:sz w:val="13"/>
                <w:szCs w:val="13"/>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80"/>
        </w:trPr>
        <w:tc>
          <w:tcPr>
            <w:tcW w:w="1200" w:type="dxa"/>
            <w:vAlign w:val="bottom"/>
            <w:tcBorders>
              <w:bottom w:val="single" w:sz="8" w:color="auto"/>
            </w:tcBorders>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68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Retainer</w:t>
            </w:r>
          </w:p>
        </w:tc>
        <w:tc>
          <w:tcPr>
            <w:tcW w:w="0" w:type="dxa"/>
            <w:vAlign w:val="bottom"/>
          </w:tcPr>
          <w:p>
            <w:pPr>
              <w:spacing w:after="0"/>
              <w:rPr>
                <w:sz w:val="1"/>
                <w:szCs w:val="1"/>
                <w:color w:val="auto"/>
              </w:rPr>
            </w:pPr>
          </w:p>
        </w:tc>
      </w:tr>
      <w:tr>
        <w:trPr>
          <w:trHeight w:val="203"/>
        </w:trPr>
        <w:tc>
          <w:tcPr>
            <w:tcW w:w="10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Members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35,000</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10,000</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20,000</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15,000</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non-employee director compensation policy will provide that, upon initial election to our board of directors, each non-employee director will be granted an equity award with a fair market value of $647,750 or an option to purchase 49,033 shares of our common stock, or the Initial Grant. The Initial Grant will vest in equal monthly installments over three years from the date of grant, subject to continued service as a director through the applicable vesting date.</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Furthermore, on the date of each annual meeting of stockholders following the completion of this offering, each non-employee director who continues as a non-employee director following such meeting will be granted an annual equity award with fair market value of $324,000 or option to purchase 24,516 shares of our common stock, or the Annual Grant. The Annual Grant will vest in full upon the earlier of (i) the first anniversary of the date of grant or (ii) the date of the next Annual Meeting. These awards are subject to full accelerated vesting upon the sale of the company.</w:t>
      </w:r>
    </w:p>
    <w:p>
      <w:pPr>
        <w:spacing w:after="0" w:line="180"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 as a non-employee director in a calendar year period will not exceed $750,000 (or $1,000,000 for the calendar year in which the applicable non-employee director is initially elected or appointed to our board of directors).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of directors and committees thereof.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and indemnification arrangements discussed, when required, in the sections titled “Management,” “Executive Compensation” and “Director Compensation” and the registration rights described in the section titled “Description of Capital Stock—Registration Rights,” the following is a description of all transactions since our date of incorporation in April 2024 and each currently proposed transaction in which:</w:t>
      </w:r>
    </w:p>
    <w:p>
      <w:pPr>
        <w:spacing w:after="0" w:line="85"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our total assets at year-end for the last two completed fiscal years; and</w:t>
      </w:r>
    </w:p>
    <w:p>
      <w:pPr>
        <w:spacing w:after="0" w:line="67"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 Transfer Agreement with PureTech and Convertible Preferred Stock Financing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April 2024, we entered into an Asset Transfer Agreement, as amended in December 2025, or the Asset Transfer Agreement, with PureTech Health LLC, or PureTech Health, and PureTech LYT, Inc., or PureTech LYT, pursuant to which PureTech Health and PureTech LYT agreed to contribute, convey, assign, transfer, and deliver to us all of PureTech Health and PureTech LYT’s right, title and interest in, to, and under the assets related to its Glyph technology or products, including the Monash License Agreement, subject to the terms set forth in the Asset Transfer Agreement. In exchange, we issued 40,000,000 shares of our Series A-1 convertible preferred stock and 302,161 shares of our common stock to PureTech LYT.</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Asset Transfer Agreement, we have agreed to make milestone payments of up to an aggregate of $10.0 million for the first product covered by assets transferred through the Asset Transfer Agreement, or the Seaport Glyph Product, and up to an aggregate of $5.0 million for each subsequent Seaport Glyph Product that achieves certain developmental and commercial milestones. In addition, we are obligated to pay royalties between 3% and 5% on the annual net sales of each Seaport Glyph Product as follows: less than $500 million: 3%; $500 million to $1 billion: 3.5%; $1 billion to $2.5 billion: 4%; $2.5 billion to $3.5 billion: 4.5%; $3.5 billion or greater: 5%. The royalty term will expire on a country-by-country basis as to each Seaport Glyph Product on the later of the ten year anniversary of the first commercial sale of such Seaport Glyph Product in such country or the date on which the last valid claim of patent rights of such Seaport Glyph Product expires in such country. For additional information, see “</w:t>
      </w:r>
      <w:r>
        <w:rPr>
          <w:rFonts w:ascii="Times New Roman" w:cs="Times New Roman" w:eastAsia="Times New Roman" w:hAnsi="Times New Roman"/>
          <w:sz w:val="18"/>
          <w:szCs w:val="18"/>
          <w:i w:val="1"/>
          <w:iCs w:val="1"/>
          <w:color w:val="auto"/>
        </w:rPr>
        <w:t>Business-Agreements—Asset Transfer Agreement with PureTech.</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Concurrently, upon entry into the Asset Transfer Agreement, we entered into a stock purchase agreement with PureTech LYT and other third-party investors, in which we issued 26,342,102 shares of our Series A-2 convertible preferred stock, or the Series A Financing, of which 8,421,052 shares were issued and sold to PureTech LYT. PureTech LYT remained a majority investor of Seaport, until the completion of our Series B convertible preferred stock financing, or the Series B Financing, in October 2024, upon which we issued and sold an aggregate amount of 47,578,934 shares of our Series B convertible preferred stock, of which 3,031,578 shares were issued to PureTech LYT, and an aggregate of 494,734 shares issued to certain of our management and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Transition Services Agreement with PureTech</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entry into the Asset Transfer Agreement, we also entered into a Transition Services Agreement, or the TSA, with PureTech pursuant to which PureTech agreed to provide us certain services relating to the orderly transition and continued operation on a transitional basis for one year following the entry into the TSA (unless extended by mutual agreement of the parties or the earlier termination of all services provided under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TSA) in consideration of our payment of all fees associated with the transitioned services. Pursuant to the TSA, we made an upfront payment of $0.5 million to reimburse PureTech for work performed by certain third-parties prior to the closing and have paid an aggregate of $14.2 million of expenses since entering into the Asset Transfer Agreement to advance our programs and activities. In 2025, the TSA was amended to extend through July 2026 to provide ad hoc support as needed; however, the services to be provided under the amended TSA are expected to be de minimis. On April 2, 2026, we and PureTech mutually agreed to terminate the TSA in accordance with its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A-2 Convertible Preferred Stock Financing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April 2024, we issued and sold to certain investors an aggregate of 26,342,102 of Series A-2 convertible preferred stock at a price per share of $3.80, for an aggregate purchase price of approximately $100.1 million. Each outstanding share of Series A-2 convertible preferred stock will convert into one share of common stock immediately prior to the completion of this offering. The following table summarizes the shares of our Series A-2 convertible preferred stock issued to our related parties: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Purchasers </w:t>
            </w:r>
            <w:r>
              <w:rPr>
                <w:rFonts w:ascii="Times New Roman" w:cs="Times New Roman" w:eastAsia="Times New Roman" w:hAnsi="Times New Roman"/>
                <w:sz w:val="10"/>
                <w:szCs w:val="10"/>
                <w:b w:val="1"/>
                <w:bCs w:val="1"/>
                <w:color w:val="auto"/>
              </w:rPr>
              <w:t>(1)</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40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60"/>
        </w:trPr>
        <w:tc>
          <w:tcPr>
            <w:tcW w:w="7640" w:type="dxa"/>
            <w:vAlign w:val="bottom"/>
            <w:gridSpan w:val="2"/>
            <w:vMerge w:val="continue"/>
          </w:tcPr>
          <w:p>
            <w:pPr>
              <w:spacing w:after="0"/>
              <w:rPr>
                <w:sz w:val="13"/>
                <w:szCs w:val="13"/>
                <w:color w:val="auto"/>
              </w:rPr>
            </w:pPr>
          </w:p>
        </w:tc>
        <w:tc>
          <w:tcPr>
            <w:tcW w:w="16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40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PureTech LYT, Inc. </w:t>
            </w:r>
            <w:r>
              <w:rPr>
                <w:rFonts w:ascii="Times New Roman" w:cs="Times New Roman" w:eastAsia="Times New Roman" w:hAnsi="Times New Roman"/>
                <w:sz w:val="23"/>
                <w:szCs w:val="23"/>
                <w:color w:val="auto"/>
                <w:vertAlign w:val="superscript"/>
              </w:rPr>
              <w:t>(2)</w:t>
            </w:r>
          </w:p>
        </w:tc>
        <w:tc>
          <w:tcPr>
            <w:tcW w:w="1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8,421,052</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31,999,998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(3)</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7,894,736</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29,999,997</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(4)</w:t>
            </w:r>
          </w:p>
        </w:tc>
        <w:tc>
          <w:tcPr>
            <w:tcW w:w="1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6,052,631</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22,999,998</w:t>
            </w:r>
          </w:p>
        </w:tc>
        <w:tc>
          <w:tcPr>
            <w:tcW w:w="0" w:type="dxa"/>
            <w:vAlign w:val="bottom"/>
          </w:tcPr>
          <w:p>
            <w:pPr>
              <w:spacing w:after="0"/>
              <w:rPr>
                <w:sz w:val="1"/>
                <w:szCs w:val="1"/>
                <w:color w:val="auto"/>
              </w:rPr>
            </w:pPr>
          </w:p>
        </w:tc>
      </w:tr>
      <w:tr>
        <w:trPr>
          <w:trHeight w:val="355"/>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Third Rock Ventures VI, L.P. </w:t>
            </w:r>
            <w:r>
              <w:rPr>
                <w:rFonts w:ascii="Times New Roman" w:cs="Times New Roman" w:eastAsia="Times New Roman" w:hAnsi="Times New Roman"/>
                <w:sz w:val="26"/>
                <w:szCs w:val="26"/>
                <w:color w:val="auto"/>
                <w:vertAlign w:val="superscript"/>
              </w:rPr>
              <w:t>(5)</w:t>
            </w: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3,947,368</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included in the section titled “Principal Stockholders.”</w:t>
      </w:r>
    </w:p>
    <w:p>
      <w:pPr>
        <w:spacing w:after="0" w:line="27"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LYT beneficially owns more than 5% of our outstanding capital stock. Dr. Elenko and Mr. Lyne, members of our board of directors, were designated to our board of directors by PureTech LYT and are executive officers at PureTech.</w:t>
      </w:r>
    </w:p>
    <w:p>
      <w:pPr>
        <w:ind w:left="540" w:right="18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 Venture Fund XII, L.P. beneficially owns more than 5% of our outstanding capital stock. Mr. Nelsen, a member of our board of directors, was designated to our board of directors by ARCH Venture Fund XII, L.P. and is a Managing Director of ARCH Venture Partners.</w:t>
      </w:r>
    </w:p>
    <w:p>
      <w:pPr>
        <w:ind w:left="540" w:right="120" w:hanging="424"/>
        <w:spacing w:after="0" w:line="250"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Sofinnova beneficially owns more than 5% of our outstanding capital stock. Dr. Healy, a member of our board of directors, was designated to our board of directors by Sofinnova and is a Managing Director of Sofinnova.</w:t>
      </w: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beneficially own more than 5% of our outstanding capital stock.</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 Financing</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October 2024 and November 2024, we issued and sold to certain investors an aggregate of 47,578,934 shares of Series B convertible preferred stock at a price per share of $4.75 for an aggregate purchase price of approximately $226.0 million. Each outstanding share of Series B convertible preferred stock will convert into one share of common stock immediately prior to the completion of this offering. The following table summarizes the shares of our Series B convertible preferred stock issued to our related parties: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Purchasers </w:t>
            </w:r>
            <w:r>
              <w:rPr>
                <w:rFonts w:ascii="Times New Roman" w:cs="Times New Roman" w:eastAsia="Times New Roman" w:hAnsi="Times New Roman"/>
                <w:sz w:val="10"/>
                <w:szCs w:val="10"/>
                <w:b w:val="1"/>
                <w:bCs w:val="1"/>
                <w:color w:val="auto"/>
              </w:rPr>
              <w:t>(1)</w:t>
            </w:r>
          </w:p>
        </w:tc>
        <w:tc>
          <w:tcPr>
            <w:tcW w:w="1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60"/>
        </w:trPr>
        <w:tc>
          <w:tcPr>
            <w:tcW w:w="8280" w:type="dxa"/>
            <w:vAlign w:val="bottom"/>
            <w:gridSpan w:val="2"/>
            <w:vMerge w:val="continue"/>
          </w:tcPr>
          <w:p>
            <w:pPr>
              <w:spacing w:after="0"/>
              <w:rPr>
                <w:sz w:val="13"/>
                <w:szCs w:val="13"/>
                <w:color w:val="auto"/>
              </w:rPr>
            </w:pPr>
          </w:p>
        </w:tc>
        <w:tc>
          <w:tcPr>
            <w:tcW w:w="17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3"/>
                <w:szCs w:val="13"/>
                <w:color w:val="auto"/>
              </w:rPr>
            </w:pPr>
          </w:p>
        </w:tc>
        <w:tc>
          <w:tcPr>
            <w:tcW w:w="88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General Atlantic (SP), L.P. </w:t>
            </w:r>
            <w:r>
              <w:rPr>
                <w:rFonts w:ascii="Times New Roman" w:cs="Times New Roman" w:eastAsia="Times New Roman" w:hAnsi="Times New Roman"/>
                <w:sz w:val="23"/>
                <w:szCs w:val="23"/>
                <w:color w:val="auto"/>
                <w:vertAlign w:val="superscript"/>
              </w:rPr>
              <w:t>(2)</w:t>
            </w: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10,526,315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49,999,996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(3)</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8,421,052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39,999,997</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PureTech LYT, Inc. </w:t>
            </w:r>
            <w:r>
              <w:rPr>
                <w:rFonts w:ascii="Times New Roman" w:cs="Times New Roman" w:eastAsia="Times New Roman" w:hAnsi="Times New Roman"/>
                <w:sz w:val="25"/>
                <w:szCs w:val="25"/>
                <w:color w:val="auto"/>
                <w:vertAlign w:val="superscript"/>
              </w:rPr>
              <w:t>(4)</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3,031,578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14,399,996</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(5)</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2,526,315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11,999,996</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Third Rock Ventures VI, L.P. </w:t>
            </w:r>
            <w:r>
              <w:rPr>
                <w:rFonts w:ascii="Times New Roman" w:cs="Times New Roman" w:eastAsia="Times New Roman" w:hAnsi="Times New Roman"/>
                <w:sz w:val="25"/>
                <w:szCs w:val="25"/>
                <w:color w:val="auto"/>
                <w:vertAlign w:val="superscript"/>
              </w:rPr>
              <w:t>(6)</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2,526,315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11,999,996</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Steven M. Paul </w:t>
            </w:r>
            <w:r>
              <w:rPr>
                <w:rFonts w:ascii="Times New Roman" w:cs="Times New Roman" w:eastAsia="Times New Roman" w:hAnsi="Times New Roman"/>
                <w:sz w:val="25"/>
                <w:szCs w:val="25"/>
                <w:color w:val="auto"/>
                <w:vertAlign w:val="superscript"/>
              </w:rPr>
              <w:t>(7)</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210,526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999,999</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Lana Gladstein </w:t>
            </w:r>
            <w:r>
              <w:rPr>
                <w:rFonts w:ascii="Times New Roman" w:cs="Times New Roman" w:eastAsia="Times New Roman" w:hAnsi="Times New Roman"/>
                <w:sz w:val="25"/>
                <w:szCs w:val="25"/>
                <w:color w:val="auto"/>
                <w:vertAlign w:val="superscript"/>
              </w:rPr>
              <w:t>(8)</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105,263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Antony Loebel </w:t>
            </w:r>
            <w:r>
              <w:rPr>
                <w:rFonts w:ascii="Times New Roman" w:cs="Times New Roman" w:eastAsia="Times New Roman" w:hAnsi="Times New Roman"/>
                <w:sz w:val="25"/>
                <w:szCs w:val="25"/>
                <w:color w:val="auto"/>
                <w:vertAlign w:val="superscript"/>
              </w:rPr>
              <w:t>(9)</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63,157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299,996</w:t>
            </w:r>
          </w:p>
        </w:tc>
        <w:tc>
          <w:tcPr>
            <w:tcW w:w="0" w:type="dxa"/>
            <w:vAlign w:val="bottom"/>
          </w:tcPr>
          <w:p>
            <w:pPr>
              <w:spacing w:after="0"/>
              <w:rPr>
                <w:sz w:val="1"/>
                <w:szCs w:val="1"/>
                <w:color w:val="auto"/>
              </w:rPr>
            </w:pPr>
          </w:p>
        </w:tc>
      </w:tr>
      <w:tr>
        <w:trPr>
          <w:trHeight w:val="198"/>
        </w:trPr>
        <w:tc>
          <w:tcPr>
            <w:tcW w:w="8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Eric D. Green and Jessica Santiago-Green, Trustees, or their Successors in interest, of the Eric D. Green</w:t>
            </w:r>
          </w:p>
        </w:tc>
        <w:tc>
          <w:tcPr>
            <w:tcW w:w="1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8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Living Trust dated November 12, 2010 </w:t>
            </w:r>
            <w:r>
              <w:rPr>
                <w:rFonts w:ascii="Times New Roman" w:cs="Times New Roman" w:eastAsia="Times New Roman" w:hAnsi="Times New Roman"/>
                <w:sz w:val="26"/>
                <w:szCs w:val="26"/>
                <w:color w:val="auto"/>
                <w:vertAlign w:val="superscript"/>
              </w:rPr>
              <w:t>(10)</w:t>
            </w:r>
          </w:p>
        </w:tc>
        <w:tc>
          <w:tcPr>
            <w:tcW w:w="17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199,999</w:t>
            </w:r>
          </w:p>
        </w:tc>
        <w:tc>
          <w:tcPr>
            <w:tcW w:w="0" w:type="dxa"/>
            <w:vAlign w:val="bottom"/>
          </w:tcPr>
          <w:p>
            <w:pPr>
              <w:spacing w:after="0"/>
              <w:rPr>
                <w:sz w:val="1"/>
                <w:szCs w:val="1"/>
                <w:color w:val="auto"/>
              </w:rPr>
            </w:pPr>
          </w:p>
        </w:tc>
      </w:tr>
      <w:tr>
        <w:trPr>
          <w:trHeight w:val="355"/>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Denice M. Torres Revocable Trust </w:t>
            </w:r>
            <w:r>
              <w:rPr>
                <w:rFonts w:ascii="Times New Roman" w:cs="Times New Roman" w:eastAsia="Times New Roman" w:hAnsi="Times New Roman"/>
                <w:sz w:val="26"/>
                <w:szCs w:val="26"/>
                <w:color w:val="auto"/>
                <w:vertAlign w:val="superscript"/>
              </w:rPr>
              <w:t>(11)</w:t>
            </w: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42,105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these stockholders and their equity holdings are included in the section titled “Principal Stockholders.”</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Atlantic beneficially owns more than 5% of our outstanding capital stock. Dr. Pitts, a member of our board of directors, was designated to our board of directors by General Atlantic and is a Principal of General Atlantic.</w:t>
      </w:r>
    </w:p>
    <w:p>
      <w:pPr>
        <w:ind w:left="540" w:right="180" w:hanging="424"/>
        <w:spacing w:after="0" w:line="250"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 Venture Fund XII, L.P. beneficially owns more than 5% of our outstanding capital stock. Mr. Nelsen, a member of our board of directors, was designated to our board of directors by ARCH Venture Fund XII, L.P. and is a Managing Director of ARCH Venture Partners.</w:t>
      </w:r>
    </w:p>
    <w:p>
      <w:pPr>
        <w:ind w:left="540" w:right="380" w:hanging="424"/>
        <w:spacing w:after="0" w:line="250"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LYT beneficially owns more than 5% of our outstanding capital stock. Dr. Elenko and Mr. Lyne, members of our board of directors, were designated to our board of directors by PureTech LYT and are executive officers at PureTech.</w:t>
      </w:r>
    </w:p>
    <w:p>
      <w:pPr>
        <w:ind w:left="540" w:right="120" w:hanging="424"/>
        <w:spacing w:after="0" w:line="250" w:lineRule="auto"/>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Sofinnova beneficially owns more than 5% of our outstanding capital stock. Dr. Healy, a member of our board of directors, was designated to our board of directors by Sofinnova and is a Managing Director of Sofinnova.</w:t>
      </w: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beneficially own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M. Paul is Chairman and a member of our board of directors and a senior advisor to the Company.</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Lana Gladstein is our General Counsel.</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Antony Loebel is our Chief Medical Officer.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Green is our former Chief Operating Officer.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Denice Torres is a member of our board of directors.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our Series A-2 and Series B convertible preferred stock financings, we entered into investors’ rights, voting, and right of first refusal and co-sale agreements containing registration rights and information rights, among other things, with certain holders of our preferred stock and certain holders of our common stock, including holders of more than 5% of our capital stock and entities with which certain of our directors or officers are affiliated. These agreements will terminate upon the closing of this offering, except for the registration rights granted under our amended and restated investors’ rights agreement, as more fully described in “Description of Capital Stock—Registration Rights.”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During the year-ended December 31, 2024, we made payments of $0.2 million to Third Rock Ventures for professional fees. During the year ended December 31, 2025, amounts paid to Third Rock Ventures were not material.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Rights and Side Letters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initial issuance and sale of our convertible preferred stock, we entered into management rights and side letters with certain purchasers of our convertible preferred stock, including holders of more than 5% of our capital stock and entities with which certain of our directors or officers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These management rights letters will terminate upon completion of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Steven M. Paul Advisor Agreement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February 2024, we entered into a senior advisor agreement with Steven M. Paul, the chair of our board of directors, whereby we pay Dr. Paul an annual fee of $500,000 and agreed that if at any time while Dr. Paul is providing services to us up to and including the closing of an initial public offering, Dr. Paul’s ownership reduces to below 5% of our total outstanding capital on a fully diluted basis including all outstanding options and restricted common stock, we will grant him an additional equity award to maintain his ownership at the 5% threshold.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and Benefit Arrangements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offer letter or employment agreements with certain of our executive officers, and granted restricted stock and stock options to our executive officers, including an agreement with our Chief Executive Officer pursuant to which we have agreed to maintain our Chief Executive Officer’s ownership at a certain percentage of our shares on a fully diluted basis and an agreement pursuant to which we’ve extended additional benefits to our Chief Executive Officer, as more fully described in the section titled “Executive Compensation.”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granted restricted stock and options to purchase shares of our common stock to certain of our executive officers and directors. For more information regarding the options granted to our executive officers and directors, see the sections titled “Executive Compensation” and “Director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“Management—Limitations on Liability and Indemnification Agreements.”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5"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approximately 708,000 shares of our common stock being offered hereby (approximately 5%) for directors, executive officers, employees and business associates. The directed share program will not limit the ability of our directors, officers, and their family members, or holders of more than 5% of our capital stock, to purchase more than $120,000 in value of our common stock. We do not currently know the extent to which these related persons will participate in our directed share program, if at all, or the extent to which they will purchase more than $120,000 in value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5"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capital stock as of April 1, 2026 by:</w:t>
      </w:r>
    </w:p>
    <w:p>
      <w:pPr>
        <w:spacing w:after="0" w:line="131"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April 1,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Applicable percentage ownership before the offering is based on an aggregate of 38,867,817 shares of common stock (which includes 121,612 shares of restricted common stock) deemed to be outstanding as of April 1, 2026 after giving effect to the Preferred Stock Conversion.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Applicable percentage ownership after the offering is based on 53,027,817 shares of common stock assumed to be outstanding immediately after the completion of this offering (after giving effect to the sale of 14,160,000 shares of common stock in this offering at the public offering price of $18.00 per share, and assuming no exercise of the underwriters’ option to purchase additional shares).</w:t>
      </w:r>
    </w:p>
    <w:p>
      <w:pPr>
        <w:spacing w:after="0" w:line="176"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does not reflect any shares of common stock that may be purchased pursuant to our directed share program described under “Underwriting—Directed Share Program.” If any shares are purchased by our existing principal stockholders, directors or their affiliated entities, the number and percentage of shares of our common stock beneficially owned by them after this offering will differ from those set forth in the following table.</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Seaport Therapeutics, Inc., 101 Seaport Blvd., Floor 12, Boston, Massachusetts 02210.</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7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04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22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Borders>
              <w:top w:val="single" w:sz="8" w:color="auto"/>
            </w:tcBorders>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17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2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90"/>
        </w:trPr>
        <w:tc>
          <w:tcPr>
            <w:tcW w:w="4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Greater than 5% Holders</w:t>
            </w:r>
          </w:p>
        </w:tc>
        <w:tc>
          <w:tcPr>
            <w:tcW w:w="25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PureTech LYT, Inc. </w:t>
            </w:r>
            <w:r>
              <w:rPr>
                <w:rFonts w:ascii="Times New Roman" w:cs="Times New Roman" w:eastAsia="Times New Roman" w:hAnsi="Times New Roman"/>
                <w:sz w:val="25"/>
                <w:szCs w:val="25"/>
                <w:color w:val="auto"/>
                <w:vertAlign w:val="superscript"/>
              </w:rPr>
              <w:t>(1)</w:t>
            </w:r>
          </w:p>
        </w:tc>
        <w:tc>
          <w:tcPr>
            <w:tcW w:w="4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16,685,013</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42.9%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ARCH Venture Fund XII, L.P. </w:t>
            </w:r>
            <w:r>
              <w:rPr>
                <w:rFonts w:ascii="Times New Roman" w:cs="Times New Roman" w:eastAsia="Times New Roman" w:hAnsi="Times New Roman"/>
                <w:sz w:val="25"/>
                <w:szCs w:val="25"/>
                <w:color w:val="auto"/>
                <w:vertAlign w:val="superscript"/>
              </w:rPr>
              <w:t>(2)</w:t>
            </w:r>
          </w:p>
        </w:tc>
        <w:tc>
          <w:tcPr>
            <w:tcW w:w="4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5,194,951</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13.4%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General Atlantic (SP), L.P. </w:t>
            </w:r>
            <w:r>
              <w:rPr>
                <w:rFonts w:ascii="Times New Roman" w:cs="Times New Roman" w:eastAsia="Times New Roman" w:hAnsi="Times New Roman"/>
                <w:sz w:val="25"/>
                <w:szCs w:val="25"/>
                <w:color w:val="auto"/>
                <w:vertAlign w:val="superscript"/>
              </w:rPr>
              <w:t>(3)</w:t>
            </w:r>
          </w:p>
        </w:tc>
        <w:tc>
          <w:tcPr>
            <w:tcW w:w="4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3,351,582</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Sofinnova Venture Partners XI, L.P. </w:t>
            </w:r>
            <w:r>
              <w:rPr>
                <w:rFonts w:ascii="Times New Roman" w:cs="Times New Roman" w:eastAsia="Times New Roman" w:hAnsi="Times New Roman"/>
                <w:sz w:val="25"/>
                <w:szCs w:val="25"/>
                <w:color w:val="auto"/>
                <w:vertAlign w:val="superscript"/>
              </w:rPr>
              <w:t>(4)</w:t>
            </w:r>
          </w:p>
        </w:tc>
        <w:tc>
          <w:tcPr>
            <w:tcW w:w="4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2,731,538</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Third Rock Ventures VI, L.P. </w:t>
            </w:r>
            <w:r>
              <w:rPr>
                <w:rFonts w:ascii="Times New Roman" w:cs="Times New Roman" w:eastAsia="Times New Roman" w:hAnsi="Times New Roman"/>
                <w:sz w:val="25"/>
                <w:szCs w:val="25"/>
                <w:color w:val="auto"/>
                <w:vertAlign w:val="superscript"/>
              </w:rPr>
              <w:t>(5)</w:t>
            </w:r>
          </w:p>
        </w:tc>
        <w:tc>
          <w:tcPr>
            <w:tcW w:w="4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2,061,222</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Daphne Zohar, </w:t>
            </w:r>
            <w:r>
              <w:rPr>
                <w:rFonts w:ascii="Times New Roman" w:cs="Times New Roman" w:eastAsia="Times New Roman" w:hAnsi="Times New Roman"/>
                <w:sz w:val="17"/>
                <w:szCs w:val="17"/>
                <w:i w:val="1"/>
                <w:iCs w:val="1"/>
                <w:color w:val="auto"/>
              </w:rPr>
              <w:t>Chief Executive Officer and Director</w:t>
            </w:r>
            <w:r>
              <w:rPr>
                <w:rFonts w:ascii="Times New Roman" w:cs="Times New Roman" w:eastAsia="Times New Roman" w:hAnsi="Times New Roman"/>
                <w:sz w:val="25"/>
                <w:szCs w:val="25"/>
                <w:color w:val="auto"/>
                <w:vertAlign w:val="superscript"/>
              </w:rPr>
              <w:t>(6)</w:t>
            </w:r>
          </w:p>
        </w:tc>
        <w:tc>
          <w:tcPr>
            <w:tcW w:w="43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3,393,013</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Michael C. Chen</w:t>
            </w:r>
            <w:r>
              <w:rPr>
                <w:rFonts w:ascii="Times New Roman" w:cs="Times New Roman" w:eastAsia="Times New Roman" w:hAnsi="Times New Roman"/>
                <w:sz w:val="25"/>
                <w:szCs w:val="25"/>
                <w:color w:val="auto"/>
                <w:vertAlign w:val="superscript"/>
              </w:rPr>
              <w:t>(7)</w:t>
            </w:r>
          </w:p>
        </w:tc>
        <w:tc>
          <w:tcPr>
            <w:tcW w:w="43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262,783</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8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212</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7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5620" w:type="dxa"/>
            <w:vAlign w:val="bottom"/>
            <w:vMerge w:val="restart"/>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22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Borders>
              <w:top w:val="single" w:sz="8" w:color="auto"/>
            </w:tcBorders>
          </w:tcPr>
          <w:p>
            <w:pPr>
              <w:jc w:val="right"/>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3"/>
                <w:szCs w:val="13"/>
                <w:color w:val="auto"/>
              </w:rPr>
            </w:pPr>
          </w:p>
        </w:tc>
        <w:tc>
          <w:tcPr>
            <w:tcW w:w="5620" w:type="dxa"/>
            <w:vAlign w:val="bottom"/>
            <w:vMerge w:val="continue"/>
          </w:tcPr>
          <w:p>
            <w:pPr>
              <w:spacing w:after="0"/>
              <w:rPr>
                <w:sz w:val="13"/>
                <w:szCs w:val="13"/>
                <w:color w:val="auto"/>
              </w:rPr>
            </w:pPr>
          </w:p>
        </w:tc>
        <w:tc>
          <w:tcPr>
            <w:tcW w:w="1760" w:type="dxa"/>
            <w:vAlign w:val="bottom"/>
            <w:gridSpan w:val="2"/>
          </w:tcPr>
          <w:p>
            <w:pPr>
              <w:jc w:val="right"/>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220" w:type="dxa"/>
            <w:vAlign w:val="bottom"/>
            <w:gridSpan w:val="2"/>
          </w:tcPr>
          <w:p>
            <w:pPr>
              <w:jc w:val="right"/>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Antony Loebel, M.D.</w:t>
            </w:r>
            <w:r>
              <w:rPr>
                <w:rFonts w:ascii="Times New Roman" w:cs="Times New Roman" w:eastAsia="Times New Roman" w:hAnsi="Times New Roman"/>
                <w:sz w:val="25"/>
                <w:szCs w:val="25"/>
                <w:color w:val="auto"/>
                <w:vertAlign w:val="superscript"/>
              </w:rPr>
              <w:t>(8)</w:t>
            </w:r>
          </w:p>
        </w:tc>
        <w:tc>
          <w:tcPr>
            <w:tcW w:w="12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276,571</w:t>
            </w:r>
          </w:p>
        </w:tc>
        <w:tc>
          <w:tcPr>
            <w:tcW w:w="56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Steven M. Paul, M.D.</w:t>
            </w:r>
            <w:r>
              <w:rPr>
                <w:rFonts w:ascii="Times New Roman" w:cs="Times New Roman" w:eastAsia="Times New Roman" w:hAnsi="Times New Roman"/>
                <w:sz w:val="25"/>
                <w:szCs w:val="25"/>
                <w:color w:val="auto"/>
                <w:vertAlign w:val="superscript"/>
              </w:rPr>
              <w:t>(9)</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2,317,711</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I. Healy, M.D., Ph.D.</w:t>
            </w:r>
            <w:r>
              <w:rPr>
                <w:rFonts w:ascii="Times New Roman" w:cs="Times New Roman" w:eastAsia="Times New Roman" w:hAnsi="Times New Roman"/>
                <w:sz w:val="25"/>
                <w:szCs w:val="25"/>
                <w:color w:val="auto"/>
                <w:vertAlign w:val="superscript"/>
              </w:rPr>
              <w:t>(10)</w:t>
            </w:r>
          </w:p>
        </w:tc>
        <w:tc>
          <w:tcPr>
            <w:tcW w:w="1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2,731,538</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Robert J. Hombach</w:t>
            </w:r>
            <w:r>
              <w:rPr>
                <w:rFonts w:ascii="Times New Roman" w:cs="Times New Roman" w:eastAsia="Times New Roman" w:hAnsi="Times New Roman"/>
                <w:sz w:val="25"/>
                <w:szCs w:val="25"/>
                <w:color w:val="auto"/>
                <w:vertAlign w:val="superscript"/>
              </w:rPr>
              <w:t>(11)</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29,960</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Sandra E. Peterson</w:t>
            </w:r>
            <w:r>
              <w:rPr>
                <w:rFonts w:ascii="Times New Roman" w:cs="Times New Roman" w:eastAsia="Times New Roman" w:hAnsi="Times New Roman"/>
                <w:sz w:val="25"/>
                <w:szCs w:val="25"/>
                <w:color w:val="auto"/>
                <w:vertAlign w:val="superscript"/>
              </w:rPr>
              <w:t>(12)</w:t>
            </w:r>
          </w:p>
        </w:tc>
        <w:tc>
          <w:tcPr>
            <w:tcW w:w="1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36,380</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Pitts, Ph.D.</w:t>
            </w: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Denice Torres, J.D.</w:t>
            </w:r>
            <w:r>
              <w:rPr>
                <w:rFonts w:ascii="Times New Roman" w:cs="Times New Roman" w:eastAsia="Times New Roman" w:hAnsi="Times New Roman"/>
                <w:sz w:val="25"/>
                <w:szCs w:val="25"/>
                <w:color w:val="auto"/>
                <w:vertAlign w:val="superscript"/>
              </w:rPr>
              <w:t>(13)</w:t>
            </w:r>
          </w:p>
        </w:tc>
        <w:tc>
          <w:tcPr>
            <w:tcW w:w="1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66,907</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David Wheadon, M.D.</w:t>
            </w:r>
            <w:r>
              <w:rPr>
                <w:rFonts w:ascii="Times New Roman" w:cs="Times New Roman" w:eastAsia="Times New Roman" w:hAnsi="Times New Roman"/>
                <w:sz w:val="25"/>
                <w:szCs w:val="25"/>
                <w:color w:val="auto"/>
                <w:vertAlign w:val="superscript"/>
              </w:rPr>
              <w:t>(14)</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44,940</w:t>
            </w: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executive officers and directors as a group (12 persons)</w:t>
            </w:r>
            <w:r>
              <w:rPr>
                <w:rFonts w:ascii="Times New Roman" w:cs="Times New Roman" w:eastAsia="Times New Roman" w:hAnsi="Times New Roman"/>
                <w:sz w:val="25"/>
                <w:szCs w:val="25"/>
                <w:color w:val="auto"/>
                <w:vertAlign w:val="superscript"/>
              </w:rPr>
              <w:t>(15)</w:t>
            </w:r>
          </w:p>
        </w:tc>
        <w:tc>
          <w:tcPr>
            <w:tcW w:w="17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9,824,753</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22.6%</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60" w:hanging="424"/>
        <w:spacing w:after="0" w:line="250"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302,479 shares of common stock, (ii) 12,736,014 shares of common stock issuable upon conversion of Series A-1 preferred stock, (iii) 2,681,265 shares of common stock issuable upon conversion of Series A-2 preferred stock and (iv) 965,255 of common stock issuable upon conversion of Series B preferred stock held by PureTech LYT, Inc. Voting and investment power over the shares held by PureTech LYT, Inc. is exercised by its parent entity, PureTech Health plc. The board of directors of PureTech Health plc consists of Ms. Sharon Barber-Lui, Dr. Michele Holcomb, Dr. John LaMattina, Dr. Robert Langer, Ms. Kiran Mazumdar-Shaw and Robert Lyne. None of the members of the board of directors of PureTech Health plc or PureTech Health LLC has individual voting or investment power with respect to such shares. The address for PureTech Health LLC and the individuals listed above is c/o PureTech Health LLC, 6 Tide Street, Boston, MA 02210.</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2,513,686 shares of common stock issuable upon conversion of Series A-2 preferred stock and (ii) 2,681,265 shares of common stock issuable upon conversion of Series B preferred stock held by ARCH Venture Fund XII, L.P (“ARCH XII”). ARCH Venture Partners XII, L.P. (AVP XII LP) is the general partner of ARCH XII. ARCH Venture Partners XII, LLC (AVP XII LLC) is the general partner of AVP XII LP. Keith Crandell, Kristina Burow, Steven Gillis and Robert Nelsen comprise the investment committee of AVP XII LLC (the AVP XII LLC Committee Members). Each of AVP XII LP and AVP XII LLC may be deemed to beneficially own the shares held by ARCH XII, and each of the AVP XII LLC Committee Members may be deemed to share the power to direct the disposition and vote of the shares held by ARCH XII. Each of AVP XII LP, AVP XII LLC and the AVP XII LLC Committee Members disclaims beneficial ownership except to the extent of their pecuniary interest therein, if any. The address for ARCH Ventures Partners, L.P. and the individuals listed above is c/o ARCH Ventures Partners L.P., 8755 W. Higgins Rd., Suite 1025, Chicago, IL 60631.</w:t>
      </w:r>
    </w:p>
    <w:p>
      <w:pPr>
        <w:spacing w:after="0" w:line="3"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3,351,582 shares of common stock issuable upon conversion of Series B preferred stock held by General Atlantic (SP), L.P., or General Atlantic SP. The limited partners that share beneficial ownership of the shares held by General Atlantic SP, or the GA Funds, are General Atlantic Partners 100, L.P., or GAP 100, General Atlantic Partners (Lux), SCSp, or GAP Lux, GAP Coinvestments III, LLC, or GAPCO III, GAP Coinvestments IV, LLC, or GAPCO IV, GAP Coinvestments V, LLC, or GAPCO V, and GAP Coinvestments CDA, L.P., or GAPCO CDA. The general partner of GAP 100 is General Atlantic GenPar, L.P., or GA GenPar. General Atlantic, L.P., or GA LP, which is controlled by the Partnership Committee of GASC MGP, LLC (the “Partnership Committee”), is the managing member of GAPCO III, GAPCO IV and GAPCO V, the general partner of GAPCO CDA and GA GenPar, and the sole member of General Atlantic (SPV) GP, LLC, or GA SPV. The general partner of GAP Lux is General Atlantic GenPar, (Lux) SCSp, or GA GenPar Lux, and the general partner of GA GenPar Lux is General Atlantic (Lux) S.à r.l., or GA Lux. The sole shareholder of GA Lux is General Atlantic GenPar (Bermuda), L.P., or GenPar Bermuda. GAP (Bermuda) L.P., or GAP Bermuda, which is ultimately controlled by the Partnership Committee, is the general partner of GenPar Bermuda. There are six members of the Partnership Committee. The Partnership Committee is comprised of senior Managing Directors of General Atlantic: Mr. William E. Ford (CEO and Chairman), Martin Escobari, Gabriel Caillaux, David Hodgson, Torbjorn Caesar, and Christopher</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G. Lanning. By virtue of the foregoing, such persons may be deemed to share voting power and the power to direct the disposition of the shares that each owns of record. Each of the members of the Partnership Committee disclaims ownership of the shares of common stock reported herein except to the extent he or she has a pecuniary interest therein. GA LP, GAP Bermuda, GA Lux, GA GenPar Lux, GA SPV, and the GA Funds are a “group” within the meaning of Rule 13d-5 of the Securities Exchange Act of 1934, as amended. The mailing address of each of the foregoing entities (other than GAP Lux, GA Lux, GA GenPar Lux, GAP Bermuda and GenPar Bermuda) is c/o General Atlantic Service Company, L.P., 55 East 52nd Street, 33rd Floor, New York, NY 10055. The mailing address of GenPar Bermuda and GAP Bermuda is Clarendon House, 2 Church Street, Hamilton HM 11, Bermuda. The mailing address of GAP Lux, GA GenPar Lux, and GA Lux is 412F, Route d’Esch, L-1471 Luxembourg.</w:t>
      </w:r>
    </w:p>
    <w:p>
      <w:pPr>
        <w:spacing w:after="0" w:line="3" w:lineRule="exact"/>
        <w:rPr>
          <w:sz w:val="20"/>
          <w:szCs w:val="20"/>
          <w:color w:val="auto"/>
        </w:rPr>
      </w:pPr>
    </w:p>
    <w:p>
      <w:pPr>
        <w:ind w:left="540" w:right="20" w:hanging="424"/>
        <w:spacing w:after="0" w:line="265" w:lineRule="auto"/>
        <w:tabs>
          <w:tab w:leader="none" w:pos="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1,927,159 shares of common stock issuable upon conversion of Series A-2 preferred stock and (ii) 804,379 shares of common stock issuable upon conversion of Series B preferred stock held by Sofinnova Venture Partners XI, L.P. (“SVP XI”), except that Sofinnova Management XI, L.P. (“SM XI LP”), the general partner of SVP XI, may be deemed to have sole voting power, Sofinnova Management XI, L.L.C. (“SM XI LLC”), the general partner of SM XI LP, may be deemed to have sole voting power, and James I. Healy, M.D., Ph.D. and Maha Katabi, Ph.D., the managing members of SM XI LLC, may be deemed to have shared power to vote these shares. Each of SM XI LP, SM XI LLC, Dr. Healy and Dr. Katabi disclaim beneficial ownership of the shares held by SVP XI, except to the extent of their respective pecuniary interest therein. The principal address for the entities and individuals named in this paragraph is 3000 Sand Hill Road, Building 3-Suite 150, Menlo Park, CA 94025.</w:t>
      </w:r>
    </w:p>
    <w:p>
      <w:pPr>
        <w:spacing w:after="0" w:line="1" w:lineRule="exact"/>
        <w:rPr>
          <w:rFonts w:ascii="Times New Roman" w:cs="Times New Roman" w:eastAsia="Times New Roman" w:hAnsi="Times New Roman"/>
          <w:sz w:val="17"/>
          <w:szCs w:val="17"/>
          <w:color w:val="auto"/>
        </w:rPr>
      </w:pPr>
    </w:p>
    <w:p>
      <w:pPr>
        <w:ind w:left="54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1,256,843 shares of common stock issuable upon conversion of Series A-2 preferred stock and (ii) 804,379 shares of common stock issuable upon conversion of Series B preferred stock held by Third Rock Ventures VI, L.P., or TRV VI. The sole general partner of TRV VI is Third Rock Ventures GP VI, L.P., or TRV GP VI. The sole general partner of TRV GP VI is TRV GP VI, LLC, or TRV GP VI LLC. Abbie Celniker, Ph.D.; Robert Tepper, M.D.; Reid Huber, Ph.D.; Jeffrey Tong, Ph.D.; Kevin Gillis; and David Kaufman, M.D., Ph.D. are the managing members of TRV GP VI LLC and collectively make voting and investment decisions with respect to shares held by TRV VI. The principal address for the entities and individuals named in this paragraph is 201 Brookline Avenue, Suite 1401, Boston, MA 02215.</w:t>
      </w:r>
    </w:p>
    <w:p>
      <w:pPr>
        <w:spacing w:after="0" w:line="2" w:lineRule="exact"/>
        <w:rPr>
          <w:rFonts w:ascii="Times New Roman" w:cs="Times New Roman" w:eastAsia="Times New Roman" w:hAnsi="Times New Roman"/>
          <w:sz w:val="18"/>
          <w:szCs w:val="18"/>
          <w:color w:val="auto"/>
        </w:rPr>
      </w:pPr>
    </w:p>
    <w:p>
      <w:pPr>
        <w:ind w:left="540" w:right="58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1,194,001 shares of common stock and (ii) 2,199,012 shares of common stock underlying outstanding stock options that are immediately exercisable within 60 days of April 1, 2026.</w:t>
      </w:r>
    </w:p>
    <w:p>
      <w:pPr>
        <w:ind w:left="540" w:right="48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3,351 shares of common stock issuable upon conversion of Series B preferred stock and (ii) 259,432 shares of common stock underlying outstanding stock options that are immediately exercisable within 60 days of April 1, 2026.</w:t>
      </w:r>
    </w:p>
    <w:p>
      <w:pPr>
        <w:ind w:left="540" w:right="40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20,109 shares of common stock issuable upon conversion of Series B preferred stock and (ii) 256,462 shares of common stock underlying outstanding stock options that are immediately exercisable within 60 days of April 1, 2026.</w:t>
      </w:r>
    </w:p>
    <w:p>
      <w:pPr>
        <w:ind w:left="540" w:right="4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796,000 shares of common stock, (ii) 67,031 shares of common stock issuable upon conversion of Series B preferred stock and (iii) 1,454,680 shares of common stock underlying outstanding stock options that are immediately exercisable within 60 days of April 1, 2026.</w:t>
      </w:r>
    </w:p>
    <w:p>
      <w:pPr>
        <w:ind w:left="540" w:hanging="424"/>
        <w:spacing w:after="0"/>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shares described in footnote (4) above.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29,960 shares of common stock underlying outstanding stock options that are immediately exercisable within 60 days of April 1,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36,380 shares of common stock underlying outstanding stock options that are immediately exercisable within 60 days of April 1, 2026.</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13,406 shares of common stock issuable upon conversion of Series B preferred stock held by the Denice M. Torres Revocable Trust and (ii) 53,501 shares of common stock underlying outstanding stock options that are immediately exercisable within 60 days of April 1, 2026. Ms. Torres exercises voting and dispositive power over the shares held by the Denice M. Torres Revocable Trust.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44,940 shares of common stock underlying outstanding stock options that are immediately exercisable within 60 days of April 1,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2,292,481 shares of common stock, (ii) 1,927,159 shares of common stock issuable upon conversion of Series A-2 preferred stock, (iii) 948,493 shares of common stock issuable upon conversion of Series B preferred stock and (iii) 4,656,620 shares of common stock underlying outstanding stock options that are immediately exercisable within 60 days of April 1, 2026 held by all of our directors and executive officers as a group.</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55"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became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filing of our amended and restated certificate of incorporation and the completion of this offering, our authorized capital stock will consist of 700,000,000 shares of common stock, par value $0.0001 per share, including (i) 500,000,000 shares of voting common stock and (ii) 200,000,000 shares of non-voting common stock, and 10,000,000 shares of preferred stock, par value $0.0001 per share, all of which shares of preferred stock will be undesignated.</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2,595,342 shares of common stock outstanding (which includes 154,778 shares of unvested restricted common stock), held of record by 5 stockholders, 40,000,000 shares of Series A-1 preferred stock, 26,342,102 shares of Series A-2 preferred stock and 47,578,934 shares of Series B preferred stock outstanding and held of record by 34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Common Stock and Non-Voting Common Stock</w:t>
      </w:r>
    </w:p>
    <w:p>
      <w:pPr>
        <w:spacing w:after="0" w:line="121"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will have two series of common stock authorized immediately following this offering: voting common stock and non-voting common stock. We are offering voting common stock in this offering and unless otherwise noted, all references in this prospectus to our “common stock” refer to our voting common stock. The non-voting common stock will not be listed for trading on any securities exchange. Immediately after consummation of this offering, no shares of non-voting common stock will be outstanding, and we have no present intention to issue any shares of non-voting common stock.</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voting common stock are entitled to one vote per share of common stock, and holders of our non-voting common stock are not entitled to any votes per share of non-voting common stock, including for the election of directors, and (ii) holders of our voting common stock have no conversion rights, while holders of our non-voting common stock shall have the right to convert each share of our non-voting common stock into one share of voting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amended and restated certificate of incorporation. However, this ownership limitation may be increased or decreased to any other percentage (not to exceed 19.99%) designated by such holder of non-voting common stock upon 61 days’ notice to us. Unless otherwise expressly stated, all references to “common stock” in this prospectus refer to our voting common stock.</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our voting common stock and non-voting common stock are entitled to receive ratably any dividends declared by our board of directors out of funds legally available for that purpose, subject to any preferential dividend rights of any outstanding preferred stock and the terms of our certificate of incorporation. Our voting common stock and non-voting common stock have no preemptive rights or other subscription rights or redemption or sinking fund provisions.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and non-voting common stock will be entitled to share ratably in all assets remaining after payment of all debts and other liabilities and any liquidation preference of any outstanding preferred stock subject to the terms of our certificate of incorporation. The shares to be issued by us in this offering will be, when issued and paid for, validly issued, fully paid and non-assessable.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2025, 8,798,389 shares of common stock were issuable upon the exercise of outstanding stock options under the 2024 Plan, at a weighted-average exercise price of $4.68 per share; no shares of common stock were issuable upon exercise of outstanding stock options outside of our 2024 Plan; and 6,020,000 shares of our common stock that became available for future issuance under our 2026 Plan, including shares reserved for the IPO Grants, which became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2024 Plan that expire or are repurchased, forfeited, cancelled, or withheld. For additional information regarding terms of our equity incentive plans, see the section titled “Executive Compensation—Employee Benefit and Equity Compensation Plans.”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Preferred Stock Conversion in connection with this offering, will initially be entitled to certain rights with respect to registration of such shares under the Securities Act. These shares are referred to as registrable securities. The holders of these registrable securities will possess these registration rights pursuant to the terms of our second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p>
    <w:p>
      <w:pPr>
        <w:spacing w:after="0" w:line="17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holders of 36,272,475 shares of our common stock, including those issuable upon the Preferred Stock Conversion, will be entitled to certain demand registration rights pursuant to that certain Investors’ Rights Agreement, by and between us and the investors party thereto, dated as of October 18, 2024, or the investors’ rights agreement. At any time beginning 180 days after the completion of this offering, the holders of at least 9% of these registrable securities may request that we register all or a portion of their shares. We are not required to effect more than two registration statements which are declared or ordered effective pursuant to these demand registration rights. Such request for registration must cover shares with an anticipated aggregate offering price of at least $15 million, net of any underwriting discounts, selling commissions, and other related expenses. With certain exceptions, we are not required to effect the filing of a registration statement during the period starting with the date of the filing of, and ending on a date 60 days following the effective date of the registration statement for this offering.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holders of 36,272,475 shares of our common stock, including those issuable upon the Preferred Stock Conversion, were entitled to, and the necessary percentage of holders waived, their rights to notice of this offering and to include their shares of registrable securities in this offering pursuant to the investors’ rights agreement. After this offering, in the event that we propose to register any of our securities under the Securities Act, either for our own account or for the account of other security holders, the holders of these registrable securities will be entitled to certain piggyback registration rights allowing such holders to include their shares in such registration, subject to certain marketing and other limitations.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completion of this offering, holders of 36,272,475 shares of our common stock, including those issuable upon the Preferred Stock Conversion, will be entitled to certain Form S-3 registration rights pursuant to the investors’ rights agreement. Holders of at least 9% of these registrable securities can make a request that we register their shares on Form S-3 if we are qualified to file a registration statement on Form S-3 (which qualification may occur no sooner than twelve calendar months after the date of this offering) and if the reasonably anticipated aggregate net proceeds of the shares offered would equal or exceed $5 million, net of any underwriting discounts, selling commissions and other related expenses. We will not be required to effect more than two registrations on Form S-3 within any twelve-month period. The right to have such shares registered on Form S-3 is further subject to other specified conditions and limitations.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demand registration rights and Form S-3 registration rights granted under our Investor Rights Agreement will terminate upon the earliest of</w:t>
      </w:r>
    </w:p>
    <w:p>
      <w:pPr>
        <w:spacing w:after="0" w:line="27" w:lineRule="exact"/>
        <w:rPr>
          <w:sz w:val="20"/>
          <w:szCs w:val="20"/>
          <w:color w:val="auto"/>
        </w:rPr>
      </w:pPr>
    </w:p>
    <w:p>
      <w:pPr>
        <w:ind w:left="340" w:hanging="224"/>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our amended and restated certificate of incorporation (as currently in effect),</w:t>
      </w:r>
    </w:p>
    <w:p>
      <w:pPr>
        <w:spacing w:after="0" w:line="9" w:lineRule="exact"/>
        <w:rPr>
          <w:rFonts w:ascii="Times New Roman" w:cs="Times New Roman" w:eastAsia="Times New Roman" w:hAnsi="Times New Roman"/>
          <w:sz w:val="18"/>
          <w:szCs w:val="18"/>
          <w:color w:val="auto"/>
        </w:rPr>
      </w:pPr>
    </w:p>
    <w:p>
      <w:pPr>
        <w:ind w:left="120" w:right="120" w:hanging="4"/>
        <w:spacing w:after="0" w:line="253" w:lineRule="auto"/>
        <w:tabs>
          <w:tab w:leader="none" w:pos="38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after the completion of this offering when each holder (A) together with its affiliates (as determined under Rule 144 of the Securities Act) holds less than 1% of our outstanding capital stock and (B) may immediately sell all registrable securities held by such holder pursuant to Rule 144 of the Securities Act without any volume limitations, or another similar exemption, during any three month period without registration, and (iii) the third anniversary of the completion of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bylaws will establish advance notice procedures with regard to stockholder proposals relating to the nomination of candidates for election as directors or new business to be brought before meetings of our stockholders. These procedures will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will specify the requirements as to form and content of all stockholders’ notices. These requirements may preclude stockholders from bringing matters before the stockholders at an annual or special meeting.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60"/>
          </w:cols>
          <w:pgMar w:left="320" w:top="455" w:right="51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7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Additionally, our amended and restated bylaws will provide that any person or entity holding, owning or otherwise acquiring any interest in any of our securities shall be deemed to have notice of and consented to these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the section titled “Management—Limitations on Liability and Indemnification Agreements.”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“SPTX.” The non-voting common stock will not be listed for trading on any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Computershare Trust Company, N.A. The transfer agent’s address is 150 Royall Street, Suite 101, Canton, MA 02021.</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980"/>
          </w:cols>
          <w:pgMar w:left="320" w:top="455" w:right="5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our common stock has been approved for listing on the Nasdaq Global Select Market, we cannot assure you that there will be an active public market for our common stock.</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based on our shares outstanding as of December 31, 2025, a total of 53,027,817 shares of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15(d) of the Exchange Act for at least 90 days, an eligible stockholder is entitled to sell such shares without complying with the manner of sale,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volume limitation, or notice provisions of Rule 144, subject to compliance with the public information requirements of Rule 144. To be an eligible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stockholder under Rule 144, such stockholder must not be deemed to have been one of our affiliates for purposes of the Securities Act at any time during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90 days preceding a sale and must have beneficially owned the shares proposed to be sold for at least six months, including the holding period of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owner other than our affiliates. If such a person has beneficially owned the shares proposed to be sold for at least one year, including the holding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 of any prior owner other than our affiliates, then such person is entitled to sell such shares without complying with any of the requirements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 144, subject to the expiration of the lock-up agreements described below.</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81" w:lineRule="exact"/>
        <w:rPr>
          <w:sz w:val="20"/>
          <w:szCs w:val="20"/>
          <w:color w:val="auto"/>
        </w:rPr>
      </w:pPr>
    </w:p>
    <w:p>
      <w:pPr>
        <w:ind w:left="1080" w:right="42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approximately 530,278 shares immediately after this offering, assuming no exercise of the underwriters’ option to purchase additional shares of common stock from us; or</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Select Market during the four calendar weeks preceding the filing of a notice on Form 144 with respect to such sale.</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w:t>
      </w:r>
    </w:p>
    <w:p>
      <w:pPr>
        <w:spacing w:after="0" w:line="3" w:lineRule="exact"/>
        <w:rPr>
          <w:sz w:val="20"/>
          <w:szCs w:val="20"/>
          <w:color w:val="auto"/>
        </w:rPr>
      </w:pPr>
    </w:p>
    <w:p>
      <w:pPr>
        <w:ind w:left="120" w:right="180" w:hanging="4"/>
        <w:spacing w:after="0" w:line="260" w:lineRule="auto"/>
        <w:tabs>
          <w:tab w:leader="none" w:pos="4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Rule 701 shares, however, are required by that rule to wait until 90 days after the date of this prospectus before selling those shares under Rule 701, subject to the expiration of the lock-up agreements described below.</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common stock that are issuable under the 2024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selling any of our common stock or any securities convertible into or exercisable or exchangeable for common stock for a period of not less than 180 days from the date of this prospectus without the prior written consent of Goldman Sachs &amp; Co. LLC and J.P. Morgan Securities LLC and the Company, subject to certain exceptions. For more information, see the section titled “Underwriting.”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For more information, see the section titled “Description of Capital Stock— Registration Rights.”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 NON-U.S. HOLDERS</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to non-U.S. holders (as defined below) of the purchase, ownership, and disposition of our common stock issued pursuant to this offering. This discussion is based on the Internal Revenue Code of 1986, as amended, or the Code, Treasury Regulations promulgated thereunder, published rulings, and administrative pronouncements of the U.S. Internal Revenue Service, or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97" w:lineRule="exact"/>
        <w:rPr>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pass-through or disregarded entities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mutual funds, financial institutions, investment funds, insurance companies, brokers, dealers, or traders in stock, securities, commodities or currencies;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have elected to mark securities to market;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hedging or conversion transaction or straddle, or synthetic security or a constructive sale, or other risk reduction strategy or integrated investment.</w:t>
      </w:r>
    </w:p>
    <w:p>
      <w:pPr>
        <w:spacing w:after="0" w:line="162"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owning and disposing of our common stock.</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organization taxable as a corporation for U.S. federal income taxes that is not created or organized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trust or estate, the income of which is not subject to U.S. federal income tax on a net income basis.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on Our Common Stock</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excess will be treated as gain realized on the sale or other disposition of our common stock and will be treated as described under “—Gain on sale or other taxable disposition of our common stock” below.</w:t>
      </w:r>
    </w:p>
    <w:p>
      <w:pPr>
        <w:spacing w:after="0" w:line="18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to us or our withholding agent with a timely and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However, any such effectively connected dividends paid on our common stock generally will be subject to U.S. federal income tax on a net income basis at the regular U.S. federal income tax rates in the same manner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00"/>
          </w:cols>
          <w:pgMar w:left="320" w:top="455" w:right="4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82" w:lineRule="auto"/>
        <w:rPr>
          <w:sz w:val="20"/>
          <w:szCs w:val="20"/>
          <w:color w:val="auto"/>
        </w:rPr>
      </w:pPr>
      <w:r>
        <w:rPr>
          <w:rFonts w:ascii="Times New Roman" w:cs="Times New Roman" w:eastAsia="Times New Roman" w:hAnsi="Times New Roman"/>
          <w:sz w:val="18"/>
          <w:szCs w:val="18"/>
          <w:color w:val="auto"/>
        </w:rPr>
        <w:t>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(as defined below), a non-U.S. holder generally will not be subject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on any gain realized on the sale or other taxable disposition of our common stock, unless:</w:t>
      </w:r>
    </w:p>
    <w:p>
      <w:pPr>
        <w:spacing w:after="0" w:line="112" w:lineRule="exact"/>
        <w:rPr>
          <w:sz w:val="20"/>
          <w:szCs w:val="20"/>
          <w:color w:val="auto"/>
        </w:rPr>
      </w:pPr>
    </w:p>
    <w:p>
      <w:pPr>
        <w:ind w:left="1080" w:right="300" w:hanging="424"/>
        <w:spacing w:after="0" w:line="266"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a period or periods aggregating 183 days or more during the taxable year of the disposition, and certain other requirements are met;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Gain described in the second bullet point above will be subject to U.S. federal income tax at a flat 30% rate (or such lower rate specified by an applicable income tax treaty), but may be offset by certain U.S.- source capital losses of the non-U.S. holder (even though the individual is not considered a resident of the United States), provided that the non-U.S. holder has timely filed U.S. federal income tax returns with respect to such losses.</w:t>
      </w:r>
    </w:p>
    <w:p>
      <w:pPr>
        <w:spacing w:after="0" w:line="158"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Treasury Regulations. There can be no assurance that our common stock qualifies as regularly traded on an established securities market for purposes of the rules described above. Prospective investors are encouraged to consult their own tax advisors regarding the possible consequences to them if we have been, are or were to become a USRPHC.</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Foreign Entities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from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tax advisors regarding the possible implications of FATCA on their investment in our common stock.</w:t>
      </w:r>
    </w:p>
    <w:p>
      <w:pPr>
        <w:spacing w:after="0" w:line="162"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J.P. Morgan Securities LLC, and Leerink Partners LLC are the representatives of the underwriters.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900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3"/>
        </w:trPr>
        <w:tc>
          <w:tcPr>
            <w:tcW w:w="9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3,894,000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3,894,000</w:t>
            </w:r>
          </w:p>
        </w:tc>
        <w:tc>
          <w:tcPr>
            <w:tcW w:w="4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2,548,800</w:t>
            </w:r>
          </w:p>
        </w:tc>
        <w:tc>
          <w:tcPr>
            <w:tcW w:w="40" w:type="dxa"/>
            <w:vAlign w:val="bottom"/>
            <w:shd w:val="clear" w:color="auto" w:fill="CCEEFF"/>
          </w:tcPr>
          <w:p>
            <w:pPr>
              <w:spacing w:after="0"/>
              <w:rPr>
                <w:sz w:val="18"/>
                <w:szCs w:val="18"/>
                <w:color w:val="auto"/>
              </w:rPr>
            </w:pP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1,911,600</w:t>
            </w:r>
          </w:p>
        </w:tc>
        <w:tc>
          <w:tcPr>
            <w:tcW w:w="40" w:type="dxa"/>
            <w:vAlign w:val="bottom"/>
          </w:tcPr>
          <w:p>
            <w:pPr>
              <w:spacing w:after="0"/>
              <w:rPr>
                <w:sz w:val="18"/>
                <w:szCs w:val="18"/>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1,911,600</w:t>
            </w:r>
          </w:p>
        </w:tc>
        <w:tc>
          <w:tcPr>
            <w:tcW w:w="40" w:type="dxa"/>
            <w:vAlign w:val="bottom"/>
            <w:shd w:val="clear" w:color="auto" w:fill="CCEEFF"/>
          </w:tcPr>
          <w:p>
            <w:pPr>
              <w:spacing w:after="0"/>
              <w:rPr>
                <w:sz w:val="18"/>
                <w:szCs w:val="18"/>
                <w:color w:val="auto"/>
              </w:rPr>
            </w:pPr>
          </w:p>
        </w:tc>
      </w:tr>
      <w:tr>
        <w:trPr>
          <w:trHeight w:val="223"/>
        </w:trPr>
        <w:tc>
          <w:tcPr>
            <w:tcW w:w="9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2,124,000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received indications of interest from entities affiliated with General Atlantic to purchase up to $50 million in shares of our common stock in this offering at the initial public offering price per share, on the same terms as the other purchasers in this offering. However, because indications of interest are not binding agreements or commitments to purchase, nor a commitment of the Company or the underwriters to allocate or sell, more, fewer or no shares may be sold to General Atlantic in this offering. The underwriters will receive the same underwriting discount and commissions on these shares as they will on any other shares sold to the public in this offering.</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2,124,000 additional shares of our common stock from us.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17,841,600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20,517,840</w:t>
            </w:r>
          </w:p>
        </w:tc>
      </w:tr>
    </w:tbl>
    <w:p>
      <w:pPr>
        <w:spacing w:after="0" w:line="17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page of this prospectus. Any shares sold by the underwriters to securities dealers may be sold at a discount of up to $0.76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and our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or collectively, the Lock-Up Securities, during the period from the date of this prospectus continuing through the date 180 days after the date of this prospectus, except with the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prior written consent of Goldman Sachs &amp; Co. LLC and J.P. Morgan Securities LLC and the Company. This agreement does not apply to any existing employee benefit plans. See the section titled “Shares Available for Future Sale” for a discussion of certain transfer restrictions.</w:t>
      </w:r>
    </w:p>
    <w:p>
      <w:pPr>
        <w:spacing w:after="0" w:line="16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restrictions described in the immediately preceding paragraph do not apply to our officers, directors and holders of substantially all of our capital stock and securities convertible into or exchangeable for our common stock with respect to: 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such lock-up party or, if such lock-up party is a trust, to a trust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 subsidiary or an affiliate (as defined in Rule 405 under the Securities Act) of such lock-up party, or to any investment fund or other entity which fund or entity is controlled or managed by the lock-up party or affiliates of such lock-up party (including, for the avoidance of doubt, where the undersigned is a partnership, to its general partner or a successor partnership or fund, or any other funds managed by such partnership), or (B) as part of a disposition, transfer or distribution by the lock-up party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us from one of our employees upon death, disability or termination of employment, in each case, of such employee, (ix) if the lock-up party is not one of our officers or directors, in connection with a sale of such lock-up party’s shares of common stock acquired (A) from the underwriters in this offering or (B) in open market transactions after the closing date of this offering or (x) to us in connection with the vesting, settlement or exercise of restricted stock units, options, warrants or other rights to purchase shares of common stock (including, in each case, by way of “net” or “cashless” exercise), including any transfer to us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agreement; provided that (A) in the case of clauses (i), (ii), (iii), (iv), (v) and</w:t>
      </w:r>
    </w:p>
    <w:p>
      <w:pPr>
        <w:spacing w:after="0" w:line="202" w:lineRule="exact"/>
        <w:rPr>
          <w:sz w:val="20"/>
          <w:szCs w:val="20"/>
          <w:color w:val="auto"/>
        </w:rPr>
      </w:pPr>
    </w:p>
    <w:p>
      <w:pPr>
        <w:ind w:left="120" w:right="80" w:hanging="4"/>
        <w:spacing w:after="0" w:line="251" w:lineRule="auto"/>
        <w:tabs>
          <w:tab w:leader="none" w:pos="42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such transfer or distribution shall not involve a disposition for value, (B) in the case of clauses (i), (ii), (iii), (iv), (v), (vi) and (vii) above, it shall be a condition to the transfer or distribution that the donee, devisee, transferee or distributee, as the case may be, shall sign and deliver a lock up agreement containing the same restrictions set forth above, (C) in the case of clauses (ii), (iii), (iv), (v) and (vi) above, no filing by any party (including, without limitation, any donor, donee, devisee, transferor, transferee, distributor or distributee) under the Exchange Act or other public filing, report or announcement reporting a reduction in beneficial ownership of Lock-Up Securities shall be required or shall be voluntarily made in connection with such transfer or distribution, and (D) in the case of clauses (i),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(A) the circumstances of such transfer or distribution and (B) in the case of a transfer or distribution pursuant to clauses (i) or (vii) above, that the donee, devisee, transferee or distributee has agreed to be bound by a lock-up agreement containing the same restrictions set forth above.</w:t>
      </w:r>
    </w:p>
    <w:p>
      <w:pPr>
        <w:spacing w:after="0" w:line="19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sold or otherwise disposed of until after the expiration of the lock-up period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thereto that none of the securities subject to such plan may be transferred, sold or otherwise disposed of pursuant to such plan until after the expiration of the lock-up period, (b) (i) transfer its Lock-Up Securities pursuant to a bona fide third-party tender offer, merger, consolidation or other similar transaction that is approved by our board of directors and made to all holders of our capital stock involving a change of control of us, in one transaction or a series of related transactions, to a person or group of affiliated persons, of shares of capital stock if, after such transfer, such person or group of affiliated persons would hold at least a majority of our outstanding voting securities (or the voting securities of the surviving entity) and</w:t>
      </w:r>
    </w:p>
    <w:p>
      <w:pPr>
        <w:spacing w:after="0" w:line="1" w:lineRule="exact"/>
        <w:rPr>
          <w:sz w:val="20"/>
          <w:szCs w:val="20"/>
          <w:color w:val="auto"/>
        </w:rPr>
      </w:pPr>
    </w:p>
    <w:p>
      <w:pPr>
        <w:ind w:left="380" w:hanging="264"/>
        <w:spacing w:after="0"/>
        <w:tabs>
          <w:tab w:leader="none" w:pos="3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lock-up, voting or similar agreement pursuant to which the undersigned may agree to transfer, sell, tender or otherwise dispose of</w:t>
      </w:r>
    </w:p>
    <w:p>
      <w:pPr>
        <w:spacing w:after="0" w:line="9" w:lineRule="exact"/>
        <w:rPr>
          <w:rFonts w:ascii="Times New Roman" w:cs="Times New Roman" w:eastAsia="Times New Roman" w:hAnsi="Times New Roman"/>
          <w:sz w:val="18"/>
          <w:szCs w:val="18"/>
          <w:color w:val="auto"/>
        </w:rPr>
      </w:pPr>
    </w:p>
    <w:p>
      <w:pPr>
        <w:ind w:left="12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other such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(c) transfer the lock-up party’s Lock-Up Securities to us pursuant to an agreement under which we have the option to repurchase shares or a right of first refusal with respect to transfer of such shares, provided that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the circumstances of such transfer or distribution, or (d) convert outstanding shares of our convertible preferred stock into shares of common stock, provided that any such shares received upon such conversion shall remain subject to the provisions of the lock-up agreement.</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restrictions on transfers or other dispositions by us described above do not apply to us with respect to (i) the sale of shares of common stock pursuant to this offering, (ii) the issuance of shares of common stock or any securities (or any securities (including without limitation options, restricted stock or restricted stock units) convertible into, or exercisable for, shares of common stock pursuant to any employee stock option plan, incentive plan, stock plan, dividend reinvestment plan or otherwise in equity compensation arrangements in place as of the date of the underwriting agreement and described in this prospectus, (iii) the grant of awards pursuant to employee equity-based compensation plans, incentive plans, stock plans, or other arrangements in place as of the date of the underwriting agreement and described in this prospectus, (iv) the filing of a registration statement on Form S-8 in connection with the registration of shares of common stock issuable under any employee equity-based compensation plan, incentive plan, stock plan, dividend reinvestment plan adopted and approved by the our board of directors prior to the date of the underwriting agreement and described in this prospectus and (v) the issuance of up to 5% of the outstanding shares of our common stock in connection with the acquisition of the assets of, or a majority or controlling portion of the equity of, or a joint venture with another entity in connection with its acquisition us of such entity; provided that each recipient of any shares of common stock issued or sold pursuant to (ii)-(iii) and (v) above enter into a lock-up agreement with the underwriters with the same restrictions set forth above.</w:t>
      </w:r>
    </w:p>
    <w:p>
      <w:pPr>
        <w:spacing w:after="0" w:line="19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earnings prospects of us, an assessment of our management and the consideration of the above factors in relation to market valuation of companies in related businesses.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“SPTX.”</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stabilizing transactions and purchases to cover positions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the underwriting discounts and commissions, will be approximately $3.1 million. We have agreed to reimburse the underwriters for certain of their expenses in an amount up to $40,000.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For example, affiliates of Goldman Sachs &amp; Co. LLC, including certain investment funds managed by Goldman Sachs &amp; Co. LLC, own an aggregate of 2,431,579 shares of our Series B preferred stock, which will automatically convert into an aggregate of 774,212 shares of our common stock in connection with this offering. The underwriters and their respective affiliates may also communicate independent investment recommendations, market color, or trading ideas and/or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common stock offered by this prospectus for sale at the initial public offering price for sale at the initial public offering price to our directors, officers, certain employees and certain other persons associated with us. The sales will be made by Goldman Sachs &amp; Co. LLC through a directed share program. We do not know if these persons will choose to purchase all or any portion of these reserved shares, but any purchases they do make will reduce the number of shares of common stock available to the general public. Any reserved shares not so purchased will be offered by the underwriters to the general public on the same terms as the other shares of common stock. Except for reserved shares purchased by our executive officers and directors, these reserved shares will not be subject to the lock-up restrictions described elsewhere in this prospectus. We have agreed to indemnify Goldman Sachs &amp; Co. LLC against certain liabilities and expenses, including liabilities under the Securities Act of 1933, as amended, or the Securities Act, in connection with the sales of the directed shares.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w:t>
      </w:r>
    </w:p>
    <w:p>
      <w:pPr>
        <w:spacing w:after="0" w:line="119"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relation to each Member State of the EEA, or, each, a Relevant Member State, an offer to the public of any shares may not be made in that Relevant Member State, except that an offer to the public in that Relevant Member State of any shares may be made at any time under the following exemptions under the EU Prospectus Regulation:</w:t>
      </w:r>
    </w:p>
    <w:p>
      <w:pPr>
        <w:spacing w:after="0" w:line="81" w:lineRule="exact"/>
        <w:rPr>
          <w:sz w:val="20"/>
          <w:szCs w:val="20"/>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any of the underwriters to publish a prospectus pursuant to Article 3 of the Prospectus Regulation or a supplemental prospectus pursuant to Article 23 of the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EU Prospectus Regulation.</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Notwithstanding the above, a person who is not a “qualified investor” and who has notified the underwriters of such fact in writing may, with the prior consent of the underwriters, be permitted to acquire shares in the offer.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80"/>
          </w:cols>
          <w:pgMar w:left="320" w:top="455"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An offer to the public of any shares may not be made in the UK, except that an offer to the public in the UK of any shares may be made at any time under the following exemptions under the UK Prospectus Regulation:</w:t>
      </w:r>
    </w:p>
    <w:p>
      <w:pPr>
        <w:spacing w:after="0" w:line="67"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FSMA,</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Company or any Bookrunner to publish a prospectus pursuant to section 85 of the FSMA or a supplemental prospectus pursuant to Article 23 of the UK Prospectus Regulation and each person who initially acquires any shares or to whom any offer is made will be deemed to have represented, warranted and agreed to and with each of the underwriters and the Company that it is a qualified investor within the meaning of Article 2 of the UK Prospectus Regulation.</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UK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underwriters, be permitted to acquire shares in the offer.</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only being distributed to and is only directed at: (A) persons who are outside the UK; or (B) qualified investors who are also</w:t>
      </w:r>
    </w:p>
    <w:p>
      <w:pPr>
        <w:spacing w:after="0" w:line="27" w:lineRule="exact"/>
        <w:rPr>
          <w:sz w:val="20"/>
          <w:szCs w:val="20"/>
          <w:color w:val="auto"/>
        </w:rPr>
      </w:pPr>
    </w:p>
    <w:p>
      <w:pPr>
        <w:ind w:left="120" w:right="60" w:hanging="4"/>
        <w:spacing w:after="0" w:line="265" w:lineRule="auto"/>
        <w:tabs>
          <w:tab w:leader="none" w:pos="335"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professionals falling within Article 19(5) of the FSMA (Financial Promotion) Order 2005, or the Order, or (ii) high net worth companies, and other persons to whom it may lawfully be communicated, falling within Article 49(2)(a) to (d) of the Order, or, all such persons falling within (1)-</w:t>
      </w:r>
    </w:p>
    <w:p>
      <w:pPr>
        <w:ind w:left="120" w:right="3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together being referred to as, relevant persons. The shares are only available to, and any invitation, offer, or agreement to subscribe, purchase, or otherwise acquire the shares will be engaged in only with, relevant persons. Any person who is not a relevant person should not act or rely on this Prospectus or any of its contents.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shares may be sold in Canada only to purchasers purchasing, or deemed to be purchasing, as principal that are accredited investors, as defined in National Instrument 45-106 Prospectus Exemptions or subsection 73.3(1)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80"/>
          </w:cols>
          <w:pgMar w:left="320" w:top="455"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in that corporation’s securities pursuant to Section 275(1A) of the SFA,</w:t>
      </w:r>
    </w:p>
    <w:p>
      <w:pPr>
        <w:spacing w:after="0" w:line="27" w:lineRule="exact"/>
        <w:rPr>
          <w:sz w:val="20"/>
          <w:szCs w:val="20"/>
          <w:color w:val="auto"/>
        </w:rPr>
      </w:pPr>
    </w:p>
    <w:p>
      <w:pPr>
        <w:ind w:left="120" w:right="40" w:hanging="4"/>
        <w:spacing w:after="0" w:line="255" w:lineRule="auto"/>
        <w:tabs>
          <w:tab w:leader="none" w:pos="3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6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under Section 275 of the SFA except: (1) to an institutional investor under Section 274 of the SFA or to a relevant person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that is made on terms that such rights or interest are acquired at a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not less than $200,000 (or its equivalent in a foreign currency) for each transaction (whether such amount is to be paid for in cash or by exchange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or 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or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common stock offered should conduct their own due diligence on the shares of common stock. If you do not understand the contents of this prospectus you should consult an authorized financial advisor.</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16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Israel</w:t>
      </w:r>
    </w:p>
    <w:p>
      <w:pPr>
        <w:spacing w:after="0" w:line="11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Brazil</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our common stock being offered in this prospectus will be passed upon for us by Goodwin Procter LLP. Certain legal matters in connection with this offering will be passed upon for the underwriters by Latham &amp; Watkins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as of December 31, 2025 and 2024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(File Number 333-294976)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t>
      </w:r>
      <w:r>
        <w:rPr>
          <w:rFonts w:ascii="Times New Roman" w:cs="Times New Roman" w:eastAsia="Times New Roman" w:hAnsi="Times New Roman"/>
          <w:sz w:val="18"/>
          <w:szCs w:val="18"/>
          <w:i w:val="1"/>
          <w:iCs w:val="1"/>
          <w:color w:val="auto"/>
        </w:rPr>
        <w:t>www.sec.gov/edgar.</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currently do not file periodic reports with the SEC. 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www.seaporttx.com</w:t>
      </w:r>
      <w:r>
        <w:rPr>
          <w:rFonts w:ascii="Times New Roman" w:cs="Times New Roman" w:eastAsia="Times New Roman" w:hAnsi="Times New Roman"/>
          <w:sz w:val="18"/>
          <w:szCs w:val="18"/>
          <w:color w:val="auto"/>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20"/>
          </w:cols>
          <w:pgMar w:left="320" w:top="455" w:right="45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6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80" w:type="dxa"/>
            <w:vAlign w:val="bottom"/>
            <w:gridSpan w:val="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Seaport Therapeutics, Inc.</w:t>
            </w:r>
          </w:p>
        </w:tc>
        <w:tc>
          <w:tcPr>
            <w:tcW w:w="86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6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860" w:type="dxa"/>
            <w:vAlign w:val="bottom"/>
          </w:tcPr>
          <w:p>
            <w:pPr>
              <w:spacing w:after="0"/>
              <w:rPr>
                <w:sz w:val="20"/>
                <w:szCs w:val="20"/>
                <w:color w:val="auto"/>
              </w:rPr>
            </w:pPr>
          </w:p>
        </w:tc>
      </w:tr>
      <w:tr>
        <w:trPr>
          <w:trHeight w:val="486"/>
        </w:trPr>
        <w:tc>
          <w:tcPr>
            <w:tcW w:w="120" w:type="dxa"/>
            <w:vAlign w:val="bottom"/>
          </w:tcPr>
          <w:p>
            <w:pPr>
              <w:spacing w:after="0"/>
              <w:rPr>
                <w:sz w:val="24"/>
                <w:szCs w:val="24"/>
                <w:color w:val="auto"/>
              </w:rPr>
            </w:pPr>
          </w:p>
        </w:tc>
        <w:tc>
          <w:tcPr>
            <w:tcW w:w="4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880" w:type="dxa"/>
            <w:vAlign w:val="bottom"/>
            <w:gridSpan w:val="5"/>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63"/>
        </w:trPr>
        <w:tc>
          <w:tcPr>
            <w:tcW w:w="120" w:type="dxa"/>
            <w:vAlign w:val="bottom"/>
          </w:tcPr>
          <w:p>
            <w:pPr>
              <w:spacing w:after="0"/>
              <w:rPr>
                <w:sz w:val="22"/>
                <w:szCs w:val="22"/>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2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and 2024</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2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Deficit for the years ended December 31, 2025 and 2024</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63"/>
        </w:trPr>
        <w:tc>
          <w:tcPr>
            <w:tcW w:w="120" w:type="dxa"/>
            <w:vAlign w:val="bottom"/>
          </w:tcPr>
          <w:p>
            <w:pPr>
              <w:spacing w:after="0"/>
              <w:rPr>
                <w:sz w:val="22"/>
                <w:szCs w:val="22"/>
                <w:color w:val="auto"/>
              </w:rPr>
            </w:pPr>
          </w:p>
        </w:tc>
        <w:tc>
          <w:tcPr>
            <w:tcW w:w="65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3000" w:type="dxa"/>
            <w:vAlign w:val="bottom"/>
            <w:tcBorders>
              <w:top w:val="single" w:sz="8" w:color="0000EE"/>
            </w:tcBorders>
            <w:gridSpan w:val="2"/>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63"/>
        </w:trPr>
        <w:tc>
          <w:tcPr>
            <w:tcW w:w="120" w:type="dxa"/>
            <w:vAlign w:val="bottom"/>
          </w:tcPr>
          <w:p>
            <w:pPr>
              <w:spacing w:after="0"/>
              <w:rPr>
                <w:sz w:val="22"/>
                <w:szCs w:val="22"/>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60" w:type="dxa"/>
            <w:vAlign w:val="bottom"/>
            <w:gridSpan w:val="4"/>
          </w:tcPr>
          <w:p>
            <w:pPr>
              <w:jc w:val="center"/>
              <w:ind w:right="3740"/>
              <w:spacing w:after="0"/>
              <w:rPr>
                <w:sz w:val="20"/>
                <w:szCs w:val="20"/>
                <w:color w:val="auto"/>
              </w:rPr>
            </w:pPr>
            <w:r>
              <w:rPr>
                <w:rFonts w:ascii="Times New Roman" w:cs="Times New Roman" w:eastAsia="Times New Roman" w:hAnsi="Times New Roman"/>
                <w:sz w:val="18"/>
                <w:szCs w:val="18"/>
                <w:color w:val="auto"/>
                <w:w w:val="95"/>
              </w:rPr>
              <w:t>F-1</w:t>
            </w:r>
          </w:p>
        </w:tc>
        <w:tc>
          <w:tcPr>
            <w:tcW w:w="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 Seaport Therapeutics,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Seaport Therapeutics, Inc. and its subsidiaries (the “Company”) as of December 31, 2025 and 2024, and the related consolidated statements of operations and comprehensive loss, of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76" w:lineRule="exact"/>
        <w:rPr>
          <w:sz w:val="20"/>
          <w:szCs w:val="20"/>
          <w:color w:val="auto"/>
        </w:rPr>
      </w:pPr>
    </w:p>
    <w:p>
      <w:pPr>
        <w:jc w:val="both"/>
        <w:ind w:left="120" w:right="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February 27, 2026, except for the effects of the reverse stock split discussed in Note 18 to the consolidated financial statements, as to which the date is April 27, 2026</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20"/>
                <w:szCs w:val="20"/>
                <w:color w:val="auto"/>
              </w:rPr>
              <w:t>46,042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w w:val="95"/>
              </w:rPr>
              <w:t>309,099</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169,941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7,247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223,230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assets—operating leases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17,670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315,777</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9,131</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5,208</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A-1 convertible preferred stock, par value $0.0001; 40,000,000 shares authorized, issued, and outstanding;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$4,000 as of December 31, 2025 and 2024</w:t>
            </w:r>
          </w:p>
        </w:tc>
        <w:tc>
          <w:tcPr>
            <w:tcW w:w="12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9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A-2 convertible preferred stock, par value $0.0001; 26,342,102 shares authorized, issued and outstanding;</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preference of $100,100 as of December 31, 2025 and 2024</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99,757</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99,757</w:t>
            </w:r>
          </w:p>
        </w:tc>
        <w:tc>
          <w:tcPr>
            <w:tcW w:w="0" w:type="dxa"/>
            <w:vAlign w:val="bottom"/>
          </w:tcPr>
          <w:p>
            <w:pPr>
              <w:spacing w:after="0"/>
              <w:rPr>
                <w:sz w:val="1"/>
                <w:szCs w:val="1"/>
                <w:color w:val="auto"/>
              </w:rPr>
            </w:pPr>
          </w:p>
        </w:tc>
      </w:tr>
      <w:tr>
        <w:trPr>
          <w:trHeight w:val="198"/>
        </w:trPr>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par value $0.0001; 47,578,938 shares authorized; 47,578,934 shares issued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liquidation preference of $226,000 as of December 31, 2025 and 2024</w:t>
            </w: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225,571</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225,571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$0.0001; 159,070,000 shares authorized; 2,595,342 and 2,594,960 shares issued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21,262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14,378</w:t>
            </w:r>
          </w:p>
        </w:tc>
        <w:tc>
          <w:tcPr>
            <w:tcW w:w="0" w:type="dxa"/>
            <w:vAlign w:val="bottom"/>
          </w:tcPr>
          <w:p>
            <w:pPr>
              <w:spacing w:after="0"/>
              <w:rPr>
                <w:sz w:val="1"/>
                <w:szCs w:val="1"/>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(114,109)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(39,228)</w:t>
            </w:r>
          </w:p>
        </w:tc>
        <w:tc>
          <w:tcPr>
            <w:tcW w:w="0" w:type="dxa"/>
            <w:vAlign w:val="bottom"/>
          </w:tcPr>
          <w:p>
            <w:pPr>
              <w:spacing w:after="0"/>
              <w:rPr>
                <w:sz w:val="1"/>
                <w:szCs w:val="1"/>
                <w:color w:val="auto"/>
              </w:rPr>
            </w:pPr>
          </w:p>
        </w:tc>
      </w:tr>
      <w:tr>
        <w:trPr>
          <w:trHeight w:val="230"/>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249,009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315,777</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9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(including stock-based compensation expense of $2.3 million and $0.7 million for</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66,313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25,070</w:t>
            </w:r>
          </w:p>
        </w:tc>
        <w:tc>
          <w:tcPr>
            <w:tcW w:w="0" w:type="dxa"/>
            <w:vAlign w:val="bottom"/>
          </w:tcPr>
          <w:p>
            <w:pPr>
              <w:spacing w:after="0"/>
              <w:rPr>
                <w:sz w:val="1"/>
                <w:szCs w:val="1"/>
                <w:color w:val="auto"/>
              </w:rPr>
            </w:pPr>
          </w:p>
        </w:tc>
      </w:tr>
      <w:tr>
        <w:trPr>
          <w:trHeight w:val="198"/>
        </w:trPr>
        <w:tc>
          <w:tcPr>
            <w:tcW w:w="896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6"/>
                <w:szCs w:val="16"/>
                <w:color w:val="auto"/>
              </w:rPr>
              <w:t xml:space="preserve"> (including stock-based compensation expense of $4.6 million and $15.2 million for</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2025 and 2024, respectively)</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20,981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27,346</w:t>
            </w:r>
          </w:p>
        </w:tc>
        <w:tc>
          <w:tcPr>
            <w:tcW w:w="0" w:type="dxa"/>
            <w:vAlign w:val="bottom"/>
          </w:tcPr>
          <w:p>
            <w:pPr>
              <w:spacing w:after="0"/>
              <w:rPr>
                <w:sz w:val="1"/>
                <w:szCs w:val="1"/>
                <w:color w:val="auto"/>
              </w:rPr>
            </w:pPr>
          </w:p>
        </w:tc>
      </w:tr>
      <w:tr>
        <w:trPr>
          <w:trHeight w:val="230"/>
        </w:trPr>
        <w:tc>
          <w:tcPr>
            <w:tcW w:w="8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(87,294)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(52,416)</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5,537</w:t>
            </w:r>
          </w:p>
        </w:tc>
        <w:tc>
          <w:tcPr>
            <w:tcW w:w="0" w:type="dxa"/>
            <w:vAlign w:val="bottom"/>
          </w:tcPr>
          <w:p>
            <w:pPr>
              <w:spacing w:after="0"/>
              <w:rPr>
                <w:sz w:val="1"/>
                <w:szCs w:val="1"/>
                <w:color w:val="auto"/>
              </w:rPr>
            </w:pPr>
          </w:p>
        </w:tc>
      </w:tr>
      <w:tr>
        <w:trPr>
          <w:trHeight w:val="216"/>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(74,881)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10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(74,580)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7"/>
              </w:rPr>
              <w:t>2,373,985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942,953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80" w:hanging="424"/>
        <w:spacing w:after="0" w:line="261"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$0.3 million and $14.2 million for research and development expenses for the years ended December 31, 2025 and 2024, respectively. See Note 17—Related Parties.</w:t>
      </w:r>
    </w:p>
    <w:p>
      <w:pPr>
        <w:ind w:left="540" w:right="240" w:hanging="424"/>
        <w:spacing w:after="0" w:line="260" w:lineRule="auto"/>
        <w:tabs>
          <w:tab w:leader="none" w:pos="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$0.1 million and $5.8 million for general and administrative expenses for the years ended December 31, 2025 and 2024, respectively. See Note 17—Related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100" w:type="dxa"/>
            <w:vAlign w:val="bottom"/>
          </w:tcPr>
          <w:p>
            <w:pPr>
              <w:spacing w:after="0"/>
              <w:rPr>
                <w:sz w:val="2"/>
                <w:szCs w:val="2"/>
                <w:color w:val="auto"/>
              </w:rPr>
            </w:pPr>
          </w:p>
        </w:tc>
        <w:tc>
          <w:tcPr>
            <w:tcW w:w="1040" w:type="dxa"/>
            <w:vAlign w:val="bottom"/>
            <w:gridSpan w:val="3"/>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Series A-1</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A-2</w:t>
            </w:r>
          </w:p>
        </w:tc>
        <w:tc>
          <w:tcPr>
            <w:tcW w:w="13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380" w:type="dxa"/>
            <w:vAlign w:val="bottom"/>
            <w:gridSpan w:val="5"/>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040" w:type="dxa"/>
            <w:vAlign w:val="bottom"/>
            <w:gridSpan w:val="3"/>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3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2"/>
                <w:szCs w:val="12"/>
                <w:color w:val="auto"/>
              </w:rPr>
            </w:pPr>
          </w:p>
        </w:tc>
        <w:tc>
          <w:tcPr>
            <w:tcW w:w="12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Parent</w:t>
            </w: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3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28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780" w:type="dxa"/>
            <w:vAlign w:val="bottom"/>
            <w:tcBorders>
              <w:top w:val="single" w:sz="8" w:color="auto"/>
            </w:tcBorders>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74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shd w:val="clear" w:color="auto" w:fill="000000"/>
          </w:tcPr>
          <w:p>
            <w:pPr>
              <w:spacing w:after="0"/>
              <w:rPr>
                <w:sz w:val="12"/>
                <w:szCs w:val="12"/>
                <w:color w:val="auto"/>
              </w:rPr>
            </w:pPr>
          </w:p>
        </w:tc>
        <w:tc>
          <w:tcPr>
            <w:tcW w:w="6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900" w:type="dxa"/>
            <w:vAlign w:val="bottom"/>
            <w:gridSpan w:val="5"/>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04"/>
        </w:trPr>
        <w:tc>
          <w:tcPr>
            <w:tcW w:w="110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640" w:type="dxa"/>
            <w:vAlign w:val="bottom"/>
            <w:tcBorders>
              <w:top w:val="single" w:sz="8" w:color="auto"/>
              <w:left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(6,462)</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(6,462)</w:t>
            </w:r>
          </w:p>
        </w:tc>
        <w:tc>
          <w:tcPr>
            <w:tcW w:w="0" w:type="dxa"/>
            <w:vAlign w:val="bottom"/>
          </w:tcPr>
          <w:p>
            <w:pPr>
              <w:spacing w:after="0"/>
              <w:rPr>
                <w:sz w:val="1"/>
                <w:szCs w:val="1"/>
                <w:color w:val="auto"/>
              </w:rPr>
            </w:pPr>
          </w:p>
        </w:tc>
      </w:tr>
      <w:tr>
        <w:trPr>
          <w:trHeight w:val="173"/>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gridSpan w:val="2"/>
            <w:vMerge w:val="continue"/>
            <w:shd w:val="clear" w:color="auto" w:fill="CCEEFF"/>
          </w:tcPr>
          <w:p>
            <w:pPr>
              <w:spacing w:after="0"/>
              <w:rPr>
                <w:sz w:val="15"/>
                <w:szCs w:val="15"/>
                <w:color w:val="auto"/>
              </w:rPr>
            </w:pPr>
          </w:p>
        </w:tc>
        <w:tc>
          <w:tcPr>
            <w:tcW w:w="520" w:type="dxa"/>
            <w:vAlign w:val="bottom"/>
            <w:tcBorders>
              <w:right w:val="single" w:sz="8" w:color="CCEEFF"/>
            </w:tcBorders>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80" w:type="dxa"/>
            <w:vAlign w:val="bottom"/>
            <w:tcBorders>
              <w:left w:val="single" w:sz="8" w:color="CCEEFF"/>
            </w:tcBorders>
            <w:gridSpan w:val="2"/>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attributable to</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(9,714)</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(9,714)</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Seaport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transfers from</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PureTech</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Health plc prior</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13,967</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13,967</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 formation</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expense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allocated from</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PureTech</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Health plc</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 PureTech</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Health plc upon</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318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formation</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and Series A-1</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to PureTech</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Health plc upon</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40,000,000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302,161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Transfer</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from PureTech</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2,063</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(2,063)</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Health plc</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A-2 convertible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of issuance</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26,342,102</w:t>
            </w:r>
          </w:p>
        </w:tc>
        <w:tc>
          <w:tcPr>
            <w:tcW w:w="10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99,757</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costs of $343</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 convertible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4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of issuance</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47,578,934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225,571</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 of $429</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302,480</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0"/>
                <w:szCs w:val="10"/>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68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1,990,001</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14,378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14,378</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(37,165)</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(37,165)</w:t>
            </w:r>
          </w:p>
        </w:tc>
        <w:tc>
          <w:tcPr>
            <w:tcW w:w="0" w:type="dxa"/>
            <w:vAlign w:val="bottom"/>
          </w:tcPr>
          <w:p>
            <w:pPr>
              <w:spacing w:after="0"/>
              <w:rPr>
                <w:sz w:val="1"/>
                <w:szCs w:val="1"/>
                <w:color w:val="auto"/>
              </w:rPr>
            </w:pPr>
          </w:p>
        </w:tc>
      </w:tr>
      <w:tr>
        <w:trPr>
          <w:trHeight w:val="131"/>
        </w:trPr>
        <w:tc>
          <w:tcPr>
            <w:tcW w:w="110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40,000,000</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26,342,102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99,757</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47,578,934</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225,571</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2,594,960</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14,378</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(39,228)</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(24,849)</w:t>
            </w:r>
          </w:p>
        </w:tc>
        <w:tc>
          <w:tcPr>
            <w:tcW w:w="0" w:type="dxa"/>
            <w:vAlign w:val="bottom"/>
          </w:tcPr>
          <w:p>
            <w:pPr>
              <w:spacing w:after="0"/>
              <w:rPr>
                <w:sz w:val="1"/>
                <w:szCs w:val="1"/>
                <w:color w:val="auto"/>
              </w:rPr>
            </w:pPr>
          </w:p>
        </w:tc>
      </w:tr>
      <w:tr>
        <w:trPr>
          <w:trHeight w:val="173"/>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1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Exercise of stock</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382</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6,883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6,883</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w:t>
            </w: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right w:val="single" w:sz="8" w:color="CCEEFF"/>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0"/>
                <w:szCs w:val="10"/>
                <w:color w:val="auto"/>
              </w:rPr>
            </w:pPr>
          </w:p>
        </w:tc>
        <w:tc>
          <w:tcPr>
            <w:tcW w:w="680" w:type="dxa"/>
            <w:vAlign w:val="bottom"/>
            <w:tcBorders>
              <w:left w:val="single" w:sz="8" w:color="CCEEFF"/>
            </w:tcBorders>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310</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71"/>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on investments</w:t>
            </w: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right w:val="single" w:sz="8" w:color="CCEEFF"/>
            </w:tcBorders>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tcBorders>
              <w:left w:val="single" w:sz="8" w:color="CCEEFF"/>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Cumulative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9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00" w:type="dxa"/>
            <w:vAlign w:val="bottom"/>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680" w:type="dxa"/>
            <w:vAlign w:val="bottom"/>
            <w:tcBorders>
              <w:left w:val="single" w:sz="8" w:color="CCEEFF"/>
            </w:tcBorders>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(74,881)</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(74,881)</w:t>
            </w:r>
          </w:p>
        </w:tc>
        <w:tc>
          <w:tcPr>
            <w:tcW w:w="0" w:type="dxa"/>
            <w:vAlign w:val="bottom"/>
          </w:tcPr>
          <w:p>
            <w:pPr>
              <w:spacing w:after="0"/>
              <w:rPr>
                <w:sz w:val="1"/>
                <w:szCs w:val="1"/>
                <w:color w:val="auto"/>
              </w:rPr>
            </w:pPr>
          </w:p>
        </w:tc>
      </w:tr>
      <w:tr>
        <w:trPr>
          <w:trHeight w:val="131"/>
        </w:trPr>
        <w:tc>
          <w:tcPr>
            <w:tcW w:w="110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40,000,000</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26,342,102</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99,757</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47,578,934</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225,571</w:t>
            </w:r>
          </w:p>
        </w:tc>
        <w:tc>
          <w:tcPr>
            <w:tcW w:w="20" w:type="dxa"/>
            <w:vAlign w:val="bottom"/>
            <w:shd w:val="clear" w:color="auto" w:fill="000000"/>
          </w:tcPr>
          <w:p>
            <w:pPr>
              <w:spacing w:after="0"/>
              <w:rPr>
                <w:sz w:val="12"/>
                <w:szCs w:val="12"/>
                <w:color w:val="auto"/>
              </w:rPr>
            </w:pPr>
          </w:p>
        </w:tc>
        <w:tc>
          <w:tcPr>
            <w:tcW w:w="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2,595,342</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21,262</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(114,109)</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(92,545)</w:t>
            </w:r>
          </w:p>
        </w:tc>
        <w:tc>
          <w:tcPr>
            <w:tcW w:w="0" w:type="dxa"/>
            <w:vAlign w:val="bottom"/>
          </w:tcPr>
          <w:p>
            <w:pPr>
              <w:spacing w:after="0"/>
              <w:rPr>
                <w:sz w:val="1"/>
                <w:szCs w:val="1"/>
                <w:color w:val="auto"/>
              </w:rPr>
            </w:pPr>
          </w:p>
        </w:tc>
      </w:tr>
      <w:tr>
        <w:trPr>
          <w:trHeight w:val="173"/>
        </w:trPr>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20"/>
          </w:cols>
          <w:pgMar w:left="320" w:top="455" w:right="3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(74,881)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(46,879)</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14,524</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1,723</w:t>
            </w: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(29,629)</w:t>
            </w:r>
          </w:p>
        </w:tc>
        <w:tc>
          <w:tcPr>
            <w:tcW w:w="120" w:type="dxa"/>
            <w:vAlign w:val="bottom"/>
          </w:tcPr>
          <w:p>
            <w:pPr>
              <w:spacing w:after="0"/>
              <w:rPr>
                <w:sz w:val="20"/>
                <w:szCs w:val="20"/>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(396,389)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(184,245)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transfers from PureTech Health plc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13,967</w:t>
            </w:r>
          </w:p>
        </w:tc>
      </w:tr>
      <w:tr>
        <w:trPr>
          <w:trHeight w:val="216"/>
        </w:trPr>
        <w:tc>
          <w:tcPr>
            <w:tcW w:w="90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Proceeds from the issuance of Series A-2 convertible preferred stock </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100,100</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associated with issuance of Series A-2 convertible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904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Proceeds from the issuance of Series B convertible preferred stock </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226,000</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associated with issuance of Series B convertible preferred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339,295</w:t>
            </w:r>
          </w:p>
        </w:tc>
        <w:tc>
          <w:tcPr>
            <w:tcW w:w="120" w:type="dxa"/>
            <w:vAlign w:val="bottom"/>
          </w:tcPr>
          <w:p>
            <w:pPr>
              <w:spacing w:after="0"/>
              <w:rPr>
                <w:sz w:val="20"/>
                <w:szCs w:val="20"/>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(263,057)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309,553</w:t>
            </w: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309,553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309,553</w:t>
            </w:r>
          </w:p>
        </w:tc>
        <w:tc>
          <w:tcPr>
            <w:tcW w:w="120" w:type="dxa"/>
            <w:vAlign w:val="bottom"/>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financing, and investing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4,979</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recorded in 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proceeds from certain related parties of $32.0 million. See Note 17—Related Parties.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proceeds from certain related parties of $16.7 million. See Note 17—Related Parties.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Seaport Therapeutics, Inc., and its consolidated subsidiaries, Seaport or the Company, is a clinical-stage therapeutics company focused on inventing and developing medicines for patients with depression, anxiety, and other debilitating neuropsychiatric disorders using the Company’s proprietary Glyph Platform.</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include the historical financial position, results of operations, and comprehensive loss, convertible preferred stock and stockholders’ deficit, and cash flows of the Glyph platform business, or the Seaport Business, which was a business of PureTech Health plc and its consolidated subsidiaries, or PureTech, a public company incorporated, domiciled and registered in the United Kingdom. The Seaport Business was historically managed as part of PureTech prior to the completion of the spin-off of the Seaport Business from PureTech in April 2024, pursuant to the Asset Transfer Agreement (as defined below). The Company, which holds the assets, liabilities, and operations associated with the Seaport Business, was incorporated under the laws of the State of Delaware as SP Therapeutics, Inc. on April 1, 2024, and changed its name to Seaport Therapeutics, Inc. on April 2, 2024. Its wholly owned subsidiary, SPTX, Inc., or SPTX, was a previously created entity in February 2024 under the laws of the State of Delaware under the name Seaport Therapeutics, Inc. and changed its name to SPTX, Inc. in April 2024. In April 2024, the Company entered into a share exchange agreement with SPTX, which resulted in SPTX becoming the Company’s wholly owned subsidiary. See Note 10— Common Stock, for further disclosure regarding the share exchange with SPTX.</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completion of preclinical studies and clinical trials, obtaining regulatory approvals for product candidates, dependence on key personnel, protection of intellectual property, compliance with government regulations, and ability to secure capital necessary to fund operations. Product candidates currently under development by the Company will require significant additional research and development efforts, including preclinical and clinical development, and regulatory approval prior to commercialization. There can be no assurance that the Company’s research and development efforts will be successfully completed, that any product candidates developed will obtain necessary government regulatory approval, or that any products, if approved, will be commercially viable. The Company operates in an environment of rapid technological innovation and substantial competition from pharmaceutical and biotechnology companies. Even if the Company’s product development efforts are successful, it is uncertain when, if ever, the Company will realize significant product revenue from product sales.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Asset Transfer and Series A Financing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was incorporated in April 2024 by PureTech LYT Inc., or PureTech LYT, a wholly owned subsidiary of PureTech, as the sole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 and the Company issued 318 shares of its common stock to PureTech LYT. On April 8, 2024, or the Asset Transfer Date,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entered into an asset transfer agreement, as amended in December 2025, or the Asset Transfer Agreement with PureTech Health LLC, or PureTech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Health, and PureTech LYT, pursuant to which PureTech Health and PureTech LYT, agreed to contribute, convey, assign, transfer, and deliver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all of its right, title, and interest in, to and under the assets related to its Glyph technology and products, or the Asset Transfer.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consideration, the Company issued to PureTech LYT 40,000,000 shares of its Series A-1 convertible preferred stock and 302,161 shares of its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on the Asset Transfer Date, and also agreed to contingent payments to PureTech upon successful development and commercialization of products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developed using the Glyph platform, each of which is referred to as a Seaport Glyph Product, including; milestone payments of up to an aggregate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 million for the first product covered by assets transferred through the Asset Transfer Agreement, or the Seaport Glyph Product, of $2.0 million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first patient dosed in the first phase 3 clinical trial, $4.0 million for the first commercial sale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United States, $2.0 million for the first commercial sale in a major European market, and $2.0 million for the first commercial sale in Japan, and for each subsequent Seaport Glyph Product, the Company has agreed to make milestone payments of $1.0 million for the first patient dosed in the first phase 3 clinical trial, $2.0 million for the first commercial sale in the United States, $1.0 million for the first commercial sale in a major European market, and $1.0 million for the first commercial sale in Japan. In addition, the Company is obligated to pay royalties between 3% and 5% on the annual net sales of each Seaport Glyph Product and a percentage of net income generated by the Company from third parties on any products licensed under the Glyph intellectual property which was transferred as part of the Asset Transfer Agreement.</w:t>
      </w:r>
    </w:p>
    <w:p>
      <w:pPr>
        <w:spacing w:after="0" w:line="18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The Company determined that the Asset Transfer and related spin-off transaction represented the transfer of a business between entities under common control. As a result, the net liabilities were transferred from PureTech to the Company at PureTech’s carrying amounts on the Asset Transfer Date, and the Company ascribed a nil value to the Series A-1 convertible preferred stock and common stock issued to PureTech Health and PureTech LYT. The consolidated financial statements for the period prior to the Asset Transfer Date, were prepared on a “carve-out” basis from the consolidated financial statements of PureTech to represent Seaport Business’ financial position, results of operations, changes in net parent investment and cash flows as if the Seaport Business existed on a standalone basis. Effective April 8, 2024, the Company’s financial statements are presented on a consolidated basis, as PureTech Health and PureTech LYT completed the transfer of the Seaport Business on such date. The audited financial statements for the year presented, including the historical results of the Company prior to April 8, 2024, are referred to as the consolidated financial statements.</w:t>
      </w:r>
    </w:p>
    <w:p>
      <w:pPr>
        <w:spacing w:after="0" w:line="17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Concurrently, upon entry into the Asset Transfer Agreement, the Company entered into a stock purchase agreement with PureTech LYT and other third-party investors, pursuant to which the Company issued and sold shares of its Series A-2 convertible preferred stock, or the Series A Financing, and together with the Asset Transfer, the Transaction. Subsequent to the Transaction, PureTech LYT remained the controlling investor of the Company, until the completion of the Company’s Series B convertible preferred stock financing, or the Series B Financing (as further discussed herein), in October 2024. The Series B Financing resulted in a decrease to PureTech LYT’s fully diluted ownership, resulting in PureTech LYT no longer maintaining a controlling interest in the Company. See Note 9—Convertible Preferred Stock, for further disclosure regarding issuances of the Company’s convertible preferred stock.</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or GAAP. These consolidated financial statements include the accounts of Seaport Therapeutics, Inc. and its wholly owned subsidiaries. All intercompany transactions and balances have been eliminated in consolidation.</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the period prior to the Transaction, the accompanying consolidated financial statements of the Company have been prepared on a standalone basis and are derived from PureTech’s consolidated financial statements and accounting records. The consolidated financial statements reflect PureTech’s historical accounting policies, adjusting for differences between International Financial Reporting Standards and GAAP as appropriate. These consolidated financial statements do not purport to reflect what the Company’s results of operations, financial position, or cash flows would have been had the Company operated as a standalone company during the period prior to the Transaction, nor are they indicative of the Company’s future results of operations, financial position, or cash flows.</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the Company’s operations were not historically conducted by a single legal entity, net parent investment is shown in lieu of stockholders’ equity in the historical consolidated financial statements for the period prior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the Transaction. Net parent investment represents the cumulative investment by PureTech in the Seaport Business through the Transaction date, inclusive of operating results. All transactions between the Seaport Business and PureTech were effectively settled in the consolidated financial statements at the time the Transaction was recorded. The effects of the settlement of such transactions between the Seaport Business and PureTech are reflected in the consolidated statements of cash flows as “Net transfers from PureTech Health plc” within financing activities and in the statement of convertible preferred stock and stockholders’ deficit as “Net parent investment” for the year ended December 31, 2024.</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was dependent upon PureTech for all of its working capital and financing requirements through the date of the Transaction. PureTech used a centralized approach for cash management and the financing of its operations. There were no cash amounts specifically attributable to the Seaport Business prior to the Transaction; therefore, cash and cash equivalents were excluded in the consolidated financial statements prior to the Transaction.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for the period prior to the Transaction, the assets, liabilities, and expenses of PureTech that Seaport management determined were specifically identifiable to the Seaport Business and its related programs, as well as indirect costs that are not specifically identifiable to the Seaport Business or its related programs but are deemed necessary to operate as a standalone entity. The assets and liabilities in the consolidated financial statements for the period prior to the Transaction were recorded based on their legal title or related to the exclusive use of the Seaport Business. Shared assets were not included on the consolidated balance sheet, but costs reflecting the use of such assets by the Seaport Business were reflected in the consolidated statements of operations and comprehensive loss for the year ended December 31, 2024. Indirect costs are the costs of support functions that are provided on a centralized basis by PureTech prior to the Transaction, which include, but are not limited to, facilities, information technology, insurance, quality, compliance, finance, human resources, legal, corporate strategy, corporate governance, and other general and administrative type functions.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the Company also include, for the period prior to the Transaction, indirect costs that have been allocated to the Seaport Business for the purposes of preparing the consolidated financial statements based on proportional cost allocation methods using headcount, proportional time spent, and other organizational activities, as applicable, which were considered to be reasonable reflections of the utilization of services provided to or benefit received by the Seaport Business for the period prior to the Transaction. Seaport management considers that such allocations were made on a reasonable basis; however, these allocations may not necessarily be indicative of the costs that would have been incurred if the Seaport Business had operated on a standalone basis for the full year ended December 31, 2024 and, therefore, may not be indicative of the Company’s results of operations, financial position, and cash flows had the Company operated as a standalone entity prior to the Transaction. See Note 17—Related Parties, for additional information regarding related-party transactions with PureTech.</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PureTech continued to provide various research and development and corporate services under the transition services agreement, or the TSA, which was initially set to terminate one year following the date of the Asset Transfer Agreement. In 2025, the TSA was amended to extend through July 2026 to provide ad-hoc support; however, the total value of the incremental services are not material.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Management has evaluated whether there are certain conditions and events, considered in the aggregate, that raise substantial doubt about the Company’s ability to continue as a going concern within one year after the date that the consolidated financial statements were available to be issued.</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inception, including net losses of $74.9 million and $46.9 million for the years ended December 31, 2025 and 2024, respectively, and cash used in operations of $77.9 million and $29.6 million for the years ended December 31, 2025 and 2024, respectively. The Company expects to continue to generate operating losses and negative cash flows for the foreseeable future as the Company continues to develop its product candidates. The Company’s future operations will be dependent on its ability to raise additional capital to finance such operations.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assuming it will continue as a going concern, which presumes it will continue in operation for the foreseeable future and will be able to realize its assets and discharge its liabilities and commitments in the ordinary course of business. The Company believes its cash and cash equivalents and investments of $233.7 million as of December 31, 2025 will be sufficient to fund its expected operating expenses and capital expenditure requirements for at least 12 months from the date these consolidated financial statements were available to be issued.</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Until such time that the Company can generate significant product revenue, if ever, the Company expects to fund its operations through equity offerings or debt financings, credit or loan facilities, collaborations, out-license arrangements, other capital resources, or a combination of one or more of these funding sources. The terms of any financing may adversely affect the holdings or the rights of the Company’s stockholders. The Company’s failure to raise or secure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successful in obtaining sufficient capital on acceptable terms to fund continuing operations, if at all.</w:t>
      </w:r>
    </w:p>
    <w:p>
      <w:pPr>
        <w:spacing w:after="0" w:line="293" w:lineRule="exact"/>
        <w:rPr>
          <w:sz w:val="20"/>
          <w:szCs w:val="20"/>
          <w:color w:val="auto"/>
        </w:rPr>
      </w:pPr>
    </w:p>
    <w:p>
      <w:pPr>
        <w:ind w:left="560" w:right="6160" w:hanging="444"/>
        <w:spacing w:after="0" w:line="378" w:lineRule="auto"/>
        <w:tabs>
          <w:tab w:leader="none" w:pos="30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year presented. Management of the Company evaluates its estimates which include, but are not limited to, accrued research and development expenses and stock-based compensation expense for periods after the Transaction. For the period before the Transaction, Management included allocations of direct expenses and indirect expenses, such as personnel-related expenses, including stock-based compensation, facility, information technology, or IT, and other general overhead expenses from PureTech. The Company based its estimates on the historical experience of PureTech and on various other assumptions that are believed to be reasonable. Actual results may differ from these estimates under different assumptions or conditions.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the Company’s foreign subsidiary are measured using the local currency as the functional currency. Assets and liabilities are translated from their functional currency to their U.S. dollar equivalents at balance sheet date exchange rates and revenue and expenses are translated from functional currency to U.S. dollar equivalents at average exchange rates in effect during the year. Any gain or loss from these translations are included in accumulated other comprehensive loss. Realized foreign currency transaction gains and losses are included in other expense, net in the consolidated statements of operations and comprehensive loss.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with original maturities of three months or less at the date of purchase to be cash equivalents. The Company invests excess cash primarily in overnight cash sweeps and money market funds which are highly liquid and have high credit ratings. Such investments are subject to minimal credit and market risks. The Company classifies all cash of which use is limited by contractual provisions as restricted cash. Restricted cash is recorded on the consolidated balance sheet within other non-current assets and includes amounts held as a security deposit for a letter of credit in connection with leased facilities and its corporate card program.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cash, cash equivalents, and restricted cash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0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$ 46,042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$ 309,099</w:t>
            </w:r>
          </w:p>
        </w:tc>
        <w:tc>
          <w:tcPr>
            <w:tcW w:w="8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non-current assets</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r>
      <w:tr>
        <w:trPr>
          <w:trHeight w:val="27"/>
        </w:trPr>
        <w:tc>
          <w:tcPr>
            <w:tcW w:w="8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 per the consolidated statements of cash flows</w:t>
            </w:r>
          </w:p>
        </w:tc>
        <w:tc>
          <w:tcPr>
            <w:tcW w:w="21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46,496</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$ 309,553</w:t>
            </w:r>
          </w:p>
        </w:tc>
      </w:tr>
      <w:tr>
        <w:trPr>
          <w:trHeight w:val="20"/>
        </w:trPr>
        <w:tc>
          <w:tcPr>
            <w:tcW w:w="8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Short-term investments consist of investments in United States treasuries with original maturities greater than ninety days and less than one year from the balance sheet date. Long-term investments consist of investments in United States treasuries with maturities of greater than one year from the balance sheet date and are not expected to be used to fund current operations. The Company classifies all of its investments as available-for-sale securities. Accordingly, these investments are recorded at fair value. Realized gains and losses, amortization and accretion of discounts and premiums are included in other income, net. Unrealized gains and losses on available-for-sale securities are included in other comprehensive income as a component of stockholders’ equity until realized.</w:t>
      </w:r>
    </w:p>
    <w:p>
      <w:pPr>
        <w:spacing w:after="0" w:line="185" w:lineRule="exact"/>
        <w:rPr>
          <w:sz w:val="20"/>
          <w:szCs w:val="20"/>
          <w:color w:val="auto"/>
        </w:rPr>
      </w:pPr>
    </w:p>
    <w:p>
      <w:pPr>
        <w:jc w:val="both"/>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assesses its available-for-sale securities under the available-for-sale debt security impairment model in ASC Topic 326,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w:t>
      </w:r>
      <w:r>
        <w:rPr>
          <w:rFonts w:ascii="Times New Roman" w:cs="Times New Roman" w:eastAsia="Times New Roman" w:hAnsi="Times New Roman"/>
          <w:sz w:val="18"/>
          <w:szCs w:val="18"/>
          <w:color w:val="auto"/>
        </w:rPr>
        <w:t>, as of each reporting date in order to determine if a portion of any decline in fair value below carrying value recognized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available-for-sale debt securities is the result of a credit loss. For any available-for-sale debt securities that may be in an unrealized net loss position, the Company does not intend to sell, and it is not more likely than not that the Company will be required to sell, such securities before recovery of their amortized cost bases. The Company records credit losses in the consolidated statements of operations and comprehensive loss as a component of other income, net, which is limited to the difference between the fair value and the amortized cost of the security. To date, the Company has not recorded any credit losses on its available-for-sale debt securities.</w:t>
      </w:r>
    </w:p>
    <w:p>
      <w:pPr>
        <w:spacing w:after="0" w:line="18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Accrued interest receivable related to the Company’s available-for-sale securities is presented within prepaid and other current assets on the Company’s consolidated balance sheet. The Company has elected the practical 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 associated with its investments.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and investments. The Company invests its excess cash, in line with its investment policy. The Company maintains its cash and cash equivalent balances with high-quality financial institutions and, consequently, the Company believes that such funds are subject to minimal credit risk. At times, the Company’s cash and cash equivalents may be uninsured or in deposit accounts that exceed Federal Deposit Insurance Corporation limits. The Company’s cash equivalents and investments are comprised of money market funds and investments that are invested in U.S. Treasury obligations. The Company has no significant off-balance sheet risk such as foreign exchange contracts, option contracts or other foreign hedging arrangements.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as a reduction of the proceeds from the offering, either as a reduction of the carrying value of the convertible preferred stock or in stockholders’ equity (deficit) as a reduction of additional paid-in capital generated as a result of the offering. Should the in-process equity financing be abandoned or delayed the deferred offering costs would be expensed immediately as a charge to operating expenses in the consolidated statements of operations and comprehensive loss. The Company recorded deferred offering costs of $1.2 million within other non-current assets as of December 31, 2025. There were no deferred offering costs as of December 31, 2024.</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Accounting Standards Codification, or ASC, Topic 820, Fair Value Measurement, or ASC 820, identifies fair value as the exchange price, or exit price, representing the amount that would be received to sell an asset or paid to transfer a liability in an orderly transaction between market participants, or in the absence of a principal market, the most advantageous market for the investment or liability. As a basis for considering market participant assumptions in fair value measurements, ASC 820 establishes a three-tier fair value hierarchy that gives the highest priority to unadjusted quoted prices in active markets for identical assets or liabilities (Level 1) and the lowest priority to unobservable inputs (Level 3). The three levels of the fair value hierarchy are as follows:</w:t>
      </w:r>
    </w:p>
    <w:p>
      <w:pPr>
        <w:spacing w:after="0" w:line="93" w:lineRule="exact"/>
        <w:rPr>
          <w:sz w:val="20"/>
          <w:szCs w:val="20"/>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consists of lab equipment, furniture and fixtures, and leasehold improvements. Depreciation of property and equipment are calculated using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5620" w:type="dxa"/>
            <w:vAlign w:val="bottom"/>
            <w:vMerge w:val="continue"/>
          </w:tcPr>
          <w:p>
            <w:pPr>
              <w:spacing w:after="0"/>
              <w:rPr>
                <w:sz w:val="16"/>
                <w:szCs w:val="16"/>
                <w:color w:val="auto"/>
              </w:rPr>
            </w:pPr>
          </w:p>
        </w:tc>
        <w:tc>
          <w:tcPr>
            <w:tcW w:w="5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lesser of 5 years or the remaining term of the lease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Upon retirement or disposal of property and equipment, the cost, and related accumulated depreciation are removed from the consolidated balance sheet and any gain or loss is reflected in the consolidated statements of operations and comprehensive loss.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recoverability of the asset group to be held and used is measured by a comparison of the carrying amount of an asset group to future undiscounted cash flows expected to be generated by the asset group. If the carrying amounts of the asset group is less than its future undiscounted cash flows, an impairment loss is then measured by comparing the fair value of the asset group to its respective carrying amount. There have been no impairments of long-lived assets recorded for the years ended December 31, 2025 or 2024.</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At the inception of an arrangement, the Company determines whether the arrangement is or contains a lease based on the relevant facts and circumstances present in the arrangement. Leases with a term greater than one year are recognized on the consolidated balance sheet as right-of-use assets and short-term and long-term lease liabilities, as applicable. The Company typically only includes an initial lease term in its assessment of a lease arrangement, and options to renew a lease are not included in the Company’s assessment unless there is reasonable certainty that the Company will renew. The Company has elected not to recognize leases with an original term of one year or less on the consolidated balance sheet.</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Leases contain both lease and non-lease components. Non-lease components may include common area maintenance, utilities, and other operating costs. The Company combines the lease and non-lease components in its lease arrangements as a single lease component. Variable costs are not included in the measurement of right-of-use assets and lease liabilities and are expensed when incurred.</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at the lease commencement date based on the present value of lease payments measured over the expected remaining lease term. Certain adjustments to right-of-use assets may be required for items such as prepaid lease payments or any incentives received. The Company measures the net present value of lease payments using a discount rate based on the interest rate implicit in the lease or an incremental borrowing rate if the rate implicit in the lease is not readily determinable. The interest rate implicit in the lease contracts is typically not readily determinable, and as a result, the Company estimates an incremental borrowing rate, which reflects the fixed rate at which the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Company could borrow on a collateralized basis the amount of the lease payments in the same currency, for a similar term, in a similar economic environment. To estimate the incremental borrowing rate, a credit rating applicable to the Company is estimated using a synthetic credit rating analysis since the Company does not currently have any outstanding third-party debt or a rating agency-based credit rating. Operating lease costs are expensed using the straight-line method over the lease term and are classified within research and development or general and administrative expense based on the use of the underlying facility or using a reasonable allocation method.</w:t>
      </w:r>
    </w:p>
    <w:p>
      <w:pPr>
        <w:spacing w:after="0" w:line="183"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Assumptions that the Company made at the commencement date are re-evaluated upon occurrence of certain events, including a lease modification.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has classified its convertible preferred stock as temporary equity on the Company’s consolidated balance sheets due to the terms that allow for redemption of the shares in cash upon certain deemed liquidation events that are not solely within the control of the Company. The Company initially recorded its Series A-2 and Series B convertible preferred stock at fair value, net of issuance costs. The occurrence of such deemed liquidation event is not currently probable and thus the carrying values of the convertible preferred stock are not being adjusted to their redemption values. Subsequent adjustments to the carrying values of the convertible preferred stock would be made only when a deemed liquidation event becomes probable.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or R&amp;D, costs are expensed as incurred. Internal costs include personnel related expenses, stock-based compensation, facility and IT costs, and depreciation. External costs include fees for goods and services to conduct clinical and non-clinical activities, such as costs paid to contract research organizations, consulting fees, laboratory services and supplies, and costs incurred in connection with license agreements. Prior to the Transaction, these expenses included allocations from PureTech.</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is required to estimate its accrued R&amp;D costs as of the end of the reporting period. In accruing R&amp;D costs, the Company estimates the period over which services will be performed or goods will be provided and the level of effort to be performed in each period. The financial terms of the R&amp;D contracts vary and may result in payments that do not match the periods over which the goods or services are provided. The Company accrues costs under its contracts based on analyzing the work performed and amounts paid. In circumstances where amounts have been paid in excess of costs incurred, the Company records the excess as prepaid expense and recognizes research and development expense as the goods are received or the related services are rendered.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are primarily comprised of employee-related expenses, including stock-based compensation and occupancy costs, depreciation, and third-party expenses related to finance, legal and other general and administrative functions. Prior to the Transaction, these expenses included allocations from PureTech.</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w:t>
      </w:r>
    </w:p>
    <w:p>
      <w:pPr>
        <w:spacing w:after="0" w:line="121"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expenses costs associated with intellectual property-related matters as incurred and classifies such costs as general and administrative expenses within the consolidated statements of operations and comprehensive loss.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acquisitions of assets or a group of assets that do not meet the definition of a business as asset acquisitions based on the cost to acquire the asset or group of assets, which include certain transaction costs. In an asset acquisition, the cost to acquire is allocated to the identifiable assets acquired and liabilities assumed based on their relative fair values as of the acquisition date. No goodwill is recorded in an asset acquisition. Assets that are acquired in an asset acquisition for use in research and development activities that have an alternative future use are capitalized as in-process research and development, or IPR&amp;D. Acquired IPR&amp;D that has no alternative future use as of the acquisition date is recognized as research and development expense as of the acquisition date. The Company will recognize additional research and development expenses in the future or capitalize such amounts for completed technology if and when the Company becomes obligated to make contingent milestone payments under the terms of the agreements by which it acquired the IPR&amp;D assets.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Contingent consideration in asset acquisitions is measured and recognized when payment becomes probable and reasonably estimable. Subsequent changes in the accrued amount of contingent consideration are measured and recognized at the end of each reporting period and upon settlement as an adjustment to the cost basis of the acquired asset or group of assets, or, if related to IPR&amp;D with no alternative future use, charged to expense. The Company did not recognize any IPR&amp;D expense during the years ended December 31, 2025 and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Employees of the Company participate in the Company’s stock-based compensation plans and prior to the Transaction, participated in PureTech’s stock-based compensation plans.</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Stock-based compensation expense allocated to the Company for the period prior to the Transaction relates to equity awards issued by PureTech, including stock options, service-based restricted stock unit awards and performance-based restricted stock unit awards with both market and performance conditions. Stock-based compensation expense recorded during the period prior to the Transaction was recognized through allocations, based on the proportion of time the employee spent on the Seaport Business during the year presented and PureTech’s estimate of fair value. Stock-based compensation expense associated with service-based awards granted by PureTech was recognized over the requisite service period of the awards, which is generally the vesting period, on a straight-line basis. Service-based awards granted to employees under the PureTech plans generally vest in four equal annual installments, commencing on the first anniversary of the date of grant, provided the employee remains continuously employed during the applicable vesting period. Performance-based restricted stock unit awards granted under the PureTech plans to its executives included both performance and market conditions, and did not have a material impact on the consolidated financial statements for the years ended December 31, 2025 and 2024.</w:t>
      </w:r>
    </w:p>
    <w:p>
      <w:pPr>
        <w:spacing w:after="0" w:line="19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Stock-based compensation expense of the Company for periods subsequent to the Transaction relates to equity awards issued by the Company to its employees and non-employees under its 2024 Equity Incentive Plan, or the 2024 Plan, including stock options and restricted stock awards with both service and performance-based vesting conditions. Stock-based compensation expense is measured at estimated fair value on the grant date and is recognized as compensation expense over the requisite service period, which is the vesting period during which an employee provides service in exchange for the award. Compensation expense for awards to non-employees is recognized in the same manner as if the Company had paid cash in exchange for the goods or services, which is generally over the vesting period of the award. Forfeitures are accounted for as they occur. Stock-based compensation expense for service-only based awards is recognized on a straight-line basis. Stock-based compensation expense for awards with both performance and service-based vesting conditions is recognized over the requisite service period using an accelerated attribution method, commencing once the performance conditions are considered probable of being achieved, using management’s best estimates.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is measured on the date of grant at the estimated fair value of the common stock.</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Because there has not historically been a public market for the Company’s common stock, the estimated fair value of common stock was determined by the Company’s Board of Directors as of the date of each option grant, with inputs from management, considering third-party valuations of its common stock as well as the Company’s Board of Directors’ assessment of additional objective and subjective factors that it believed were relevant.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estimates its expected stock price volatility based on the historical volatility of publicly traded peer companies. The expected term of the Company’s stock options has been determined utilizing the “simplified” method.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164"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the consolidated statements of operations and comprehensive loss in the same manner in which the award recipients’ payroll costs are classified or in which the award recipients’ service payments are classified. See Note 11— Stock-Based Compensation, for more information.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Australia Research and Development Tax Credit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is eligible to obtain certain research and development tax credits, through its wholly owned Australian subsidiary, as part of a program administered by the Australian Tax Office. The Company recognizes the research and development incentive as income within other income (expense), net within the consolidated statements of operations and comprehensive loss as it incurs costs eligible for reimbursement under the Australia R&amp;D credit program when it is reasonably assured that the cash incentive will be received, as evidenced through enrollment in the program and when the applicable conditions under the program have been met.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the Transaction, the Company was included in PureTech’s income tax returns, and all income taxes were paid by PureTech. Income tax expense and other income tax related information contained in these consolidated financial statements prior to the Transaction are presented on a separate return approach as if the Company filed its own tax return for those periods. Under this approach, the provision for income taxes represents income tax paid or payable (or received or receivable) for the current year plus the change in deferred taxes during the year calculated as if the Company were a standalone taxpayer filing hypothetical income tax returns. Current income tax liabilities were assumed to be immediately settled with PureTech and were relieved through the “Net parent investment” account and were reflected as “Net transfers from PureTech Health plc” within financing activities in the consolidated statements of cash flows.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basis of assets and liabilities at enacted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statutory tax rates in effect for the years in which the differences are expected to reverse. The effect on deferred taxes of a change in tax rates are recognized in income in the period that includes the enactment date. In evaluating the Company’s ability to recover its deferred tax assets, the Company considers all available positive and negative evidence including its past operating results, the existence of cumulative losses in the most recent fiscal years, changes in the business in which the Company operates and its forecast of future taxable income. In determining future taxable income, the Company is responsible for assumptions utilized, including the amount of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also accrues for potential interest and penalties related to unrecognized tax benefits in income tax expense. For the years ended December 31, 2025 and 2024, the Company had no tax reserves accrued for uncertain tax positions.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Other comprehensive income (loss) consists of unrealized gains on available-for-sale securities and foreign currency translation adjustments.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There is no allocation required under the two-class method during periods of loss since the participating securities do not have a contractual obligation to share in the losses.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in each period by the weighted average number of shares of common stock outstanding during such period, excluding potentially dilutive common shares. Diluted net loss per share is computed similarly to basic net loss per share except that the denominator is increased to include the number of additional shares of common stock that would have been outstanding if the potential shares of common stock had been issued and if the additional shares of common stock were dilutive. The shares of common stock and convertible preferred stock distributed to PureTech upon the formation of the Company and on the effective date of the Asset Transfer were considered as outstanding in the calculation of basic and diluted earnings per share for the period prior to the formation of the Company and the Asset Transfer, as the formation and Asset Transfer were deemed to be common control transactions. Additionally, the SPTX March 2024 Shares were considered outstanding in the calculation of basic and diluted earnings per share as of</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their date of issuance and the SPTX February 2024 Shares were considered outstanding in the calculation of diluted earnings per share as of their date of issuance (See Note 10—Common Stock, for definitions and further disclosure regarding these SPTX shares). The Company had no additional shares of common stock outstanding or any potentially dilutive equity instruments other than described above prior to its formation and the Asset Transfer Date. See Note 16—Net Loss per Share for definitions and further disclosure.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or CODM, in deciding how to allocate resources and assess performance. The Company has one operating and reportable segment, which is the business focused on advancing the development of neuropsychiatric medicines in areas of high unmet patient needs using the Company’s proprietary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The Company’s CODM, its chief executive officer, manages the Company’s operations on a consolidated basis for the purpose of allocating resources. All of the Company’s long-lived assets are held in the United States. See Note 15—Segments, for further disclosure regarding the Company’s segment information.</w:t>
      </w: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or ASU 2023-09. Additionally, the amendments in the ASU 2023-09 update require entities to disclose certain information about income taxes paid, income tax disaggregation, disclosures around unrecognized tax benefits, and the removal of disclosures related to temporary differences surrounding deferred tax liabilities to enhance the transparency and decision usefulness of income tax disclosures. For public entities, the amendments in this update are effective for fiscal years beginning after December 15, 2024 and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elected to early adopt the standard in 2025 on a retrospective basis. See Note 12- Income Taxes, for further disclosure.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Updates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Seaport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financial position or results of operations upon adoption.</w:t>
      </w:r>
    </w:p>
    <w:p>
      <w:pPr>
        <w:spacing w:after="0" w:line="186" w:lineRule="exact"/>
        <w:rPr>
          <w:sz w:val="20"/>
          <w:szCs w:val="20"/>
          <w:color w:val="auto"/>
        </w:rPr>
      </w:pPr>
    </w:p>
    <w:p>
      <w:pPr>
        <w:ind w:left="120" w:right="40" w:firstLine="440"/>
        <w:spacing w:after="0" w:line="29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or ASU 2024-03, which is intended to provide more detailed information about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categories of expenses (purchases of inventory, employee compensation, depreciation, and amortization) included in certain</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expense captions presented on the statement of operations. The guidance in ASU 2024-03 is effective for fiscal years beginning after December 15, 2026.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09"/>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389</w:t>
            </w:r>
          </w:p>
        </w:tc>
        <w:tc>
          <w:tcPr>
            <w:tcW w:w="8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Australia research and development tax credit receivable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Prepaid other</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employee compensation and benefits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   7,247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3"/>
              </w:rPr>
              <w:t>1,053</w:t>
            </w:r>
          </w:p>
        </w:tc>
        <w:tc>
          <w:tcPr>
            <w:tcW w:w="8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financial assets, and liabilities carried at fair value on a recurring basis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40" w:type="dxa"/>
            <w:vAlign w:val="bottom"/>
          </w:tcPr>
          <w:p>
            <w:pPr>
              <w:spacing w:after="0"/>
              <w:rPr>
                <w:sz w:val="10"/>
                <w:szCs w:val="10"/>
                <w:color w:val="auto"/>
              </w:rPr>
            </w:pPr>
          </w:p>
        </w:tc>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780" w:type="dxa"/>
            <w:vAlign w:val="bottom"/>
            <w:gridSpan w:val="4"/>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$ 45,710</w:t>
            </w:r>
          </w:p>
        </w:tc>
        <w:tc>
          <w:tcPr>
            <w:tcW w:w="320" w:type="dxa"/>
            <w:vAlign w:val="bottom"/>
          </w:tcPr>
          <w:p>
            <w:pPr>
              <w:spacing w:after="0"/>
              <w:rPr>
                <w:sz w:val="18"/>
                <w:szCs w:val="18"/>
                <w:color w:val="auto"/>
              </w:rPr>
            </w:pPr>
          </w:p>
        </w:tc>
        <w:tc>
          <w:tcPr>
            <w:tcW w:w="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79"/>
              <w:spacing w:after="0"/>
              <w:rPr>
                <w:sz w:val="20"/>
                <w:szCs w:val="20"/>
                <w:color w:val="auto"/>
              </w:rPr>
            </w:pPr>
            <w:r>
              <w:rPr>
                <w:rFonts w:ascii="Times New Roman" w:cs="Times New Roman" w:eastAsia="Times New Roman" w:hAnsi="Times New Roman"/>
                <w:sz w:val="18"/>
                <w:szCs w:val="18"/>
                <w:color w:val="auto"/>
                <w:w w:val="96"/>
              </w:rPr>
              <w:t>45,710</w:t>
            </w:r>
          </w:p>
        </w:tc>
        <w:tc>
          <w:tcPr>
            <w:tcW w:w="640" w:type="dxa"/>
            <w:vAlign w:val="bottom"/>
          </w:tcPr>
          <w:p>
            <w:pPr>
              <w:spacing w:after="0"/>
              <w:rPr>
                <w:sz w:val="18"/>
                <w:szCs w:val="18"/>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187,611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6"/>
              </w:rPr>
              <w:t>— </w:t>
            </w:r>
          </w:p>
        </w:tc>
        <w:tc>
          <w:tcPr>
            <w:tcW w:w="6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187,611</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233,321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w w:val="96"/>
              </w:rPr>
              <w:t>45,710</w:t>
            </w:r>
          </w:p>
        </w:tc>
        <w:tc>
          <w:tcPr>
            <w:tcW w:w="6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187,611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gridSpan w:val="3"/>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40" w:type="dxa"/>
            <w:vAlign w:val="bottom"/>
          </w:tcPr>
          <w:p>
            <w:pPr>
              <w:spacing w:after="0"/>
              <w:rPr>
                <w:sz w:val="10"/>
                <w:szCs w:val="10"/>
                <w:color w:val="auto"/>
              </w:rPr>
            </w:pPr>
          </w:p>
        </w:tc>
        <w:tc>
          <w:tcPr>
            <w:tcW w:w="174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right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308,849</w:t>
            </w:r>
          </w:p>
        </w:tc>
        <w:tc>
          <w:tcPr>
            <w:tcW w:w="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308,849</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06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308,849</w:t>
            </w:r>
          </w:p>
        </w:tc>
        <w:tc>
          <w:tcPr>
            <w:tcW w:w="4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308,849</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Company’s cash equivalents consisted of money market funds which are classified as Level 1 financial assets, as these assets are valued using quoted market prices in active markets without any valuation adjustment. As of December 31, 2025, the Company’s investments consisted of</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United States treasuries, which are classified as Level 2 financial assets. The Company estimates the fair value of the investments by taking into consideration valuations obtained from third-party pricing sources. As of December 31, 2025 and 2024, the Company had no financial liabilities that required fair value measurement.</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there were no transfers or reclassifications between fair value measurement levels of assets. The carrying amounts reflected in the consolidated balance sheets for prepaid expenses and other current assets, accounts payable, related party payable and accrued expenses and other current liabilities approximate fair value due to their short-term nature.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held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6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4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686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$169,662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$169,941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Treasuries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17,670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187,301</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187,611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investments were in net unrealized gain position of $0.3 million. These amounts are included in other comprehensive income (loss) in the consolidated statements of operations and comprehensive loss. As of December 31, 2025, there were no investments in an unrealized loss position. The Company determined that there was no material credit risk associated with its investments as of December 31, 2025. As a result, the Company did not record any charges for credit-related impairments for its investments during the year ended December 31, 2025. As of December 31, 2025, the Company’s investments had remaining maturities of two years or less. The Company did not have any investments as of December 31,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1,077</w:t>
            </w:r>
          </w:p>
        </w:tc>
        <w:tc>
          <w:tcPr>
            <w:tcW w:w="120" w:type="dxa"/>
            <w:vAlign w:val="bottom"/>
          </w:tcPr>
          <w:p>
            <w:pPr>
              <w:spacing w:after="0"/>
              <w:rPr>
                <w:sz w:val="19"/>
                <w:szCs w:val="19"/>
                <w:color w:val="auto"/>
              </w:rPr>
            </w:pPr>
          </w:p>
        </w:tc>
      </w:tr>
      <w:tr>
        <w:trPr>
          <w:trHeight w:val="216"/>
        </w:trPr>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(837)</w:t>
            </w:r>
          </w:p>
        </w:tc>
      </w:tr>
      <w:tr>
        <w:trPr>
          <w:trHeight w:val="223"/>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Depreciation expense was $0.2 million and $0.3 million for the years ended December 31, 2025 and 2024, respectively. The depreciation expense recorded for the year ended December 31, 2024 consisted of $0.2 million of depreciation expense on the Company’s assets included on the consolidated balance sheet as of December 31, 2024 and $0.1 million of allocated depreciation expense from PureTech associated with shared assets.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w:t>
            </w:r>
          </w:p>
        </w:tc>
        <w:tc>
          <w:tcPr>
            <w:tcW w:w="3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$2,639</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$1,567</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personnel and bonus expense</w:t>
            </w:r>
          </w:p>
        </w:tc>
        <w:tc>
          <w:tcPr>
            <w:tcW w:w="3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5,192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legal fees</w:t>
            </w:r>
          </w:p>
        </w:tc>
        <w:tc>
          <w:tcPr>
            <w:tcW w:w="3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3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r>
      <w:tr>
        <w:trPr>
          <w:trHeight w:val="27"/>
        </w:trPr>
        <w:tc>
          <w:tcPr>
            <w:tcW w:w="64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9,131</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5,208</w:t>
            </w:r>
          </w:p>
        </w:tc>
      </w:tr>
      <w:tr>
        <w:trPr>
          <w:trHeight w:val="20"/>
        </w:trPr>
        <w:tc>
          <w:tcPr>
            <w:tcW w:w="6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MONASH LICENSE AGREEMENT</w:t>
      </w:r>
    </w:p>
    <w:p>
      <w:pPr>
        <w:spacing w:after="0" w:line="121"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In April 2024, PureTech Health exclusively assigned to the Company, and the Company assumed all rights and obligations under a license agreement entered into in August 2017 between PureTech Health and Monash University, or the Original License Agreement. In March 2025, the Company entered into an amended and restated license agreement with Monash University, which amended and restated the Original License Agreement, or the Monash License Agreement.</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Pursuant to the Monash License Agreement, Monash University grants the Company (i) a worldwide, exclusive, sublicensable license under certain Monash University intellectual property rights, including patent rights related to the Glyph platform, or the Licensed Patents, know-how, and intellectual property stemming from joint research and development activities, for the purpose of developing and commercializing products in all fields with one exception, (ii) a worldwide, non-exclusive, sublicensable license under certain background technology and certain other intellectual property strictly to the extent necessary to exercise the license described in subclause (i) above, and (iii) a first right and an exclusive option to obtain an exclusive license to any invention generated by Monash University outside of the Licensed Patents and pertaining to certain prodrug technology. Additionally, the Company and Monash University agreed to collaborate in conducting research and development activities.</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Monash License Agreement, the Company has agreed to use reasonable commercial endeavors to (i) develop at least one Licensed Product, (ii) seek regulatory approval for at least one Licensed Product, and (iii) after receipt of such regulatory approval in the United States or Europe, promote, and develop the sale of at least one Licensed Product in such territory. Monash University agrees to provide reasonable technical assistance and advice based on Monash University’s know-how relating to the technology licensed under the Monash License Agreement. The Company granted Monash University a non-exclusive, perpetual, royalty-free license under the Licensed Patents, related know-how, and intellectual property stemming from joint research and development activities solely for academic, teaching, and non-commercial collaborative research uses, which includes the right to sublicense for non-commercial collaborative research to other academic institutions or non-commercial research entities.</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consideration for the licenses granted by Monash University, the Company is required to pay Monash University: (i) between 3% and 5% on net sales per calendar year (subject to certain reductions); (ii) a low-double digit percentage of any net income received under a sublicense (subject to a license payment stacking reduction) with the percentage varying based on the development stage of the Licensed Products at the time the sublicense is granted during the term of the Monash License Agreement; (iii) an agreed upon research funding amount to progress mutually agreed research and development or commercialization activities; (iv) a mid-five-figure annual maintenance fee during the term of the agreement commencing on the third anniversary of the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execution date of the Original License Agreement until the first commercial sale of a Licensed Product creditable against net income sharing, royalties, and milestone payments; (v) milestone payments in the event of successful development milestones of up to $1.075 million per Licensed Product for the first three Licensed Products; and (vi) milestone payments in the event of successful commercial milestones of up to $7.25 million per Licensed Product for the first three Licensed Products. The Company is also obligated to (a) pay all costs incurred for the prosecution and maintenance of the Licensed Patents and patent filings stemming from collaboration activities and (b) reimburse Monash University for all patent prosecution costs of the Licensed Patents prior to the execution date of the Original License Agreement.</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commenced on the execution date of the Original License Agreement and will expire seven years after the last of the Licensed Patents expires, unless terminated earlier. Either party may terminate for due cause, including for material breach and bankruptcy. Monash University may terminate if the Company fails to meet its diligence requirements. Either party may terminate the Monash License Agreement if the Company determines that the activities are no longer commercially viable.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Monash License Agreement was determined to represent an asset acquisition, as the acquired licenses and intellectual property did not meet the definition of a business. All upfront consideration paid in exchange for the Monash License Agreement was expensed as research and development upon execution of the agreement, as the Licensed Patents and intellectual property was determined to represent in-process research and development with no alternative future use.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the formation of the Company, PureTech paid $0.2 million in development milestones under the Monash License Agreement. During the year ended December 31, 2025 the Company paid $0.1 million in development milestones under the agreement. No milestones were paid by the Company under the Monash License Agreement during the year ended December 31,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has issued Series A-1 convertible preferred stock, or the Series A-1 Preferred Stock, Series A-2 convertible preferred stock, or the Series A-2 Preferred Stock, and Series B convertible preferred stock, or the Series B Preferred Stock, and collectively with the Series A-1 Preferred Stock and Series A-2 Preferred Stock, the Preferred Stock.</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A-1 and Series A-2 Preferred Stock</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April 2024, the Company issued to PureTech LYT, a wholly owned subsidiary of PureTech, 40,000,000 shares of its Series A-1 Preferred Stock, as part of the consideration for the assets contributed to the Company as part of the Asset Transfer Agreement. No value was assigned to the Series A-1 Preferred Stock as it represented consideration paid as part of a common control transaction. See Note 1—Nature of Business and Basis of Presentation, for further disclosure of the Asset Transfer Agreement.</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Concurrently, upon the issuance of the Series A-1 Preferred Stock to PureTech LYT, the Company entered into a Series A-2 Preferred Stock Purchase Agreement, or the Series A-2 Financing, with PureTech LYT and other third-party investors pursuant to which the Company issued and sold 26,342,102 shares of its Series A-2 Preferred Stock at a price of $3.80 per share for gross aggregate proceeds of $100.1 million. See Note 17—Related Parties, for further disclosure of the issuances of the Company’s Series A-2 Preferred Stock to related parties.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a stock purchase agreement with new and existing investors, or the Series B Financing, pursuant to which the Company issued and sold an aggregate amount of 47,578,934 shares of its Series B Preferred Stock at a purchase price of $4.75 per share, for gross aggregate proceeds of $226.0 million. See Note 17—Related Parties, for further disclosure around the issuances of the Company’s Series B Preferred Stock to related parties.</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and 2024, Preferred Stock consisted of the following (in thousands, except share and per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10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40" w:type="dxa"/>
            <w:vAlign w:val="bottom"/>
            <w:gridSpan w:val="3"/>
            <w:vMerge w:val="continue"/>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12,736,014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26,342,102</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26,342,102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99,757</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100,100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8,387,331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47,578,938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47,578,934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225,571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15,149,130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Preferred Stock</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113,921,040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113,921,036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325,328</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36,272,475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holders of the Preferred Stock have the following rights and preferences: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holders of the Preferred Stock are entitled to vote, together with the holders of common stock, as a single class, on all matters submitted to the shareholders for a vote and are entitled to the number of votes equal to the number of shares of common stock into which the Preferred Stock would convert on the record date for determination of shareholders entitled to vote. The holders of the Preferred Stock generally vote together as a single class with holders of common stock except that, (i) the holders of Series A-1 Preferred Stock, exclusively and voting together as a separate class on an as converted basis, shall be entitled to elect two (2) directors of the Company, each, a Series A-1 Director, (ii) the holders of record of the shares of Series A-2 Preferred Stock, exclusively and voting together as a separate class on an as converted basis, shall be entitled to elect two (2) directors of the Company, each, a Series A-2 Director, (iii) the holders of record of the shares of Series B Preferred Stock, exclusively and voting together as a separate class on an as converted basis, shall be entitled to elect one (1) director of the Company, or the Series B Director and, together with the Series A-1 Directors and Series A-2 Directors, each, a Preferred Director.</w:t>
      </w:r>
    </w:p>
    <w:p>
      <w:pPr>
        <w:spacing w:after="0" w:line="188"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Further, a majority vote of the holders of the Company’s Preferred Stock is required to, among others, liquidate or dissolve the Company, amend the certificate of incorporation or bylaws, reclassify common stock or establish another class of capital stock, create shares that would rank senior to or authorize additional shares of Preferred Stock, declare a dividend or make a distribution, or change the authorized number of directors constituting the board of directors.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holders of the Preferred Stock are entitled to participate in any dividends payable to common stockholders on an as converted basis and have priority over the payment of dividends to holders of common stock.</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dividend on common stock or any class of stock that is convertible into common stock, the dividend per share of Preferred Stock would equal the product of (A) the dividend payable on each share of such class or series as if all shares of such class or series had been converted into common stock and (B) the number of shares of common stock issuable upon conversion of such share of Preferred Stock. In the case of a dividend on any class or series that is not convertible into common stock, the dividend per share of Preferred Stock would be determined by (A) dividing the amount of dividend payable on each share of such class or series of capital stock by the original issue price of such class or series and (B) multiplying such fraction by the original issue price of the applicable class or series of Preferred Stock.</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Each outstanding share of Preferred Stock is convertible, at any time, at its holder’s discretion, and without the payment of additional consideration, into such whole number of fully paid, non-assessable shares of common stock, at the applicable conversion ratio then in effect. The conversion price for each share of Preferred Stock shall initially be equal to the original issuance price for such series of Preferred Stock and is subject to standard anti-dilutive adjustments for share splits and similar transactions. In the event certain conditions are not met prior to March 31, 2026, the conversion price of the Series B Preferred Stock will be reduced to $11.94. During the year ended December 31, 2025, the Company satisfied the applicable condition, thereby eliminating the conversion price reduction contingency.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outstanding share of Preferred Stock shall automatically be converted into fully-paid, non-assessable shares of common stock upon the earliest to occur of (i) the consummation of a qualified initial public offering at a public offering price of at least $17.91 per share, in a firm commitment resulting in at least $100.0 million of gross proceeds or (ii) the date specified by vote or written consent of the holders of at least a majority of the outstanding shares of the Preferred Stock, voting together as a single class on an as-converted basis, and the holders of a majority of the outstanding shares of Series A-2 Preferred Stock and Series B Preferred Stock, which majority must include at least one new investor from the Series B Financing that holds at least 2,100,000 shares of Series B Preferred Stock, voting together as a single class on an as-converted basis, or the Requisite Holders, and the holders of at least 65% of the then-outstanding shares of Series B Preferred Stock, or the Series B Majority.</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There shall be no adjustment in the conversion price of the Preferred Stock as a result of the issuance or deemed issuance of additional shares of the Company’s common stock if the Company receives written notice from the holders of at least a majority of the then outstanding shares of Preferred Stock, voting together as a single class, and, solely in the respect of an adjustment in the conversion price of the Series B Preferred Stock, the Series B Majority, agreeing that no such adjustment shall be made as the result of the issuance or deemed issuance of additional shares of the Company’s common stock.</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or upon the occurrence of a Deemed Liquidation Event (as defined below), the holders of shares of Preferred Stock then outstanding shall be entitled, on a pari passu basis among the series of Preferred Stock, to be paid out of the assets or funds of the Company available for distribution to stockholders before any payment is made to the holders of common stock. The holders of Preferred Stock are entitled to an amount per share equal to the greater of (i) the original issue price for such series, plus any dividends declared but unpaid thereon, or (ii) the amount that would have been payable had all shares of each series of Preferred Stock been converted into common stock immediately prior to such liquidation, dissolution, winding up or Deemed Liquidation Event. After the payment in full of the Preferred Stock preference amount, the remaining assets of the Company available for distribution to stockholders shall be distributed among the holders of common stock on a pro rata basis.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Each of the following events shall be considered a “Deemed Liquidation Event,” unless the Requisite Holders, elect otherwise; a merger, consolidation, statutory conversion, transfer, domestication, continuance involving the Company or a subsidiary, or a sale, lease, or transfer of substantially all of the assets of the Company.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Preferred Stock does not have any redemption rights, except for the contingent redemption upon the occurrence of a Deemed Liquidation Event.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Company’s common stock are subject to and qualified by the rights, powers, and preferences of the holders of the Preferred Stock set forth above. Each share of common stock entitles the holder to one vote, together with the holders of the Preferred Stock, on all matters submitted to the stockholders for a vote. The holders of common stock are entitled to receive dividends, if any, as declared by the Company’s board of directors, subject to the preferential dividend rights of Preferred Stock. As of December 31, 2025, no dividends have been declared or paid.</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authorized 159,070,000 shares of common stock, of which 2,595,342 were issued and outstanding, including 154,778 unvested shares of restricted common stock that are subject to service-based vesting as of December 31, 2025.</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Concurrent with the Transaction, the Company issued 796,000 shares of restricted common stock in exchange for shares of restricted common stock of SPTX. Such shares were originally issued upon the formation of SPTX in February 2024, or the SPTX February 2024 Shares. SPTX subsequently became a subsidiary of the Company upon the formation date. See Note 11—Stock-Based Compensation for further disclosure of restricted common stock issued by the Company.</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Concurrent with the Transaction, the Company issued 302,480 shares of common stock to a board member in exchange for shares of common stock of SPTX issued in March 2024, or the SPTX March 2024 Shares, and together with the SPTX February 2024 Shares, or the Exchange Shares. SPTX had no other material activity beyond its previously issued shares.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SPTX March 2024 Shares, the Company recognized $0.9 million of stock-based compensation expense in its consolidated statements of operations and comprehensive loss for the year ended December 31, 2024.</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Company had no shares of common stock outstanding or any potentially dilutive equity instruments for any period prior to its formation and the Asset Transfer.</w:t>
      </w:r>
    </w:p>
    <w:p>
      <w:pPr>
        <w:spacing w:after="0" w:line="266" w:lineRule="exact"/>
        <w:rPr>
          <w:sz w:val="20"/>
          <w:szCs w:val="20"/>
          <w:color w:val="auto"/>
        </w:rPr>
      </w:pPr>
    </w:p>
    <w:p>
      <w:pPr>
        <w:ind w:left="560" w:right="7360" w:hanging="444"/>
        <w:spacing w:after="0" w:line="400" w:lineRule="auto"/>
        <w:tabs>
          <w:tab w:leader="none" w:pos="38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PureTech Stock-based Compensation Plan</w:t>
      </w: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PureTech has stock-based compensation plans which provide for granting equity awards, including non-qualified and incentive stock options, restricted stock, restricted stock units, cash-based awards, and performance shares to employees, officers, and directors of, and consultants to, PureTech. All stock-based compensation plans were managed on a consolidated basis by PureTech. Stock-based compensation expense was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allocated to the Company based on the proportion of time each employee or non-employee spent on the Seaport Business in the period. Accordingly, the amounts presented are not necessarily indicative of future stock-based compensation of Seaport and do not necessarily reflect the amount that Seaport would have issued as an independent company for the year presented.</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PureTech’s stock-based compensation plan, the Company’s employees transferred pursuant to the Asset Transfer were granted 22,500 stock options during the year ended December 31, 2024. During the year ended December 31, 2025, there were no stock options granted to the Company’s employees under PureTech’s stock-based compensation plan.</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PureTech utilized the Black-Scholes option-pricing model for estimating the fair value of the stock options issued under PureTech’s stock-based compensation plans on each grant date. The following table presents the assumptions used by PureTech in the Black-Scholes option-pricing model during the year ended December 31, 2024:</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9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r>
      <w:tr>
        <w:trPr>
          <w:trHeight w:val="223"/>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6.16</w:t>
            </w:r>
          </w:p>
        </w:tc>
        <w:tc>
          <w:tcPr>
            <w:tcW w:w="220" w:type="dxa"/>
            <w:vAlign w:val="bottom"/>
            <w:shd w:val="clear" w:color="auto" w:fill="CCEEFF"/>
          </w:tcPr>
          <w:p>
            <w:pPr>
              <w:spacing w:after="0"/>
              <w:rPr>
                <w:sz w:val="19"/>
                <w:szCs w:val="19"/>
                <w:color w:val="auto"/>
              </w:rPr>
            </w:pPr>
          </w:p>
        </w:tc>
      </w:tr>
      <w:tr>
        <w:trPr>
          <w:trHeight w:val="229"/>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4.21%</w:t>
            </w:r>
          </w:p>
        </w:tc>
      </w:tr>
      <w:tr>
        <w:trPr>
          <w:trHeight w:val="230"/>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44.93%</w:t>
            </w:r>
          </w:p>
        </w:tc>
      </w:tr>
      <w:tr>
        <w:trPr>
          <w:trHeight w:val="258"/>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— </w:t>
            </w:r>
          </w:p>
        </w:tc>
      </w:tr>
    </w:tbl>
    <w:p>
      <w:pPr>
        <w:spacing w:after="0" w:line="16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by PureTech during the year ended December 31, 2024 was $1.02. The aggregate intrinsic value is calculated as the difference between the exercise price and the market price of PureTech’s common stock at December 31, 2024. As of December 31, 2024, all outstanding stock options issued by PureTech to the Company’s employees were fully vested.</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Seaport employees continued to vest in their PureTech equity awards until the completion of the Company’s Series B Financing (as discussed in Note 9) in October 2024 at which time PureTech no longer maintained a controlling interest in the Company. Accordingly, Seaport employees forfeited their unvested awards in October 2024 as the employees were no longer deemed to be continuing service providers under PureTech’s plan, except for restricted stock units granted to an employee of Seaport for services performed to PureTech. As of December 31, 2024, Seaport employees held 873,617 of outstanding vested options that Seaport employees had 90 days to exercise from October 2024.</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2024 Equity Incentive Plan, or the 2024 Plan, was approved by the Company’s subsidiary’s Board and Stockholders and became effective for the Company in April 2024 and was subsequently amended in April 2024 and October 2024.</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2024 Plan, the Company can issue incentive stock options, stock appreciation rights, restricted stock, restricted stock units, and other stock-based awards to employees, directors, and consultants of the Company. The 2024 Plan is administered by the Company’s Board of Directors, or by a committee at the discretion of the Board of Directors. The exercise prices, vesting, and other restrictions are determined at the discretion of the Board of Directors, or its committee if so delegated, except that exercise prices of each stock option shall not be less than 100% of the fair market value of the Company’s common stock and that each stock option term cannot exceed 10 years. The Company’s Board of Directors determines the fair market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total of 3,184,003 shares of common stock were initially reserved for issuance under the 2024 Plan, and it was subsequently amended to allow for the issuance of up to 12,292,486 shares of common stock. As of December 31, 2025, there were 1,503,698 awards available for future grants under the 2024 Plan. Shares of common stock underlying any awards that are forfeited, canceled, or reacquired by the Company prior to vesting will again be available for the grant of awards under the 2024 Plan. Through the completion of an Initial Public Offering, the Company will continue to grant additional equity awards to certain individuals to maintain in total a 12.5% ownership on a fully diluted basis as specified by underlying agreements.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vesting periods for stock options issued under the 2024 Plan generally vest over four years with a one-year cliff and equal monthly installments thereafter and may be subject to accelerated vesting. Performance-based options vest in three annual installments that are contingent upon the achievement of the Company’s annual goals. For restricted stock awards, the vesting periods can vary and may contain accelerated vesting that would result in unvested shares becoming fully vested upon the occurrence of certain events.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Plan Stock Option Activity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award activity under the 2024 Plan during the year ended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2"/>
                <w:szCs w:val="12"/>
                <w:color w:val="auto"/>
              </w:rPr>
            </w:pPr>
          </w:p>
        </w:tc>
        <w:tc>
          <w:tcPr>
            <w:tcW w:w="1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7,812,207</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5"/>
              </w:rPr>
              <w:t>9.60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903,426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7.46</w:t>
            </w:r>
          </w:p>
        </w:tc>
        <w:tc>
          <w:tcPr>
            <w:tcW w:w="126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81"/>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3.05</w:t>
            </w:r>
          </w:p>
        </w:tc>
        <w:tc>
          <w:tcPr>
            <w:tcW w:w="126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81"/>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(139,755)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6.86</w:t>
            </w:r>
          </w:p>
        </w:tc>
        <w:tc>
          <w:tcPr>
            <w:tcW w:w="1260" w:type="dxa"/>
            <w:vAlign w:val="bottom"/>
            <w:gridSpan w:val="2"/>
          </w:tcPr>
          <w:p>
            <w:pPr>
              <w:jc w:val="center"/>
              <w:ind w:left="277"/>
              <w:spacing w:after="0"/>
              <w:rPr>
                <w:sz w:val="20"/>
                <w:szCs w:val="20"/>
                <w:color w:val="auto"/>
              </w:rPr>
            </w:pPr>
            <w:r>
              <w:rPr>
                <w:rFonts w:ascii="Times New Roman" w:cs="Times New Roman" w:eastAsia="Times New Roman" w:hAnsi="Times New Roman"/>
                <w:sz w:val="18"/>
                <w:szCs w:val="18"/>
                <w:color w:val="auto"/>
                <w:w w:val="81"/>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3.05</w:t>
            </w:r>
          </w:p>
        </w:tc>
        <w:tc>
          <w:tcPr>
            <w:tcW w:w="126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81"/>
              </w:rPr>
              <w:t>— </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8,569,619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center"/>
              <w:ind w:left="577"/>
              <w:spacing w:after="0"/>
              <w:rPr>
                <w:sz w:val="20"/>
                <w:szCs w:val="20"/>
                <w:color w:val="auto"/>
              </w:rPr>
            </w:pPr>
            <w:r>
              <w:rPr>
                <w:rFonts w:ascii="Times New Roman" w:cs="Times New Roman" w:eastAsia="Times New Roman" w:hAnsi="Times New Roman"/>
                <w:sz w:val="18"/>
                <w:szCs w:val="18"/>
                <w:color w:val="auto"/>
                <w:w w:val="95"/>
              </w:rPr>
              <w:t>8.67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8,569,619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5"/>
              </w:rPr>
              <w:t>8.67</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28,669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5,007,889</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580" w:type="dxa"/>
            <w:vAlign w:val="bottom"/>
          </w:tcPr>
          <w:p>
            <w:pPr>
              <w:spacing w:after="0"/>
              <w:rPr>
                <w:sz w:val="18"/>
                <w:szCs w:val="18"/>
                <w:color w:val="auto"/>
              </w:rPr>
            </w:pPr>
          </w:p>
        </w:tc>
        <w:tc>
          <w:tcPr>
            <w:tcW w:w="960" w:type="dxa"/>
            <w:vAlign w:val="bottom"/>
            <w:tcBorders>
              <w:bottom w:val="single" w:sz="8" w:color="auto"/>
            </w:tcBorders>
          </w:tcPr>
          <w:p>
            <w:pPr>
              <w:jc w:val="center"/>
              <w:ind w:left="577"/>
              <w:spacing w:after="0"/>
              <w:rPr>
                <w:sz w:val="20"/>
                <w:szCs w:val="20"/>
                <w:color w:val="auto"/>
              </w:rPr>
            </w:pPr>
            <w:r>
              <w:rPr>
                <w:rFonts w:ascii="Times New Roman" w:cs="Times New Roman" w:eastAsia="Times New Roman" w:hAnsi="Times New Roman"/>
                <w:sz w:val="18"/>
                <w:szCs w:val="18"/>
                <w:color w:val="auto"/>
                <w:w w:val="95"/>
              </w:rPr>
              <w:t>8.58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table above excludes the 228,770 performance-based options which have an exercise price of $7.39 per share, that were approved to be issued by the Company’s Board of Directors in December 2024, but have not yet been deemed granted from an accounting perspective as of December 31, 2025.</w:t>
      </w:r>
    </w:p>
    <w:p>
      <w:pPr>
        <w:spacing w:after="0" w:line="176"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Company utilized the Black-Scholes option-pricing model for estimating the fair value of the stock options issued under the 2024 Plan on each grant date. The following table presents the ranges of assumptions used by the Company in the Black-Scholes option-pricing model during the years ended:</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55"/>
        </w:trPr>
        <w:tc>
          <w:tcPr>
            <w:tcW w:w="3560" w:type="dxa"/>
            <w:vAlign w:val="bottom"/>
            <w:tcBorders>
              <w:bottom w:val="single" w:sz="8" w:color="CCEEFF"/>
            </w:tcBorders>
          </w:tcPr>
          <w:p>
            <w:pPr>
              <w:spacing w:after="0"/>
              <w:rPr>
                <w:sz w:val="13"/>
                <w:szCs w:val="13"/>
                <w:color w:val="auto"/>
              </w:rPr>
            </w:pPr>
          </w:p>
        </w:tc>
        <w:tc>
          <w:tcPr>
            <w:tcW w:w="404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gridSpan w:val="2"/>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gridSpan w:val="2"/>
          </w:tcPr>
          <w:p>
            <w:pPr>
              <w:jc w:val="right"/>
              <w:ind w:right="59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- 6.08</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- 4.39%</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- 91.67%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- 92.33%</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700" w:type="dxa"/>
            <w:vAlign w:val="bottom"/>
            <w:gridSpan w:val="3"/>
          </w:tcPr>
          <w:p>
            <w:pPr>
              <w:jc w:val="right"/>
              <w:ind w:right="515"/>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16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0.00%</w:t>
            </w:r>
          </w:p>
        </w:tc>
      </w:tr>
      <w:tr>
        <w:trPr>
          <w:trHeight w:val="346"/>
        </w:trPr>
        <w:tc>
          <w:tcPr>
            <w:tcW w:w="3560" w:type="dxa"/>
            <w:vAlign w:val="bottom"/>
          </w:tcPr>
          <w:p>
            <w:pPr>
              <w:spacing w:after="0"/>
              <w:rPr>
                <w:sz w:val="24"/>
                <w:szCs w:val="24"/>
                <w:color w:val="auto"/>
              </w:rPr>
            </w:pPr>
          </w:p>
        </w:tc>
        <w:tc>
          <w:tcPr>
            <w:tcW w:w="4820" w:type="dxa"/>
            <w:vAlign w:val="bottom"/>
            <w:gridSpan w:val="2"/>
          </w:tcPr>
          <w:p>
            <w:pPr>
              <w:jc w:val="right"/>
              <w:ind w:right="2619"/>
              <w:spacing w:after="0"/>
              <w:rPr>
                <w:sz w:val="20"/>
                <w:szCs w:val="20"/>
                <w:color w:val="auto"/>
              </w:rPr>
            </w:pPr>
            <w:r>
              <w:rPr>
                <w:rFonts w:ascii="Times New Roman" w:cs="Times New Roman" w:eastAsia="Times New Roman" w:hAnsi="Times New Roman"/>
                <w:sz w:val="18"/>
                <w:szCs w:val="18"/>
                <w:color w:val="auto"/>
              </w:rPr>
              <w:t>F-27</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2025 and 2024 was $5.72 and $3.21 per share, respectively. The aggregate intrinsic value is calculated as the difference between the exercise price and the fair value of the Company’s common stock as of each period end or exercise date. The aggregate intrinsic value of options exercised during the year ended December 31, 2025 was not material. There were no stock options exercised during the year ended December 31, 2024.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$14.0 million in unrecognized stock-based compensation expense associated with issued and outstanding service-based stock options, which is expected to be recognized over a weighted-average period of 1.3 years and is partially subject to future accelerated vesting upon the close of an initial public offering.</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2024 Plan Restricted Stock Awards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has granted restricted stock awards to certain members of the Company’s Board of Directors and Chief Executive Officer. Of the total 1,990,001 restricted stock awards granted: (i) 796,000 have service-based vesting in equal monthly installments over a three-year period, of which 50% of the unvested amount was subject to accelerated vesting upon the close of the Series B Financing and 50% of any unvested amounts is subject to future acceleration upon the close of an initial public offering; and (ii) 1,194,001 have performance based vesting which vested in full upon the close of the Series B Financing.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Company’s restricted stock award activity under the 2024 Plan during the year ended December 31, 2025:</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9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910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9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7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287,444</w:t>
            </w:r>
          </w:p>
        </w:tc>
        <w:tc>
          <w:tcPr>
            <w:tcW w:w="4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3.05</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auto"/>
              </w:rPr>
              <w:t>(132,665)</w:t>
            </w:r>
          </w:p>
        </w:tc>
        <w:tc>
          <w:tcPr>
            <w:tcW w:w="2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0"/>
                <w:szCs w:val="20"/>
                <w:color w:val="auto"/>
              </w:rPr>
              <w:t>154,778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total fair value of restricted stock awards granted during the year ended December 31, 2024 was $6.1 million. No restricted stock awards were granted during the year ended December 31, 2025. The total fair value of the restricted stock awards that vested during the year ended December 31, 2025 and 2024 was $0.4 million and $5.2 million, respectively, and the total stock-based compensation associated with the restricted stock awards during the years ended December 31, 2025 and 2024 was $0.4 million and $5.2 million, respectively. As of December 31, 2025, there was $0.5 million in unrecognized stock-based compensation expense associated with issued and outstanding restricted stock awards, which is expected to be recognized over a weighted-average period of 0.6 years.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stock-based compensation expense recorded in the Company’s consolidated statements of operations and comprehensive loss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940" w:type="dxa"/>
            <w:vAlign w:val="bottom"/>
            <w:tcBorders>
              <w:bottom w:val="single" w:sz="8" w:color="CCEEFF"/>
            </w:tcBorders>
          </w:tcPr>
          <w:p>
            <w:pPr>
              <w:spacing w:after="0"/>
              <w:rPr>
                <w:sz w:val="12"/>
                <w:szCs w:val="12"/>
                <w:color w:val="auto"/>
              </w:rPr>
            </w:pPr>
          </w:p>
        </w:tc>
        <w:tc>
          <w:tcPr>
            <w:tcW w:w="4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2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9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2,272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562</w:t>
            </w:r>
          </w:p>
        </w:tc>
        <w:tc>
          <w:tcPr>
            <w:tcW w:w="80" w:type="dxa"/>
            <w:vAlign w:val="bottom"/>
            <w:shd w:val="clear" w:color="auto" w:fill="CCEEFF"/>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4,611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13,962</w:t>
            </w:r>
          </w:p>
        </w:tc>
      </w:tr>
      <w:tr>
        <w:trPr>
          <w:trHeight w:val="27"/>
        </w:trPr>
        <w:tc>
          <w:tcPr>
            <w:tcW w:w="39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9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w w:val="87"/>
              </w:rPr>
              <w:t>   6,883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14,524</w:t>
            </w:r>
          </w:p>
        </w:tc>
      </w:tr>
      <w:tr>
        <w:trPr>
          <w:trHeight w:val="20"/>
        </w:trPr>
        <w:tc>
          <w:tcPr>
            <w:tcW w:w="39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5100" w:type="dxa"/>
            <w:vAlign w:val="bottom"/>
            <w:gridSpan w:val="2"/>
          </w:tcPr>
          <w:p>
            <w:pPr>
              <w:jc w:val="right"/>
              <w:ind w:right="3261"/>
              <w:spacing w:after="0"/>
              <w:rPr>
                <w:sz w:val="20"/>
                <w:szCs w:val="20"/>
                <w:color w:val="auto"/>
              </w:rPr>
            </w:pPr>
            <w:r>
              <w:rPr>
                <w:rFonts w:ascii="Times New Roman" w:cs="Times New Roman" w:eastAsia="Times New Roman" w:hAnsi="Times New Roman"/>
                <w:sz w:val="18"/>
                <w:szCs w:val="18"/>
                <w:color w:val="auto"/>
              </w:rPr>
              <w:t>F-28</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Total stock-based compensation expense for the year ended December 31, 2024 of $14.5 million included $14.4 million of stock-based compensation expense for Seaport employees, of which $9.6 million was due to accelerated vesting of certain awards upon the close of the Series B Financing, and $0.1 million of stock-based compensation expense associated with awards issued to Seaport employees prior to the Asset Transfer under PureTech’s stock-based compensation plans. Seaport employees continued to vest in their PureTech equity awards until October 2024, at which time PureTech no longer maintained a controlling interest and the Seaport employees ceased to vest in their PureTech awards. No related tax benefits from stock-based compensation expense were recognized for the years ended 2025 or 2024.</w:t>
      </w:r>
    </w:p>
    <w:p>
      <w:pPr>
        <w:spacing w:after="0" w:line="187"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allocated stock-based compensation of $1.3 million, associated with PureTech employee’s equity awards who spent a proportion of time providing services to the Company through the Asset Transfer, which is excluded from the table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Prior to the Transaction, income taxes and related income tax accounts have been calculated using the separate return method as if the Company filed income tax returns on a standalone basis. Prior to the Transaction, the Company’s operations were calculated on a carve-out basis and included certain hypothetical tax attributes. Following the Transaction, these hypothetical tax attributes are not available for future utilization by the Company and were removed from the tax provision. Furthermore, the Company operated as part of PureTech until the completion of the Asset Transfer on April 8, 2024, and therefore the Company will be included in PureTech’s U.S. Federal consolidated income tax return until that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loss before income taxes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3"/>
              </w:rPr>
              <w:t>(76,365)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3"/>
            <w:shd w:val="clear" w:color="auto" w:fill="CCEEFF"/>
          </w:tcPr>
          <w:p>
            <w:pPr>
              <w:ind w:left="80"/>
              <w:spacing w:after="0" w:line="223" w:lineRule="exact"/>
              <w:rPr>
                <w:sz w:val="20"/>
                <w:szCs w:val="20"/>
                <w:color w:val="auto"/>
              </w:rPr>
            </w:pPr>
            <w:r>
              <w:rPr>
                <w:rFonts w:ascii="Times New Roman" w:cs="Times New Roman" w:eastAsia="Times New Roman" w:hAnsi="Times New Roman"/>
                <w:sz w:val="20"/>
                <w:szCs w:val="20"/>
                <w:color w:val="auto"/>
                <w:w w:val="87"/>
              </w:rPr>
              <w:t>(46,879)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w w:val="93"/>
              </w:rPr>
              <w:t>— </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the provision for income taxes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 xml:space="preserve">$  </w:t>
            </w:r>
          </w:p>
        </w:tc>
        <w:tc>
          <w:tcPr>
            <w:tcW w:w="8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(74,108)</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 xml:space="preserve">$  </w:t>
            </w:r>
          </w:p>
        </w:tc>
        <w:tc>
          <w:tcPr>
            <w:tcW w:w="7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20"/>
                <w:szCs w:val="20"/>
                <w:color w:val="auto"/>
                <w:w w:val="99"/>
              </w:rPr>
              <w:t>(46,879)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10"/>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2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6"/>
              </w:rPr>
              <w:t>627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773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340"/>
              <w:spacing w:after="0"/>
              <w:rPr>
                <w:sz w:val="20"/>
                <w:szCs w:val="20"/>
                <w:color w:val="auto"/>
              </w:rPr>
            </w:pPr>
            <w:r>
              <w:rPr>
                <w:rFonts w:ascii="Times New Roman" w:cs="Times New Roman" w:eastAsia="Times New Roman" w:hAnsi="Times New Roman"/>
                <w:sz w:val="18"/>
                <w:szCs w:val="18"/>
                <w:color w:val="auto"/>
              </w:rPr>
              <w:t>F-29</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tax rate, in accordance with the guidance in ASU 2023-09 which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has elected to retrospectively adopt, is as follows: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(15,563)</w:t>
            </w:r>
          </w:p>
        </w:tc>
        <w:tc>
          <w:tcPr>
            <w:tcW w:w="11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State and local income tax, net of federal income tax effect</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(2,149)</w:t>
            </w: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 border transactions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458</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w:t>
            </w:r>
          </w:p>
        </w:tc>
        <w:tc>
          <w:tcPr>
            <w:tcW w:w="11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17,129</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10,106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w:t>
            </w:r>
          </w:p>
        </w:tc>
        <w:tc>
          <w:tcPr>
            <w:tcW w:w="20" w:type="dxa"/>
            <w:vAlign w:val="bottom"/>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 </w:t>
            </w:r>
          </w:p>
        </w:tc>
        <w:tc>
          <w:tcPr>
            <w:tcW w:w="220" w:type="dxa"/>
            <w:vAlign w:val="bottom"/>
            <w:vMerge w:val="continue"/>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that contributes to the majority (greater than 50%) of the tax effect in this category is Massachusetts.</w:t>
      </w:r>
    </w:p>
    <w:p>
      <w:pPr>
        <w:spacing w:after="0" w:line="225"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federal statutory rate of 21.0% primarily as a result of the valuation allowance maintained against the Company’s U.S. net deferred tax assets.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amounts of cash taxes paid, net of refunds, by Seaport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36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Massachusetts</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Australia</w:t>
            </w:r>
          </w:p>
        </w:tc>
        <w:tc>
          <w:tcPr>
            <w:tcW w:w="5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6"/>
              </w:rPr>
              <w:t>   258</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1"/>
              </w:rPr>
              <w:t xml:space="preserve">   — </w:t>
            </w:r>
          </w:p>
        </w:tc>
        <w:tc>
          <w:tcPr>
            <w:tcW w:w="6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360" w:type="dxa"/>
            <w:vAlign w:val="bottom"/>
          </w:tcPr>
          <w:p>
            <w:pPr>
              <w:spacing w:after="0"/>
              <w:rPr>
                <w:sz w:val="24"/>
                <w:szCs w:val="24"/>
                <w:color w:val="auto"/>
              </w:rPr>
            </w:pPr>
          </w:p>
        </w:tc>
        <w:tc>
          <w:tcPr>
            <w:tcW w:w="59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F-30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 of assets and liabilities for financial reporting and the amounts used for income tax purposes. Significant components of the Company’s deferred tax assets and liabilities were as follows (in thousands):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14,616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1,940</w:t>
            </w:r>
          </w:p>
        </w:tc>
      </w:tr>
      <w:tr>
        <w:trPr>
          <w:trHeight w:val="229"/>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3,674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946</w:t>
            </w:r>
          </w:p>
        </w:tc>
      </w:tr>
      <w:tr>
        <w:trPr>
          <w:trHeight w:val="229"/>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1,360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1,349</w:t>
            </w:r>
          </w:p>
        </w:tc>
      </w:tr>
      <w:tr>
        <w:trPr>
          <w:trHeight w:val="230"/>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1,272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751</w:t>
            </w:r>
          </w:p>
        </w:tc>
      </w:tr>
      <w:tr>
        <w:trPr>
          <w:trHeight w:val="229"/>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9,456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4,505</w:t>
            </w:r>
          </w:p>
        </w:tc>
      </w:tr>
      <w:tr>
        <w:trPr>
          <w:trHeight w:val="229"/>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rPr>
              <w:t>3,397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2,293</w:t>
            </w:r>
          </w:p>
        </w:tc>
      </w:tr>
      <w:tr>
        <w:trPr>
          <w:trHeight w:val="230"/>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20" w:type="dxa"/>
            <w:vAlign w:val="bottom"/>
          </w:tcPr>
          <w:p>
            <w:pPr>
              <w:spacing w:after="0"/>
              <w:rPr>
                <w:sz w:val="19"/>
                <w:szCs w:val="19"/>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— </w:t>
            </w:r>
          </w:p>
        </w:tc>
      </w:tr>
      <w:tr>
        <w:trPr>
          <w:trHeight w:val="229"/>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w w:val="96"/>
              </w:rPr>
              <w:t>(32,506)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6"/>
              </w:rPr>
              <w:t>(10,447)</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lease asset</w:t>
            </w:r>
          </w:p>
        </w:tc>
        <w:tc>
          <w:tcPr>
            <w:tcW w:w="120" w:type="dxa"/>
            <w:vAlign w:val="bottom"/>
          </w:tcPr>
          <w:p>
            <w:pPr>
              <w:spacing w:after="0"/>
              <w:rPr>
                <w:sz w:val="19"/>
                <w:szCs w:val="19"/>
                <w:color w:val="auto"/>
              </w:rPr>
            </w:pPr>
          </w:p>
        </w:tc>
        <w:tc>
          <w:tcPr>
            <w:tcW w:w="88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(1,288)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(1,329)</w:t>
            </w:r>
          </w:p>
        </w:tc>
      </w:tr>
      <w:tr>
        <w:trPr>
          <w:trHeight w:val="229"/>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— </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20"/>
                <w:szCs w:val="20"/>
                <w:color w:val="auto"/>
              </w:rPr>
              <w:t xml:space="preserve">— </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 xml:space="preserve">— </w:t>
            </w:r>
          </w:p>
        </w:tc>
      </w:tr>
      <w:tr>
        <w:trPr>
          <w:trHeight w:val="20"/>
        </w:trPr>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change in its valuation allowance account with respect to deferred tax assets is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21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900" w:type="dxa"/>
            <w:vAlign w:val="bottom"/>
          </w:tcPr>
          <w:p>
            <w:pPr>
              <w:spacing w:after="0"/>
              <w:rPr>
                <w:sz w:val="12"/>
                <w:szCs w:val="12"/>
                <w:color w:val="auto"/>
              </w:rPr>
            </w:pPr>
          </w:p>
        </w:tc>
        <w:tc>
          <w:tcPr>
            <w:tcW w:w="660" w:type="dxa"/>
            <w:vAlign w:val="bottom"/>
            <w:tcBorders>
              <w:top w:val="single" w:sz="8" w:color="auto"/>
            </w:tcBorders>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23"/>
        </w:trPr>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$10,447</w:t>
            </w: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$ 15,850</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22,059</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13,039</w:t>
            </w:r>
          </w:p>
        </w:tc>
      </w:tr>
      <w:tr>
        <w:trPr>
          <w:trHeight w:val="229"/>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— </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(18,442)</w:t>
            </w:r>
          </w:p>
        </w:tc>
      </w:tr>
      <w:tr>
        <w:trPr>
          <w:trHeight w:val="237"/>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32,506</w:t>
            </w:r>
          </w:p>
        </w:tc>
        <w:tc>
          <w:tcPr>
            <w:tcW w:w="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$ 10,447</w:t>
            </w:r>
          </w:p>
        </w:tc>
        <w:tc>
          <w:tcPr>
            <w:tcW w:w="120" w:type="dxa"/>
            <w:vAlign w:val="bottom"/>
          </w:tcPr>
          <w:p>
            <w:pPr>
              <w:spacing w:after="0"/>
              <w:rPr>
                <w:sz w:val="20"/>
                <w:szCs w:val="20"/>
                <w:color w:val="auto"/>
              </w:rPr>
            </w:pPr>
          </w:p>
        </w:tc>
      </w:tr>
      <w:tr>
        <w:trPr>
          <w:trHeight w:val="20"/>
        </w:trPr>
        <w:tc>
          <w:tcPr>
            <w:tcW w:w="8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valuation allowance increased during the year ended December 31, 2025 primarily as a result of the increase to the Company’s taxable loss. The valuation allowance decreased during the year ended December 31, 2024 primarily as a result of the hypothetical tax attributes which are not available for future utilization by the Company as a result of the Transaction, partially offset by U.S. operating losses incurred, research credits generated, and capitalized research and other expenses generated after the Transaction.</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determining the need for a valuation allowance, the Company considers the cumulative income or loss position. The Company has assessed, on a jurisdictional basis, the available means of recovering deferred tax assets, including the ability to carryback net operating losses, or NOLs, the existence of reversing taxable temporary differences, the availability of tax planning strategies, and forecasted future taxable income. At December 31, 2025, the Company maintained a full valuation allowance against its net deferred tax assets, as it has concluded that it is more likely than not that the deferred assets will not be utilized.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U.S. federal NOLs of $53.4 million and $7.2 million, respectively. The U.S. federal NOLs do not expire. As of December 31, 2025 and 2024, the Company had U.S. federal tax credit carryforwards of $2.9 million and $0.7 million, respectively, that begin to expire in 2044.</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$53.7 million and $6.9 million, of state NOLs, respectively. These NOLs were generated in Massachusetts and that begin to expire in 2044. As of December 31, 2025 and 2024, the Company had U.S. state tax credit carryforwards of $1.0 million and $0.3 million, respectively, that begin to expire in 2039.</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U.S. Internal Revenue Code, if a corporation undergoes an ownership change, the corporation’s ability to use its pre-ownership change NOLs and other pre-ownership change tax attributes, such as research tax credits, to offset its post-change income and taxes may be limited. In general, an ownership change will occur if there is a cumulative change in the Company’s ownership by 5% shareholders that exceeds 50 percentage points over a rolling three-year period. Similar rules may apply under U.S. state tax laws. Under the Tax Cuts and Jobs Act of 2017, the use of federal NOLs arising in taxable years beginning after December 31, 2017 is limited to 80% of current year taxable income and NOLs arising in taxable years ending after December 31, 2017 may not be carried back (though any such NOLs may be carried forward indefinitely).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may have experienced an ownership change in the current period and may experience ownership changes in the future as a result of future transactions in its share capital, some of which may be outside of the control of the Company. As a result, if the Company earns net taxable income, its ability to use its pre-ownership change NOLs, or other pre-ownership change tax attributes, to offset U.S. federal and state taxable income and taxes may be subject to significant limitations.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Undistributed earnings of Seaport’s foreign subsidiary are indefinitely invested outside the U.S. The majority of Seaport’s cash flow is generated from domestic operations, and the Company is not dependent on foreign cash or earnings to meet funding requirements, nor does the Company intend to repatriate these undistributed foreign earnings to fund U.S. operations. As a result, the Company has not provided U.S. deferred taxes on these undistributed earnings because it intends that it will remain indefinitely reinvested outside of the U.S. and, therefore unavailable for use in funding U.S. operations. The Company estimates the income taxes that would be payable on the repatriation of the unremitted earnings would not be material.</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Australia. At December 31, 2025, the Company is subject to examination by taxing authorities in the United States and Australia for the years ended December 31, 2025 and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had no tax reserves accrued for uncertain tax positions.</w:t>
      </w:r>
    </w:p>
    <w:p>
      <w:pPr>
        <w:spacing w:after="0" w:line="225"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H.R. 1 was signed into law in the U.S. The legislation has multiple effective dates, with certain provisions effective in 2025 and others implemented through 2027. The bill did not have a material impact on the Company’s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October 2024, the Company entered into an operating lease for office space in Boston, Massachusetts, which commenced in December 2024 and has an initial lease term that continues through October 20, 2030, with no options to extend. In conjunction with entering into the lease, the Company paid a security deposit of $0.2 million in the form of a letter of credit, which is recorded as restricted cash within other non-current assets on the Company’s consolidated balance sheets as of December 31, 2025 and 2024.</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2024, the Company entered into a laboratory license agreement with a third party for lab space located in 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license commenced in January 2025 and is for an initial term of 24 months from the commencement date, with no renewal option.</w:t>
      </w:r>
    </w:p>
    <w:p>
      <w:pPr>
        <w:spacing w:after="0" w:line="207"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Prior to entering into the lease and laboratory license agreement, the Company did not have any leases as it shared office and lab space with PureTech and made payments to PureTech under the TSA. See Note 17—Related Parties for further disclosure of transactions with PureTech.</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contains a summary of the components of lease costs recognized pertaining to the Company’s operating leases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23"/>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1,593</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75</w:t>
            </w:r>
          </w:p>
        </w:tc>
        <w:tc>
          <w:tcPr>
            <w:tcW w:w="80" w:type="dxa"/>
            <w:vAlign w:val="bottom"/>
            <w:shd w:val="clear" w:color="auto" w:fill="CCEEFF"/>
          </w:tcPr>
          <w:p>
            <w:pPr>
              <w:spacing w:after="0"/>
              <w:rPr>
                <w:sz w:val="19"/>
                <w:szCs w:val="19"/>
                <w:color w:val="auto"/>
              </w:rPr>
            </w:pPr>
          </w:p>
        </w:tc>
      </w:tr>
      <w:tr>
        <w:trPr>
          <w:trHeight w:val="237"/>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7"/>
              </w:rPr>
              <w:t>   1,593</w:t>
            </w:r>
          </w:p>
        </w:tc>
        <w:tc>
          <w:tcPr>
            <w:tcW w:w="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3"/>
              </w:rPr>
              <w:t>   75</w:t>
            </w:r>
          </w:p>
        </w:tc>
        <w:tc>
          <w:tcPr>
            <w:tcW w:w="80" w:type="dxa"/>
            <w:vAlign w:val="bottom"/>
          </w:tcPr>
          <w:p>
            <w:pPr>
              <w:spacing w:after="0"/>
              <w:rPr>
                <w:sz w:val="20"/>
                <w:szCs w:val="20"/>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contains a summary of other supplemental lease information pertaining to the Company’s operating lease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0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Lease Information</w:t>
            </w:r>
          </w:p>
        </w:tc>
        <w:tc>
          <w:tcPr>
            <w:tcW w:w="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7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8"/>
        </w:trPr>
        <w:tc>
          <w:tcPr>
            <w:tcW w:w="8020" w:type="dxa"/>
            <w:vAlign w:val="bottom"/>
          </w:tcPr>
          <w:p>
            <w:pPr>
              <w:spacing w:after="0"/>
              <w:rPr>
                <w:sz w:val="18"/>
                <w:szCs w:val="18"/>
                <w:color w:val="auto"/>
              </w:rPr>
            </w:pPr>
          </w:p>
        </w:tc>
        <w:tc>
          <w:tcPr>
            <w:tcW w:w="1860" w:type="dxa"/>
            <w:vAlign w:val="bottom"/>
          </w:tcPr>
          <w:p>
            <w:pPr>
              <w:jc w:val="right"/>
              <w:ind w:right="541"/>
              <w:spacing w:after="0" w:line="207" w:lineRule="exact"/>
              <w:rPr>
                <w:sz w:val="20"/>
                <w:szCs w:val="20"/>
                <w:color w:val="auto"/>
              </w:rPr>
            </w:pPr>
            <w:r>
              <w:rPr>
                <w:rFonts w:ascii="Times New Roman" w:cs="Times New Roman" w:eastAsia="Times New Roman" w:hAnsi="Times New Roman"/>
                <w:sz w:val="20"/>
                <w:szCs w:val="20"/>
                <w:color w:val="auto"/>
              </w:rPr>
              <w:t> </w:t>
            </w:r>
          </w:p>
        </w:tc>
        <w:tc>
          <w:tcPr>
            <w:tcW w:w="1140" w:type="dxa"/>
            <w:vAlign w:val="bottom"/>
          </w:tcPr>
          <w:p>
            <w:pPr>
              <w:spacing w:after="0"/>
              <w:rPr>
                <w:sz w:val="18"/>
                <w:szCs w:val="18"/>
                <w:color w:val="auto"/>
              </w:rPr>
            </w:pPr>
          </w:p>
        </w:tc>
      </w:tr>
      <w:tr>
        <w:trPr>
          <w:trHeight w:val="252"/>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liability—operating leases (in thousands)</w:t>
            </w:r>
          </w:p>
        </w:tc>
        <w:tc>
          <w:tcPr>
            <w:tcW w:w="186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  1,400</w:t>
            </w:r>
          </w:p>
        </w:tc>
        <w:tc>
          <w:tcPr>
            <w:tcW w:w="11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  — </w:t>
            </w:r>
          </w:p>
        </w:tc>
      </w:tr>
      <w:tr>
        <w:trPr>
          <w:trHeight w:val="22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18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20"/>
                <w:szCs w:val="20"/>
                <w:color w:val="auto"/>
              </w:rPr>
              <w:t>4.3</w:t>
            </w:r>
          </w:p>
        </w:tc>
        <w:tc>
          <w:tcPr>
            <w:tcW w:w="11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20"/>
                <w:szCs w:val="20"/>
                <w:color w:val="auto"/>
              </w:rPr>
              <w:t>5.8</w:t>
            </w:r>
          </w:p>
        </w:tc>
      </w:tr>
      <w:tr>
        <w:trPr>
          <w:trHeight w:val="207"/>
        </w:trPr>
        <w:tc>
          <w:tcPr>
            <w:tcW w:w="8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40" w:type="dxa"/>
            <w:vAlign w:val="bottom"/>
          </w:tcPr>
          <w:p>
            <w:pPr>
              <w:jc w:val="right"/>
              <w:ind w:right="281"/>
              <w:spacing w:after="0" w:line="207" w:lineRule="exact"/>
              <w:rPr>
                <w:sz w:val="20"/>
                <w:szCs w:val="20"/>
                <w:color w:val="auto"/>
              </w:rPr>
            </w:pPr>
            <w:r>
              <w:rPr>
                <w:rFonts w:ascii="Times New Roman" w:cs="Times New Roman" w:eastAsia="Times New Roman" w:hAnsi="Times New Roman"/>
                <w:sz w:val="20"/>
                <w:szCs w:val="20"/>
                <w:color w:val="auto"/>
              </w:rPr>
              <w:t> </w:t>
            </w:r>
          </w:p>
        </w:tc>
      </w:tr>
      <w:tr>
        <w:trPr>
          <w:trHeight w:val="25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8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6.53%</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w:t>
            </w:r>
          </w:p>
        </w:tc>
      </w:tr>
    </w:tbl>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future minimum payments under non-cancellable operating leases as of December 31, 2025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Operating</w:t>
            </w:r>
          </w:p>
        </w:tc>
      </w:tr>
      <w:tr>
        <w:trPr>
          <w:trHeight w:val="173"/>
        </w:trPr>
        <w:tc>
          <w:tcPr>
            <w:tcW w:w="360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23"/>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6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$ 1,635</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4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1,100</w:t>
            </w:r>
          </w:p>
        </w:tc>
      </w:tr>
      <w:tr>
        <w:trPr>
          <w:trHeight w:val="23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1,079</w:t>
            </w: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4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1,112</w:t>
            </w:r>
          </w:p>
        </w:tc>
      </w:tr>
      <w:tr>
        <w:trPr>
          <w:trHeight w:val="23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7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918</w:t>
            </w: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6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tcPr>
          <w:p>
            <w:pPr>
              <w:spacing w:after="0"/>
              <w:rPr>
                <w:sz w:val="20"/>
                <w:szCs w:val="20"/>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7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5,844</w:t>
            </w: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66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(763)</w:t>
            </w:r>
          </w:p>
        </w:tc>
      </w:tr>
      <w:tr>
        <w:trPr>
          <w:trHeight w:val="27"/>
        </w:trPr>
        <w:tc>
          <w:tcPr>
            <w:tcW w:w="36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7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$ 5,081</w:t>
            </w:r>
          </w:p>
        </w:tc>
      </w:tr>
      <w:tr>
        <w:trPr>
          <w:trHeight w:val="20"/>
        </w:trPr>
        <w:tc>
          <w:tcPr>
            <w:tcW w:w="36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7420" w:type="dxa"/>
            <w:vAlign w:val="bottom"/>
            <w:gridSpan w:val="3"/>
          </w:tcPr>
          <w:p>
            <w:pPr>
              <w:jc w:val="right"/>
              <w:ind w:right="5340"/>
              <w:spacing w:after="0"/>
              <w:rPr>
                <w:sz w:val="20"/>
                <w:szCs w:val="20"/>
                <w:color w:val="auto"/>
              </w:rPr>
            </w:pPr>
            <w:r>
              <w:rPr>
                <w:rFonts w:ascii="Times New Roman" w:cs="Times New Roman" w:eastAsia="Times New Roman" w:hAnsi="Times New Roman"/>
                <w:sz w:val="18"/>
                <w:szCs w:val="18"/>
                <w:color w:val="auto"/>
              </w:rPr>
              <w:t>F-33</w:t>
            </w:r>
          </w:p>
        </w:tc>
      </w:tr>
    </w:tbl>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7280" w:hanging="444"/>
        <w:spacing w:after="0" w:line="377" w:lineRule="auto"/>
        <w:tabs>
          <w:tab w:leader="none" w:pos="38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Legal Matters</w:t>
      </w:r>
    </w:p>
    <w:p>
      <w:pPr>
        <w:spacing w:after="0" w:line="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involved with lawsuits arising in the ordinary course of business. The Company is not involved in any pending legal proceedings that it believes could have a material adverse effect on its financial condition, results of operations, or cash flows.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is obligated to make fixed and contingent payments under the Asset Transfer Agreement and Monash License Agreement. See Note 1—Nature of Business and Basis of Presentation, for further disclosure of the Asset Transfer Agreement and see Note 8—Monash License Agreement, for further disclosure of the Monash license agreement.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The Company has a defined-contribution savings plan under Section 401(k) of the IRC (the “401(k) Plan”). The 401(k) Plan covers all employees who meet defined minimum age and service requirements and allows participants to defer a portion of their annual compensation on a pretax basis. The Company will make a contribution of 3% of each employee’s annual compensation up to annual safe harbor limits. The Company has expensed</w:t>
      </w:r>
    </w:p>
    <w:p>
      <w:pPr>
        <w:spacing w:after="0" w:line="2"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$0.4 million and $0.1 million in 401(k) contributions for the years ended December 31, 2025 and 2024, respectively. The Company participated in the PureTech defined-contribution plan through July 2025. Beginning in August 2025, the Company implemented its own defined-contribution plan for eligible employees.</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13—Leases, for information related to the Company’s lease obligations.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SEGMENTS</w:t>
      </w:r>
    </w:p>
    <w:p>
      <w:pPr>
        <w:spacing w:after="0" w:line="121" w:lineRule="exact"/>
        <w:rPr>
          <w:sz w:val="20"/>
          <w:szCs w:val="20"/>
          <w:color w:val="auto"/>
        </w:rPr>
      </w:pPr>
    </w:p>
    <w:p>
      <w:pPr>
        <w:ind w:left="120" w:right="500" w:firstLine="440"/>
        <w:spacing w:after="0" w:line="275" w:lineRule="auto"/>
        <w:rPr>
          <w:sz w:val="20"/>
          <w:szCs w:val="20"/>
          <w:color w:val="auto"/>
        </w:rPr>
      </w:pPr>
      <w:r>
        <w:rPr>
          <w:rFonts w:ascii="Times New Roman" w:cs="Times New Roman" w:eastAsia="Times New Roman" w:hAnsi="Times New Roman"/>
          <w:sz w:val="18"/>
          <w:szCs w:val="18"/>
          <w:color w:val="auto"/>
        </w:rPr>
        <w:t>The Company has one operating and reportable segment focused on inventing and developing novel medicines for patients with depression, anxiety, and other debilitating neuropsychiatric disorders using the Company’s proprietary Glyph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CODM manages the Company’s operations on a consolidated basis, and assesses performance based on consolidated net loss that is reported on the consolidated statements of operations and comprehensive loss. The CODM makes decisions about allocating resources and assessing performance for the entire company. The measure of segment assets is reported on the consolidated balance sheet as total consolidated assets.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certain significant segment expenses that are regularly provided to the CODM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Borders>
              <w:bottom w:val="single" w:sz="8" w:color="CCEEFF"/>
            </w:tcBorders>
          </w:tcPr>
          <w:p>
            <w:pPr>
              <w:spacing w:after="0"/>
              <w:rPr>
                <w:sz w:val="12"/>
                <w:szCs w:val="12"/>
                <w:color w:val="auto"/>
              </w:rPr>
            </w:pPr>
          </w:p>
        </w:tc>
        <w:tc>
          <w:tcPr>
            <w:tcW w:w="7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9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GlyphAllo direct research and development expenses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25,858</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7,396</w:t>
            </w:r>
          </w:p>
        </w:tc>
      </w:tr>
      <w:tr>
        <w:trPr>
          <w:trHeight w:val="216"/>
        </w:trPr>
        <w:tc>
          <w:tcPr>
            <w:tcW w:w="9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GlyphAgo direct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5,204</w:t>
            </w:r>
          </w:p>
        </w:tc>
      </w:tr>
      <w:tr>
        <w:trPr>
          <w:trHeight w:val="216"/>
        </w:trPr>
        <w:tc>
          <w:tcPr>
            <w:tcW w:w="9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Glyph2BLSD direct 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Preclinical and early discovery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5,903</w:t>
            </w:r>
          </w:p>
        </w:tc>
      </w:tr>
      <w:tr>
        <w:trPr>
          <w:trHeight w:val="198"/>
        </w:trPr>
        <w:tc>
          <w:tcPr>
            <w:tcW w:w="90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Personnel-related (including stock-based compensation expense of $2.3 million and $0.7 million for 2025 and 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14,829</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5,699</w:t>
            </w:r>
          </w:p>
        </w:tc>
      </w:tr>
      <w:tr>
        <w:trPr>
          <w:trHeight w:val="216"/>
        </w:trPr>
        <w:tc>
          <w:tcPr>
            <w:tcW w:w="9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indirect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r>
      <w:tr>
        <w:trPr>
          <w:trHeight w:val="230"/>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25,070</w:t>
            </w:r>
          </w:p>
        </w:tc>
        <w:tc>
          <w:tcPr>
            <w:tcW w:w="120" w:type="dxa"/>
            <w:vAlign w:val="bottom"/>
          </w:tcPr>
          <w:p>
            <w:pPr>
              <w:spacing w:after="0"/>
              <w:rPr>
                <w:sz w:val="20"/>
                <w:szCs w:val="20"/>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0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Personnel-related (including stock-based compensation expense of $4.6 million and $15.2 million for 2025 and 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12,800</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20,661</w:t>
            </w:r>
          </w:p>
        </w:tc>
      </w:tr>
      <w:tr>
        <w:trPr>
          <w:trHeight w:val="216"/>
        </w:trPr>
        <w:tc>
          <w:tcPr>
            <w:tcW w:w="9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6,685</w:t>
            </w:r>
          </w:p>
        </w:tc>
      </w:tr>
      <w:tr>
        <w:trPr>
          <w:trHeight w:val="230"/>
        </w:trPr>
        <w:tc>
          <w:tcPr>
            <w:tcW w:w="90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Total general and administrative expenses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120" w:type="dxa"/>
            <w:vAlign w:val="bottom"/>
          </w:tcPr>
          <w:p>
            <w:pPr>
              <w:spacing w:after="0"/>
              <w:rPr>
                <w:sz w:val="20"/>
                <w:szCs w:val="20"/>
                <w:color w:val="auto"/>
              </w:rPr>
            </w:pPr>
          </w:p>
        </w:tc>
      </w:tr>
      <w:tr>
        <w:trPr>
          <w:trHeight w:val="216"/>
        </w:trPr>
        <w:tc>
          <w:tcPr>
            <w:tcW w:w="9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(12,413)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(5,537)</w:t>
            </w:r>
          </w:p>
        </w:tc>
      </w:tr>
      <w:tr>
        <w:trPr>
          <w:trHeight w:val="22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ind w:left="540" w:hanging="424"/>
        <w:spacing w:after="0" w:line="198" w:lineRule="auto"/>
        <w:tabs>
          <w:tab w:leader="none" w:pos="540" w:val="left"/>
        </w:tabs>
        <w:numPr>
          <w:ilvl w:val="0"/>
          <w:numId w:val="14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general and administrative expenses include professional fees, facilities, depreciation, IT, and other expenses.</w:t>
      </w:r>
    </w:p>
    <w:p>
      <w:pPr>
        <w:spacing w:after="0" w:line="2" w:lineRule="exact"/>
        <w:rPr>
          <w:rFonts w:ascii="Times New Roman" w:cs="Times New Roman" w:eastAsia="Times New Roman" w:hAnsi="Times New Roman"/>
          <w:sz w:val="27"/>
          <w:szCs w:val="27"/>
          <w:color w:val="auto"/>
          <w:vertAlign w:val="superscript"/>
        </w:rPr>
      </w:pPr>
    </w:p>
    <w:p>
      <w:pPr>
        <w:ind w:left="540" w:hanging="424"/>
        <w:spacing w:after="0" w:line="186" w:lineRule="auto"/>
        <w:tabs>
          <w:tab w:leader="none" w:pos="540" w:val="left"/>
        </w:tabs>
        <w:numPr>
          <w:ilvl w:val="0"/>
          <w:numId w:val="1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Other segment items include interest income, net, research and development tax credit, income tax provision, and other (expense), net.</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Upon the Company’s formation on April 1, 2024, the Company issued 318 shares of its common stock to PureTech and on April 8, 2024, the effective date of the Asset Transfer, an additional 302,161 shares of its common stock were issued to PureTech. The aggregate 302,479 shares were considered outstanding for the full year and the Exchange Shares were considered outstanding based on their issuance or vesting dates, as applicable, in the calculation of basic and diluted earnings per share for the year ended December 31, 2024, as the formation, Asset Transfer and Exchange Shares were deemed to be common control transactions. There were no shares of the Company outstanding prior to the Company’s formation and the Asset Transfer Date.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two-class method, basic net loss per share is calculated by dividing the net loss attributable to common stockholders by the weighted average number of shares of common stock outstanding during the period, without consideration for potentially dilutive securities. The net loss available to common stockholders was not allocated to the Preferred Stock as the holders did not have a contractual obligation to share in losses. Diluted net loss per share is the same as basic net loss per share for the years presented since the effects of any potentially dilutive securities, would be antidilutive given the net loss of the Company.</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(in thousands except share and per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5"/>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(74,881</w:t>
            </w:r>
          </w:p>
        </w:tc>
        <w:tc>
          <w:tcPr>
            <w:tcW w:w="4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44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w w:val="97"/>
              </w:rPr>
              <w:t>2,373,985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942,953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accounting purposes, the computation of basic and diluted weighted-average common shares outstanding for the years ended December 31,</w:t>
      </w:r>
    </w:p>
    <w:p>
      <w:pPr>
        <w:spacing w:after="0" w:line="27"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2025 and 2024, excludes all shares of unvested restricted common stock as such shares are not considered outstanding. See Note 11—Stock-Based Compensation, for more information.</w:t>
      </w:r>
    </w:p>
    <w:p>
      <w:pPr>
        <w:spacing w:after="0" w:line="18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5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Borders>
              <w:bottom w:val="single" w:sz="8" w:color="CCEEFF"/>
            </w:tcBorders>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223"/>
        </w:trPr>
        <w:tc>
          <w:tcPr>
            <w:tcW w:w="84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 xml:space="preserve">Stock options to purchase common stock </w:t>
            </w:r>
            <w:r>
              <w:rPr>
                <w:rFonts w:ascii="Times New Roman" w:cs="Times New Roman" w:eastAsia="Times New Roman" w:hAnsi="Times New Roman"/>
                <w:sz w:val="25"/>
                <w:szCs w:val="25"/>
                <w:color w:val="auto"/>
                <w:vertAlign w:val="superscript"/>
              </w:rPr>
              <w:t>(1)</w:t>
            </w:r>
          </w:p>
        </w:tc>
        <w:tc>
          <w:tcPr>
            <w:tcW w:w="11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8,569,619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7,812,207</w:t>
            </w:r>
          </w:p>
        </w:tc>
        <w:tc>
          <w:tcPr>
            <w:tcW w:w="80" w:type="dxa"/>
            <w:vAlign w:val="bottom"/>
            <w:shd w:val="clear" w:color="auto" w:fill="CCEEFF"/>
          </w:tcPr>
          <w:p>
            <w:pPr>
              <w:spacing w:after="0"/>
              <w:rPr>
                <w:sz w:val="19"/>
                <w:szCs w:val="19"/>
                <w:color w:val="auto"/>
              </w:rPr>
            </w:pPr>
          </w:p>
        </w:tc>
      </w:tr>
      <w:tr>
        <w:trPr>
          <w:trHeight w:val="229"/>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154,778</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287,444</w:t>
            </w:r>
          </w:p>
        </w:tc>
      </w:tr>
      <w:tr>
        <w:trPr>
          <w:trHeight w:val="229"/>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 (as converted to common stock)</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12,736,014</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12,736,014</w:t>
            </w:r>
          </w:p>
        </w:tc>
      </w:tr>
      <w:tr>
        <w:trPr>
          <w:trHeight w:val="23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 Preferred Stock (as converted to common stock)</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8,387,331</w:t>
            </w: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8,387,331</w:t>
            </w:r>
          </w:p>
        </w:tc>
      </w:tr>
      <w:tr>
        <w:trPr>
          <w:trHeight w:val="229"/>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Stock (as converted to common stock)</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15,149,130</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15,149,130</w:t>
            </w:r>
          </w:p>
        </w:tc>
      </w:tr>
      <w:tr>
        <w:trPr>
          <w:trHeight w:val="237"/>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44,996,872</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44,372,126</w:t>
            </w:r>
          </w:p>
        </w:tc>
        <w:tc>
          <w:tcPr>
            <w:tcW w:w="80" w:type="dxa"/>
            <w:vAlign w:val="bottom"/>
          </w:tcPr>
          <w:p>
            <w:pPr>
              <w:spacing w:after="0"/>
              <w:rPr>
                <w:sz w:val="20"/>
                <w:szCs w:val="20"/>
                <w:color w:val="auto"/>
              </w:rPr>
            </w:pP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2" w:lineRule="exact"/>
        <w:rPr>
          <w:sz w:val="20"/>
          <w:szCs w:val="20"/>
          <w:color w:val="auto"/>
        </w:rPr>
      </w:pPr>
    </w:p>
    <w:p>
      <w:pPr>
        <w:ind w:left="540" w:right="140" w:hanging="424"/>
        <w:spacing w:after="0" w:line="282" w:lineRule="auto"/>
        <w:tabs>
          <w:tab w:leader="none" w:pos="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above excludes the performance-based options, as they were not yet been deemed granted from an accounting perspective. See Note 11 —Stock-Based Compensation,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RELATED PARTIES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there was $5.5 million of corporate expense allocations from PureTech Health plc prior to the Transaction and $14.2 million of expenses incurred pursuant to the TSA after the Asset Transfer Date.</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Prior to the Transaction, the Company historically operated as part of PureTech and not as a separate entity. Accordingly, for the period prior to the Transaction, certain corporate expenses represent shared costs of PureTech that were allocated to the Company based on a systematic and rational methodology and are reflected as expenses in these consolidated financial statements. These amounts include, but are not limited to, items such as payroll, general management and executive oversight, costs to support Seaport’s information technology infrastructure, facilities, compliance, human resources, legal, and finance functions, risk management, and stock-based compensation, all of which supported the operations of PureTech as a whole. Corporate expense and shared cost allocations are generally allocated to the Company based on proportional cost allocation methods using headcount or proportional time worked supporting the Seaport Business and other organizational activities, as applicable, which were considered to be reasonable reflections of the utilization of services provided or benefit received by the Company during the periods presented prior to the Transaction. Total corporate expense allocations were $1.7 million in research and development and $3.8 million in general and administrative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expenses during the year ended December 31, 2024. Net transfers from PureTech Health plc within financing activities in the consolidated statements of cash flows and the consolidated statements of convertible preferred stock and stockholders’ deficit consist of the following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tcPr>
          <w:p>
            <w:pPr>
              <w:spacing w:after="0"/>
              <w:rPr>
                <w:sz w:val="13"/>
                <w:szCs w:val="13"/>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1012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0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23"/>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cost allocations from PureTech</w:t>
            </w:r>
          </w:p>
        </w:tc>
        <w:tc>
          <w:tcPr>
            <w:tcW w:w="1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5,459</w:t>
            </w:r>
          </w:p>
        </w:tc>
        <w:tc>
          <w:tcPr>
            <w:tcW w:w="60" w:type="dxa"/>
            <w:vAlign w:val="bottom"/>
            <w:shd w:val="clear" w:color="auto" w:fill="CCEEFF"/>
          </w:tcPr>
          <w:p>
            <w:pPr>
              <w:spacing w:after="0"/>
              <w:rPr>
                <w:sz w:val="19"/>
                <w:szCs w:val="19"/>
                <w:color w:val="auto"/>
              </w:rPr>
            </w:pPr>
          </w:p>
        </w:tc>
      </w:tr>
      <w:tr>
        <w:trPr>
          <w:trHeight w:val="237"/>
        </w:trPr>
        <w:tc>
          <w:tcPr>
            <w:tcW w:w="10120" w:type="dxa"/>
            <w:vAlign w:val="bottom"/>
          </w:tcPr>
          <w:p>
            <w:pPr>
              <w:spacing w:after="0"/>
              <w:rPr>
                <w:sz w:val="20"/>
                <w:szCs w:val="20"/>
                <w:color w:val="auto"/>
              </w:rPr>
            </w:pPr>
            <w:r>
              <w:rPr>
                <w:rFonts w:ascii="Times New Roman" w:cs="Times New Roman" w:eastAsia="Times New Roman" w:hAnsi="Times New Roman"/>
                <w:sz w:val="18"/>
                <w:szCs w:val="18"/>
                <w:color w:val="auto"/>
              </w:rPr>
              <w:t>General finance activities</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8,508</w:t>
            </w:r>
          </w:p>
        </w:tc>
        <w:tc>
          <w:tcPr>
            <w:tcW w:w="60" w:type="dxa"/>
            <w:vAlign w:val="bottom"/>
          </w:tcPr>
          <w:p>
            <w:pPr>
              <w:spacing w:after="0"/>
              <w:rPr>
                <w:sz w:val="20"/>
                <w:szCs w:val="20"/>
                <w:color w:val="auto"/>
              </w:rPr>
            </w:pPr>
          </w:p>
        </w:tc>
      </w:tr>
      <w:tr>
        <w:trPr>
          <w:trHeight w:val="229"/>
        </w:trPr>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PureTech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13,967</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disclosed in Note 1—Nature of Business and Basis of Presentation, the Company entered into the Asset Transfer Agreement with PureTech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issued 40,000,000 shares of its Series A-1 Preferred Stock to PureTech LYT. In connection with entering into the Asset Transfer Agreement,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entered into the TSA with PureTech, under which the Company made an up-front payment of $0.5 million to reimburse PureTech for work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performed by certain third-parties prior to the closing of the Asset Transfer Agreement to advance the Company’s programs and activities. During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ended December 31, 2025, the Company incurred $0.4 million of expenses from PureTech under the TSA of which $0.3 million related to research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development and $0.1 million related to general and administrative expenses. During the year ended December 31, 2024, the Company incurred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$14.2 million of expenses from PureTech under the TSA of which $12.4 million related to research and development and $1.8 million related to general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administrative expenses.</w:t>
      </w:r>
    </w:p>
    <w:p>
      <w:pPr>
        <w:spacing w:after="0" w:line="20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April 2024, as part of its Series A-2 Financing, the Company issued and sold 8,421,052 shares of its Series A-2 Preferred Stock to PureTech LYT, at a purchase price of $3.80 per share for gross aggregate proceeds of $32.0 million. Subsequent to the Series A-2 financing, PureTech LYT remained the controlling investor of the Company.</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October 2024, as part of its Series B Financing, the Company issued and sold an aggregate 3,031,578 and 494,734 shares of its Series B Preferred Stock to PureTech LYT and to certain of the Company’s management and board of directors, respectively, at a purchase price of $4.75 per share, for gross aggregate proceeds of $14.4 million and $2.3 million, respectively. Subsequent to the Series B Financing, PureTech LYT was no longer a controlling investor of the Company.</w:t>
      </w:r>
    </w:p>
    <w:p>
      <w:pPr>
        <w:spacing w:after="0" w:line="180"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2024 the Company paid $0.2 million, to Third Rock Ventures for professional fees. Such amounts were included in general and administrative expenses. During the year ended December 31, 2025, amounts paid to Third Rock Ventures were not material.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27, 2026, the date these consolidated financial statements were available to be issued, and, only with respect to the reverse stock split, through April 27, 2026, the date the consolidated financial statements were available to be reissued.</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January and February 2026, the Company granted 962,655 stock options, under the 2024 Plan, at an exercise price of $10.31 to the Company’s board of directors and employees, which vest over a one year and four-year period, respectively. The aggregate grant date fair value of these stock options granted by the Company was determined to be approximately $7.6 million.</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Seaport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April 24, 2026, the Company effected a 1-for-3.1407 reverse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consolidated financial statements and notes thereto have been adjusted retroactively, where applicable, to reflect this reverse stock split and adjustment of the preferred stock conversion ratios.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Events Subsequent to Original Issuance of Financial Statements (Unaudited)</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financial statements, the Company has evaluated subsequent events through April 27, 2026, the date the financial statements were available to be reissued.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Stock Option Plan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On April 7, 2026, the Company’s board of directors adopted, and its stockholders approved on April 23, 2026, the Company’s 2026 Stock Option and Incentive Plan (the “2026 Plan”). The Company expects to grant stock options and other equity awards under the 2026 Plan. The Company initially reserved 6,020,000 shares of its common stock for the issuance of awards under the 2026 Plan. The 2026 Plan provides that the number of shares reserved and available for issuance under the 2026 Plan will automatically increase on January 1, 2027 and each January thereafter during the term of the 2026 Plan, by 5% of the outstanding number of shares of its common stock and pre-funded warrants, if any, on the immediately preceding December 31 or such lesser number of shares as determined by the Company’s compensation committee. The number of shares reserved for issuance under the 2026 Plan will be subject to adjustment in the event of a stock split, stock dividend, or other change in the Company’s capitalization.</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under the 2026 Plan and the 2024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2026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Employee Stock Purchase Plan</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 April 7, 2026, the Company’s board of directors adopted, and its stockholders approved on April 23, 2026, the 2026 Employee Stock Purchase Plan (the “ESPP”). A total of 510,000 shares of common stock were initially reserved for issuance under the ESPP. The ESPP provides that the number of shares reserved and available for issuance will automatically increase on January 1, 2027 and each January 1 thereafter through January 1, 2036, by the least of (i) 1% of the outstanding number of shares of common stock and pre-funded warrants, if any, on the immediately preceding December 31,</w:t>
      </w:r>
    </w:p>
    <w:p>
      <w:pPr>
        <w:spacing w:after="0" w:line="3" w:lineRule="exact"/>
        <w:rPr>
          <w:sz w:val="20"/>
          <w:szCs w:val="20"/>
          <w:color w:val="auto"/>
        </w:rPr>
      </w:pPr>
    </w:p>
    <w:p>
      <w:pPr>
        <w:ind w:left="120" w:right="440" w:hanging="4"/>
        <w:spacing w:after="0" w:line="255" w:lineRule="auto"/>
        <w:tabs>
          <w:tab w:leader="none" w:pos="3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or (iii) such lesser number of shares of common stock as determined by the administrator of the ESPP. The number of shares reserved under the ESPP is subject to adjustment in the event of a stock split, stock dividend or other change in the Company’s capitalization.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Certificate of Incorporation</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April 7, 2026, the Company’s board of directors adopted, and its stockholders approved on April 23, 2026, the amended and stated certificate of incorporation, which, among other things, increased the number of shares of common stock authorized for issuance from 159,070,000 to 700,000,000 shares of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00"/>
          </w:cols>
          <w:pgMar w:left="320" w:top="455" w:right="4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0"/>
          </w:cols>
          <w:pgMar w:left="320" w:top="45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5"/>
          <w:szCs w:val="25"/>
          <w:b w:val="1"/>
          <w:bCs w:val="1"/>
          <w:color w:val="auto"/>
        </w:rPr>
        <w:t>14,160,000 Shares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43"/>
          <w:szCs w:val="43"/>
          <w:b w:val="1"/>
          <w:bCs w:val="1"/>
          <w:color w:val="auto"/>
        </w:rPr>
        <w:t>Seaport Therapeutics, Inc.</w:t>
      </w:r>
    </w:p>
    <w:p>
      <w:pPr>
        <w:spacing w:after="0" w:line="2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564515</wp:posOffset>
            </wp:positionV>
            <wp:extent cx="1474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1901825</wp:posOffset>
            </wp:positionV>
            <wp:extent cx="1474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753110</wp:posOffset>
            </wp:positionV>
            <wp:extent cx="2451735" cy="925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4517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9"/>
          <w:szCs w:val="29"/>
          <w:b w:val="1"/>
          <w:bCs w:val="1"/>
          <w:color w:val="auto"/>
        </w:rPr>
        <w:t>Goldman Sachs &amp; Co. LLC</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9"/>
          <w:szCs w:val="29"/>
          <w:b w:val="1"/>
          <w:bCs w:val="1"/>
          <w:color w:val="auto"/>
        </w:rPr>
        <w:t>Leerink Partners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9"/>
          <w:szCs w:val="29"/>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Through and including May 25, 2026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462915</wp:posOffset>
            </wp:positionV>
            <wp:extent cx="6995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505460</wp:posOffset>
            </wp:positionV>
            <wp:extent cx="6995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0760"/>
      </w:cols>
      <w:pgMar w:left="320" w:top="455" w:right="8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94764"/>
    <w:multiLevelType w:val="hybridMultilevel"/>
    <w:lvl w:ilvl="0">
      <w:lvlJc w:val="left"/>
      <w:lvlText w:val="(%1)"/>
      <w:numFmt w:val="decimal"/>
      <w:start w:val="1"/>
    </w:lvl>
  </w:abstractNum>
  <w:abstractNum w:abstractNumId="1">
    <w:nsid w:val="42C296BD"/>
    <w:multiLevelType w:val="hybridMultilevel"/>
    <w:lvl w:ilvl="0">
      <w:lvlJc w:val="left"/>
      <w:lvlText w:val="1"/>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
      <w:numFmt w:val="bullet"/>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1)"/>
      <w:numFmt w:val="decimal"/>
      <w:start w:val="1"/>
    </w:lvl>
  </w:abstractNum>
  <w:abstractNum w:abstractNumId="12">
    <w:nsid w:val="42963E5A"/>
    <w:multiLevelType w:val="hybridMultilevel"/>
    <w:lvl w:ilvl="0">
      <w:lvlJc w:val="left"/>
      <w:lvlText w:val="(%1)"/>
      <w:numFmt w:val="decimal"/>
      <w:start w:val="2"/>
    </w:lvl>
  </w:abstractNum>
  <w:abstractNum w:abstractNumId="13">
    <w:nsid w:val="A0382C5"/>
    <w:multiLevelType w:val="hybridMultilevel"/>
    <w:lvl w:ilvl="0">
      <w:lvlJc w:val="left"/>
      <w:lvlText w:val="(%1)"/>
      <w:numFmt w:val="decimal"/>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
      <w:numFmt w:val="bullet"/>
      <w:start w:val="1"/>
    </w:lvl>
  </w:abstractNum>
  <w:abstractNum w:abstractNumId="31">
    <w:nsid w:val="76272110"/>
    <w:multiLevelType w:val="hybridMultilevel"/>
    <w:lvl w:ilvl="0">
      <w:lvlJc w:val="left"/>
      <w:lvlText w:val="•"/>
      <w:numFmt w:val="bullet"/>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
      <w:numFmt w:val="bullet"/>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
      <w:numFmt w:val="bullet"/>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1"/>
      <w:numFmt w:val="upperLetter"/>
      <w:start w:val="35"/>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decimal"/>
      <w:start w:val="4"/>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
      <w:numFmt w:val="bullet"/>
      <w:start w:val="1"/>
    </w:lvl>
  </w:abstractNum>
  <w:abstractNum w:abstractNumId="48">
    <w:nsid w:val="49DA307D"/>
    <w:multiLevelType w:val="hybridMultilevel"/>
    <w:lvl w:ilvl="0">
      <w:lvlJc w:val="left"/>
      <w:lvlText w:val="•"/>
      <w:numFmt w:val="bullet"/>
      <w:start w:val="1"/>
    </w:lvl>
  </w:abstractNum>
  <w:abstractNum w:abstractNumId="49">
    <w:nsid w:val="7055A5F5"/>
    <w:multiLevelType w:val="hybridMultilevel"/>
    <w:lvl w:ilvl="0">
      <w:lvlJc w:val="left"/>
      <w:lvlText w:val="•"/>
      <w:numFmt w:val="bullet"/>
      <w:start w:val="1"/>
    </w:lvl>
  </w:abstractNum>
  <w:abstractNum w:abstractNumId="50">
    <w:nsid w:val="5FB8370B"/>
    <w:multiLevelType w:val="hybridMultilevel"/>
    <w:lvl w:ilvl="0">
      <w:lvlJc w:val="left"/>
      <w:lvlText w:val="•"/>
      <w:numFmt w:val="bullet"/>
      <w:start w:val="1"/>
    </w:lvl>
  </w:abstractNum>
  <w:abstractNum w:abstractNumId="51">
    <w:nsid w:val="50801EE1"/>
    <w:multiLevelType w:val="hybridMultilevel"/>
    <w:lvl w:ilvl="0">
      <w:lvlJc w:val="left"/>
      <w:lvlText w:val="•"/>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
      <w:numFmt w:val="bullet"/>
      <w:start w:val="1"/>
    </w:lvl>
  </w:abstractNum>
  <w:abstractNum w:abstractNumId="60">
    <w:nsid w:val="73A1821B"/>
    <w:multiLevelType w:val="hybridMultilevel"/>
    <w:lvl w:ilvl="0">
      <w:lvlJc w:val="left"/>
      <w:lvlText w:val="•"/>
      <w:numFmt w:val="bullet"/>
      <w:start w:val="1"/>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
      <w:numFmt w:val="bullet"/>
      <w:start w:val="1"/>
    </w:lvl>
  </w:abstractNum>
  <w:abstractNum w:abstractNumId="66">
    <w:nsid w:val="71C91298"/>
    <w:multiLevelType w:val="hybridMultilevel"/>
    <w:lvl w:ilvl="0">
      <w:lvlJc w:val="left"/>
      <w:lvlText w:val="•"/>
      <w:numFmt w:val="bullet"/>
      <w:start w:val="1"/>
    </w:lvl>
  </w:abstractNum>
  <w:abstractNum w:abstractNumId="67">
    <w:nsid w:val="9DAF632"/>
    <w:multiLevelType w:val="hybridMultilevel"/>
    <w:lvl w:ilvl="0">
      <w:lvlJc w:val="left"/>
      <w:lvlText w:val="•"/>
      <w:numFmt w:val="bullet"/>
      <w:start w:val="1"/>
    </w:lvl>
  </w:abstractNum>
  <w:abstractNum w:abstractNumId="68">
    <w:nsid w:val="53299938"/>
    <w:multiLevelType w:val="hybridMultilevel"/>
    <w:lvl w:ilvl="0">
      <w:lvlJc w:val="left"/>
      <w:lvlText w:val="•"/>
      <w:numFmt w:val="bullet"/>
      <w:start w:val="1"/>
    </w:lvl>
  </w:abstractNum>
  <w:abstractNum w:abstractNumId="69">
    <w:nsid w:val="1FBFE8E0"/>
    <w:multiLevelType w:val="hybridMultilevel"/>
    <w:lvl w:ilvl="0">
      <w:lvlJc w:val="left"/>
      <w:lvlText w:val="•"/>
      <w:numFmt w:val="bullet"/>
      <w:start w:val="1"/>
    </w:lvl>
  </w:abstractNum>
  <w:abstractNum w:abstractNumId="70">
    <w:nsid w:val="5092CA79"/>
    <w:multiLevelType w:val="hybridMultilevel"/>
    <w:lvl w:ilvl="0">
      <w:lvlJc w:val="left"/>
      <w:lvlText w:val="•"/>
      <w:numFmt w:val="bullet"/>
      <w:start w:val="1"/>
    </w:lvl>
  </w:abstractNum>
  <w:abstractNum w:abstractNumId="71">
    <w:nsid w:val="1D545C4D"/>
    <w:multiLevelType w:val="hybridMultilevel"/>
    <w:lvl w:ilvl="0">
      <w:lvlJc w:val="left"/>
      <w:lvlText w:val="•"/>
      <w:numFmt w:val="bullet"/>
      <w:start w:val="1"/>
    </w:lvl>
  </w:abstractNum>
  <w:abstractNum w:abstractNumId="72">
    <w:nsid w:val="59ADEA3D"/>
    <w:multiLevelType w:val="hybridMultilevel"/>
    <w:lvl w:ilvl="0">
      <w:lvlJc w:val="left"/>
      <w:lvlText w:val="(%1)"/>
      <w:numFmt w:val="decimal"/>
      <w:start w:val="1"/>
    </w:lvl>
  </w:abstractNum>
  <w:abstractNum w:abstractNumId="73">
    <w:nsid w:val="288F1A34"/>
    <w:multiLevelType w:val="hybridMultilevel"/>
    <w:lvl w:ilvl="0">
      <w:lvlJc w:val="left"/>
      <w:lvlText w:val="•"/>
      <w:numFmt w:val="bullet"/>
      <w:start w:val="1"/>
    </w:lvl>
  </w:abstractNum>
  <w:abstractNum w:abstractNumId="74">
    <w:nsid w:val="2A155DBC"/>
    <w:multiLevelType w:val="hybridMultilevel"/>
    <w:lvl w:ilvl="0">
      <w:lvlJc w:val="left"/>
      <w:lvlText w:val="•"/>
      <w:numFmt w:val="bullet"/>
      <w:start w:val="1"/>
    </w:lvl>
  </w:abstractNum>
  <w:abstractNum w:abstractNumId="75">
    <w:nsid w:val="1D9F6E5F"/>
    <w:multiLevelType w:val="hybridMultilevel"/>
    <w:lvl w:ilvl="0">
      <w:lvlJc w:val="left"/>
      <w:lvlText w:val="(%1)"/>
      <w:numFmt w:val="lowerRoman"/>
      <w:start w:val="2"/>
    </w:lvl>
  </w:abstractNum>
  <w:abstractNum w:abstractNumId="76">
    <w:nsid w:val="97E1B4E"/>
    <w:multiLevelType w:val="hybridMultilevel"/>
    <w:lvl w:ilvl="0">
      <w:lvlJc w:val="left"/>
      <w:lvlText w:val="•"/>
      <w:numFmt w:val="bullet"/>
      <w:start w:val="1"/>
    </w:lvl>
  </w:abstractNum>
  <w:abstractNum w:abstractNumId="77">
    <w:nsid w:val="51088277"/>
    <w:multiLevelType w:val="hybridMultilevel"/>
    <w:lvl w:ilvl="0">
      <w:lvlJc w:val="left"/>
      <w:lvlText w:val="•"/>
      <w:numFmt w:val="bullet"/>
      <w:start w:val="1"/>
    </w:lvl>
  </w:abstractNum>
  <w:abstractNum w:abstractNumId="78">
    <w:nsid w:val="1CA0C5FA"/>
    <w:multiLevelType w:val="hybridMultilevel"/>
    <w:lvl w:ilvl="0">
      <w:lvlJc w:val="left"/>
      <w:lvlText w:val="•"/>
      <w:numFmt w:val="bullet"/>
      <w:start w:val="1"/>
    </w:lvl>
  </w:abstractNum>
  <w:abstractNum w:abstractNumId="79">
    <w:nsid w:val="53584BCB"/>
    <w:multiLevelType w:val="hybridMultilevel"/>
    <w:lvl w:ilvl="0">
      <w:lvlJc w:val="left"/>
      <w:lvlText w:val="(%1)"/>
      <w:numFmt w:val="decimal"/>
      <w:start w:val="1"/>
    </w:lvl>
  </w:abstractNum>
  <w:abstractNum w:abstractNumId="80">
    <w:nsid w:val="415E286C"/>
    <w:multiLevelType w:val="hybridMultilevel"/>
    <w:lvl w:ilvl="0">
      <w:lvlJc w:val="left"/>
      <w:lvlText w:val="•"/>
      <w:numFmt w:val="bullet"/>
      <w:start w:val="1"/>
    </w:lvl>
  </w:abstractNum>
  <w:abstractNum w:abstractNumId="81">
    <w:nsid w:val="7C58FD05"/>
    <w:multiLevelType w:val="hybridMultilevel"/>
    <w:lvl w:ilvl="0">
      <w:lvlJc w:val="left"/>
      <w:lvlText w:val="•"/>
      <w:numFmt w:val="bullet"/>
      <w:start w:val="1"/>
    </w:lvl>
  </w:abstractNum>
  <w:abstractNum w:abstractNumId="82">
    <w:nsid w:val="23D86AAC"/>
    <w:multiLevelType w:val="hybridMultilevel"/>
    <w:lvl w:ilvl="0">
      <w:lvlJc w:val="left"/>
      <w:lvlText w:val="•"/>
      <w:numFmt w:val="bullet"/>
      <w:start w:val="1"/>
    </w:lvl>
  </w:abstractNum>
  <w:abstractNum w:abstractNumId="83">
    <w:nsid w:val="45E6D486"/>
    <w:multiLevelType w:val="hybridMultilevel"/>
    <w:lvl w:ilvl="0">
      <w:lvlJc w:val="left"/>
      <w:lvlText w:val="•"/>
      <w:numFmt w:val="bullet"/>
      <w:start w:val="1"/>
    </w:lvl>
  </w:abstractNum>
  <w:abstractNum w:abstractNumId="84">
    <w:nsid w:val="5C10FE21"/>
    <w:multiLevelType w:val="hybridMultilevel"/>
    <w:lvl w:ilvl="0">
      <w:lvlJc w:val="left"/>
      <w:lvlText w:val="(%1)"/>
      <w:numFmt w:val="lowerRoman"/>
      <w:start w:val="2"/>
    </w:lvl>
  </w:abstractNum>
  <w:abstractNum w:abstractNumId="85">
    <w:nsid w:val="E7FFA2B"/>
    <w:multiLevelType w:val="hybridMultilevel"/>
    <w:lvl w:ilvl="0">
      <w:lvlJc w:val="left"/>
      <w:lvlText w:val="•"/>
      <w:numFmt w:val="bullet"/>
      <w:start w:val="1"/>
    </w:lvl>
  </w:abstractNum>
  <w:abstractNum w:abstractNumId="86">
    <w:nsid w:val="3C5991AA"/>
    <w:multiLevelType w:val="hybridMultilevel"/>
    <w:lvl w:ilvl="0">
      <w:lvlJc w:val="left"/>
      <w:lvlText w:val="•"/>
      <w:numFmt w:val="bullet"/>
      <w:start w:val="1"/>
    </w:lvl>
  </w:abstractNum>
  <w:abstractNum w:abstractNumId="87">
    <w:nsid w:val="4BD8591A"/>
    <w:multiLevelType w:val="hybridMultilevel"/>
    <w:lvl w:ilvl="0">
      <w:lvlJc w:val="left"/>
      <w:lvlText w:val="•"/>
      <w:numFmt w:val="bullet"/>
      <w:start w:val="1"/>
    </w:lvl>
  </w:abstractNum>
  <w:abstractNum w:abstractNumId="88">
    <w:nsid w:val="78DF6A55"/>
    <w:multiLevelType w:val="hybridMultilevel"/>
    <w:lvl w:ilvl="0">
      <w:lvlJc w:val="left"/>
      <w:lvlText w:val="•"/>
      <w:numFmt w:val="bullet"/>
      <w:start w:val="1"/>
    </w:lvl>
  </w:abstractNum>
  <w:abstractNum w:abstractNumId="89">
    <w:nsid w:val="39B7AAA2"/>
    <w:multiLevelType w:val="hybridMultilevel"/>
    <w:lvl w:ilvl="0">
      <w:lvlJc w:val="left"/>
      <w:lvlText w:val="•"/>
      <w:numFmt w:val="bullet"/>
      <w:start w:val="1"/>
    </w:lvl>
  </w:abstractNum>
  <w:abstractNum w:abstractNumId="90">
    <w:nsid w:val="2B0D8DBE"/>
    <w:multiLevelType w:val="hybridMultilevel"/>
    <w:lvl w:ilvl="0">
      <w:lvlJc w:val="left"/>
      <w:lvlText w:val="•"/>
      <w:numFmt w:val="bullet"/>
      <w:start w:val="1"/>
    </w:lvl>
  </w:abstractNum>
  <w:abstractNum w:abstractNumId="91">
    <w:nsid w:val="6C80EC70"/>
    <w:multiLevelType w:val="hybridMultilevel"/>
    <w:lvl w:ilvl="0">
      <w:lvlJc w:val="left"/>
      <w:lvlText w:val="•"/>
      <w:numFmt w:val="bullet"/>
      <w:start w:val="1"/>
    </w:lvl>
  </w:abstractNum>
  <w:abstractNum w:abstractNumId="92">
    <w:nsid w:val="379E21B5"/>
    <w:multiLevelType w:val="hybridMultilevel"/>
    <w:lvl w:ilvl="0">
      <w:lvlJc w:val="left"/>
      <w:lvlText w:val="•"/>
      <w:numFmt w:val="bullet"/>
      <w:start w:val="1"/>
    </w:lvl>
  </w:abstractNum>
  <w:abstractNum w:abstractNumId="93">
    <w:nsid w:val="69E373"/>
    <w:multiLevelType w:val="hybridMultilevel"/>
    <w:lvl w:ilvl="0">
      <w:lvlJc w:val="left"/>
      <w:lvlText w:val="•"/>
      <w:numFmt w:val="bullet"/>
      <w:start w:val="1"/>
    </w:lvl>
  </w:abstractNum>
  <w:abstractNum w:abstractNumId="94">
    <w:nsid w:val="2C27173B"/>
    <w:multiLevelType w:val="hybridMultilevel"/>
    <w:lvl w:ilvl="0">
      <w:lvlJc w:val="left"/>
      <w:lvlText w:val="(%1)"/>
      <w:numFmt w:val="decimal"/>
      <w:start w:val="1"/>
    </w:lvl>
  </w:abstractNum>
  <w:abstractNum w:abstractNumId="95">
    <w:nsid w:val="4C9B0904"/>
    <w:multiLevelType w:val="hybridMultilevel"/>
    <w:lvl w:ilvl="0">
      <w:lvlJc w:val="left"/>
      <w:lvlText w:val="•"/>
      <w:numFmt w:val="bullet"/>
      <w:start w:val="1"/>
    </w:lvl>
  </w:abstractNum>
  <w:abstractNum w:abstractNumId="96">
    <w:nsid w:val="6AA7B75C"/>
    <w:multiLevelType w:val="hybridMultilevel"/>
    <w:lvl w:ilvl="0">
      <w:lvlJc w:val="left"/>
      <w:lvlText w:val="•"/>
      <w:numFmt w:val="bullet"/>
      <w:start w:val="1"/>
    </w:lvl>
  </w:abstractNum>
  <w:abstractNum w:abstractNumId="97">
    <w:nsid w:val="1DF029D3"/>
    <w:multiLevelType w:val="hybridMultilevel"/>
    <w:lvl w:ilvl="0">
      <w:lvlJc w:val="left"/>
      <w:lvlText w:val="•"/>
      <w:numFmt w:val="bullet"/>
      <w:start w:val="1"/>
    </w:lvl>
  </w:abstractNum>
  <w:abstractNum w:abstractNumId="98">
    <w:nsid w:val="5675FF36"/>
    <w:multiLevelType w:val="hybridMultilevel"/>
    <w:lvl w:ilvl="0">
      <w:lvlJc w:val="left"/>
      <w:lvlText w:val="•"/>
      <w:numFmt w:val="bullet"/>
      <w:start w:val="1"/>
    </w:lvl>
  </w:abstractNum>
  <w:abstractNum w:abstractNumId="99">
    <w:nsid w:val="3DD15094"/>
    <w:multiLevelType w:val="hybridMultilevel"/>
    <w:lvl w:ilvl="0">
      <w:lvlJc w:val="left"/>
      <w:lvlText w:val="•"/>
      <w:numFmt w:val="bullet"/>
      <w:start w:val="1"/>
    </w:lvl>
  </w:abstractNum>
  <w:abstractNum w:abstractNumId="100">
    <w:nsid w:val="3DB012B3"/>
    <w:multiLevelType w:val="hybridMultilevel"/>
    <w:lvl w:ilvl="0">
      <w:lvlJc w:val="left"/>
      <w:lvlText w:val="•"/>
      <w:numFmt w:val="bullet"/>
      <w:start w:val="1"/>
    </w:lvl>
  </w:abstractNum>
  <w:abstractNum w:abstractNumId="101">
    <w:nsid w:val="2708C9AF"/>
    <w:multiLevelType w:val="hybridMultilevel"/>
    <w:lvl w:ilvl="0">
      <w:lvlJc w:val="left"/>
      <w:lvlText w:val="•"/>
      <w:numFmt w:val="bullet"/>
      <w:start w:val="1"/>
    </w:lvl>
  </w:abstractNum>
  <w:abstractNum w:abstractNumId="102">
    <w:nsid w:val="5B25ACE2"/>
    <w:multiLevelType w:val="hybridMultilevel"/>
    <w:lvl w:ilvl="0">
      <w:lvlJc w:val="left"/>
      <w:lvlText w:val="•"/>
      <w:numFmt w:val="bullet"/>
      <w:start w:val="1"/>
    </w:lvl>
  </w:abstractNum>
  <w:abstractNum w:abstractNumId="103">
    <w:nsid w:val="175DFCF0"/>
    <w:multiLevelType w:val="hybridMultilevel"/>
    <w:lvl w:ilvl="0">
      <w:lvlJc w:val="left"/>
      <w:lvlText w:val="•"/>
      <w:numFmt w:val="bullet"/>
      <w:start w:val="1"/>
    </w:lvl>
  </w:abstractNum>
  <w:abstractNum w:abstractNumId="104">
    <w:nsid w:val="4F97E3E4"/>
    <w:multiLevelType w:val="hybridMultilevel"/>
    <w:lvl w:ilvl="0">
      <w:lvlJc w:val="left"/>
      <w:lvlText w:val="(%1)"/>
      <w:numFmt w:val="decimal"/>
      <w:start w:val="1"/>
    </w:lvl>
  </w:abstractNum>
  <w:abstractNum w:abstractNumId="105">
    <w:nsid w:val="53B0A9E"/>
    <w:multiLevelType w:val="hybridMultilevel"/>
    <w:lvl w:ilvl="0">
      <w:lvlJc w:val="left"/>
      <w:lvlText w:val="(%1)"/>
      <w:numFmt w:val="decimal"/>
      <w:start w:val="1"/>
    </w:lvl>
  </w:abstractNum>
  <w:abstractNum w:abstractNumId="106">
    <w:nsid w:val="34FD6B4F"/>
    <w:multiLevelType w:val="hybridMultilevel"/>
    <w:lvl w:ilvl="0">
      <w:lvlJc w:val="left"/>
      <w:lvlText w:val="(%1)"/>
      <w:numFmt w:val="decimal"/>
      <w:start w:val="5"/>
    </w:lvl>
  </w:abstractNum>
  <w:abstractNum w:abstractNumId="107">
    <w:nsid w:val="5915FF32"/>
    <w:multiLevelType w:val="hybridMultilevel"/>
    <w:lvl w:ilvl="0">
      <w:lvlJc w:val="left"/>
      <w:lvlText w:val="(%1)"/>
      <w:numFmt w:val="decimal"/>
      <w:start w:val="1"/>
    </w:lvl>
  </w:abstractNum>
  <w:abstractNum w:abstractNumId="108">
    <w:nsid w:val="56438D15"/>
    <w:multiLevelType w:val="hybridMultilevel"/>
    <w:lvl w:ilvl="0">
      <w:lvlJc w:val="left"/>
      <w:lvlText w:val="(%1)"/>
      <w:numFmt w:val="decimal"/>
      <w:start w:val="5"/>
    </w:lvl>
  </w:abstractNum>
  <w:abstractNum w:abstractNumId="109">
    <w:nsid w:val="519E3149"/>
    <w:multiLevelType w:val="hybridMultilevel"/>
    <w:lvl w:ilvl="0">
      <w:lvlJc w:val="left"/>
      <w:lvlText w:val="•"/>
      <w:numFmt w:val="bullet"/>
      <w:start w:val="1"/>
    </w:lvl>
  </w:abstractNum>
  <w:abstractNum w:abstractNumId="110">
    <w:nsid w:val="2C6E4AFD"/>
    <w:multiLevelType w:val="hybridMultilevel"/>
    <w:lvl w:ilvl="0">
      <w:lvlJc w:val="left"/>
      <w:lvlText w:val="(%1)"/>
      <w:numFmt w:val="decimal"/>
      <w:start w:val="1"/>
    </w:lvl>
  </w:abstractNum>
  <w:abstractNum w:abstractNumId="111">
    <w:nsid w:val="17A1B582"/>
    <w:multiLevelType w:val="hybridMultilevel"/>
    <w:lvl w:ilvl="0">
      <w:lvlJc w:val="left"/>
      <w:lvlText w:val="(%1)"/>
      <w:numFmt w:val="decimal"/>
      <w:start w:val="1"/>
    </w:lvl>
  </w:abstractNum>
  <w:abstractNum w:abstractNumId="112">
    <w:nsid w:val="4DF72E4E"/>
    <w:multiLevelType w:val="hybridMultilevel"/>
    <w:lvl w:ilvl="0">
      <w:lvlJc w:val="left"/>
      <w:lvlText w:val="•"/>
      <w:numFmt w:val="bullet"/>
      <w:start w:val="1"/>
    </w:lvl>
  </w:abstractNum>
  <w:abstractNum w:abstractNumId="113">
    <w:nsid w:val="5046B5A9"/>
    <w:multiLevelType w:val="hybridMultilevel"/>
    <w:lvl w:ilvl="0">
      <w:lvlJc w:val="left"/>
      <w:lvlText w:val="*"/>
      <w:numFmt w:val="bullet"/>
      <w:start w:val="1"/>
    </w:lvl>
  </w:abstractNum>
  <w:abstractNum w:abstractNumId="114">
    <w:nsid w:val="5D888A08"/>
    <w:multiLevelType w:val="hybridMultilevel"/>
    <w:lvl w:ilvl="0">
      <w:lvlJc w:val="left"/>
      <w:lvlText w:val="(%1)"/>
      <w:numFmt w:val="decimal"/>
      <w:start w:val="1"/>
    </w:lvl>
  </w:abstractNum>
  <w:abstractNum w:abstractNumId="115">
    <w:nsid w:val="2A082C70"/>
    <w:multiLevelType w:val="hybridMultilevel"/>
    <w:lvl w:ilvl="0">
      <w:lvlJc w:val="left"/>
      <w:lvlText w:val="(%1)"/>
      <w:numFmt w:val="decimal"/>
      <w:start w:val="4"/>
    </w:lvl>
  </w:abstractNum>
  <w:abstractNum w:abstractNumId="116">
    <w:nsid w:val="5EC6AFD4"/>
    <w:multiLevelType w:val="hybridMultilevel"/>
    <w:lvl w:ilvl="0">
      <w:lvlJc w:val="left"/>
      <w:lvlText w:val="(%1)"/>
      <w:numFmt w:val="decimal"/>
      <w:start w:val="15"/>
    </w:lvl>
  </w:abstractNum>
  <w:abstractNum w:abstractNumId="117">
    <w:nsid w:val="19E21BB2"/>
    <w:multiLevelType w:val="hybridMultilevel"/>
    <w:lvl w:ilvl="0">
      <w:lvlJc w:val="left"/>
      <w:lvlText w:val="(%1)"/>
      <w:numFmt w:val="lowerRoman"/>
      <w:start w:val="1"/>
    </w:lvl>
  </w:abstractNum>
  <w:abstractNum w:abstractNumId="118">
    <w:nsid w:val="75E0858A"/>
    <w:multiLevelType w:val="hybridMultilevel"/>
    <w:lvl w:ilvl="0">
      <w:lvlJc w:val="left"/>
      <w:lvlText w:val="•"/>
      <w:numFmt w:val="bullet"/>
      <w:start w:val="1"/>
    </w:lvl>
  </w:abstractNum>
  <w:abstractNum w:abstractNumId="119">
    <w:nsid w:val="57A61A29"/>
    <w:multiLevelType w:val="hybridMultilevel"/>
    <w:lvl w:ilvl="0">
      <w:lvlJc w:val="left"/>
      <w:lvlText w:val="•"/>
      <w:numFmt w:val="bullet"/>
      <w:start w:val="1"/>
    </w:lvl>
  </w:abstractNum>
  <w:abstractNum w:abstractNumId="120">
    <w:nsid w:val="5399C654"/>
    <w:multiLevelType w:val="hybridMultilevel"/>
    <w:lvl w:ilvl="0">
      <w:lvlJc w:val="left"/>
      <w:lvlText w:val="•"/>
      <w:numFmt w:val="bullet"/>
      <w:start w:val="1"/>
    </w:lvl>
  </w:abstractNum>
  <w:abstractNum w:abstractNumId="121">
    <w:nsid w:val="20EE1348"/>
    <w:multiLevelType w:val="hybridMultilevel"/>
    <w:lvl w:ilvl="0">
      <w:lvlJc w:val="left"/>
      <w:lvlText w:val="•"/>
      <w:numFmt w:val="bullet"/>
      <w:start w:val="1"/>
    </w:lvl>
  </w:abstractNum>
  <w:abstractNum w:abstractNumId="122">
    <w:nsid w:val="4427069A"/>
    <w:multiLevelType w:val="hybridMultilevel"/>
    <w:lvl w:ilvl="0">
      <w:lvlJc w:val="left"/>
      <w:lvlText w:val="%1."/>
      <w:numFmt w:val="decimal"/>
      <w:start w:val="144"/>
    </w:lvl>
  </w:abstractNum>
  <w:abstractNum w:abstractNumId="123">
    <w:nsid w:val="B37E80A"/>
    <w:multiLevelType w:val="hybridMultilevel"/>
    <w:lvl w:ilvl="0">
      <w:lvlJc w:val="left"/>
      <w:lvlText w:val="•"/>
      <w:numFmt w:val="bullet"/>
      <w:start w:val="1"/>
    </w:lvl>
  </w:abstractNum>
  <w:abstractNum w:abstractNumId="124">
    <w:nsid w:val="2157F6BC"/>
    <w:multiLevelType w:val="hybridMultilevel"/>
    <w:lvl w:ilvl="0">
      <w:lvlJc w:val="left"/>
      <w:lvlText w:val="•"/>
      <w:numFmt w:val="bullet"/>
      <w:start w:val="1"/>
    </w:lvl>
  </w:abstractNum>
  <w:abstractNum w:abstractNumId="125">
    <w:nsid w:val="704E1DD5"/>
    <w:multiLevelType w:val="hybridMultilevel"/>
    <w:lvl w:ilvl="0">
      <w:lvlJc w:val="left"/>
      <w:lvlText w:val="•"/>
      <w:numFmt w:val="bullet"/>
      <w:start w:val="1"/>
    </w:lvl>
  </w:abstractNum>
  <w:abstractNum w:abstractNumId="126">
    <w:nsid w:val="57D2F10E"/>
    <w:multiLevelType w:val="hybridMultilevel"/>
    <w:lvl w:ilvl="0">
      <w:lvlJc w:val="left"/>
      <w:lvlText w:val="(%1)"/>
      <w:numFmt w:val="lowerRoman"/>
      <w:start w:val="6"/>
    </w:lvl>
  </w:abstractNum>
  <w:abstractNum w:abstractNumId="127">
    <w:nsid w:val="BFFAE18"/>
    <w:multiLevelType w:val="hybridMultilevel"/>
    <w:lvl w:ilvl="0">
      <w:lvlJc w:val="left"/>
      <w:lvlText w:val="(%1)"/>
      <w:numFmt w:val="lowerRoman"/>
      <w:start w:val="2"/>
    </w:lvl>
  </w:abstractNum>
  <w:abstractNum w:abstractNumId="128">
    <w:nsid w:val="E3E47A8"/>
    <w:multiLevelType w:val="hybridMultilevel"/>
    <w:lvl w:ilvl="0">
      <w:lvlJc w:val="left"/>
      <w:lvlText w:val="%1)"/>
      <w:numFmt w:val="lowerLetter"/>
      <w:start w:val="1"/>
    </w:lvl>
  </w:abstractNum>
  <w:abstractNum w:abstractNumId="129">
    <w:nsid w:val="2E48F044"/>
    <w:multiLevelType w:val="hybridMultilevel"/>
    <w:lvl w:ilvl="0">
      <w:lvlJc w:val="left"/>
      <w:lvlText w:val="%1)"/>
      <w:numFmt w:val="lowerLetter"/>
      <w:start w:val="1"/>
    </w:lvl>
  </w:abstractNum>
  <w:abstractNum w:abstractNumId="130">
    <w:nsid w:val="49D0FEAC"/>
    <w:multiLevelType w:val="hybridMultilevel"/>
    <w:lvl w:ilvl="0">
      <w:lvlJc w:val="left"/>
      <w:lvlText w:val="(%1)"/>
      <w:numFmt w:val="lowerRoman"/>
      <w:start w:val="1"/>
    </w:lvl>
  </w:abstractNum>
  <w:abstractNum w:abstractNumId="131">
    <w:nsid w:val="4BEE5A5B"/>
    <w:multiLevelType w:val="hybridMultilevel"/>
    <w:lvl w:ilvl="0">
      <w:lvlJc w:val="left"/>
      <w:lvlText w:val="(%1)"/>
      <w:numFmt w:val="decimal"/>
      <w:start w:val="3"/>
    </w:lvl>
  </w:abstractNum>
  <w:abstractNum w:abstractNumId="132">
    <w:nsid w:val="5551B9F3"/>
    <w:multiLevelType w:val="hybridMultilevel"/>
    <w:lvl w:ilvl="0">
      <w:lvlJc w:val="left"/>
      <w:lvlText w:val="(%1)"/>
      <w:numFmt w:val="decimal"/>
      <w:start w:val="1"/>
    </w:lvl>
  </w:abstractNum>
  <w:abstractNum w:abstractNumId="133">
    <w:nsid w:val="24F6AB8E"/>
    <w:multiLevelType w:val="hybridMultilevel"/>
    <w:lvl w:ilvl="0">
      <w:lvlJc w:val="left"/>
      <w:lvlText w:val="(%1)"/>
      <w:numFmt w:val="decimal"/>
      <w:start w:val="1"/>
    </w:lvl>
  </w:abstractNum>
  <w:abstractNum w:abstractNumId="134">
    <w:nsid w:val="634C574C"/>
    <w:multiLevelType w:val="hybridMultilevel"/>
    <w:lvl w:ilvl="0">
      <w:lvlJc w:val="left"/>
      <w:lvlText w:val="%1."/>
      <w:numFmt w:val="decimal"/>
      <w:start w:val="2"/>
    </w:lvl>
  </w:abstractNum>
  <w:abstractNum w:abstractNumId="135">
    <w:nsid w:val="24E99DD7"/>
    <w:multiLevelType w:val="hybridMultilevel"/>
    <w:lvl w:ilvl="0">
      <w:lvlJc w:val="left"/>
      <w:lvlText w:val="•"/>
      <w:numFmt w:val="bullet"/>
      <w:start w:val="1"/>
    </w:lvl>
  </w:abstractNum>
  <w:abstractNum w:abstractNumId="136">
    <w:nsid w:val="2A31B62D"/>
    <w:multiLevelType w:val="hybridMultilevel"/>
    <w:lvl w:ilvl="0">
      <w:lvlJc w:val="left"/>
      <w:lvlText w:val="%1."/>
      <w:numFmt w:val="decimal"/>
      <w:start w:val="11"/>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decimal"/>
      <w:start w:val="14"/>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1)"/>
      <w:numFmt w:val="decimal"/>
      <w:start w:val="1"/>
    </w:lvl>
  </w:abstractNum>
  <w:abstractNum w:abstractNumId="141">
    <w:nsid w:val="2A6DE80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2026-05-01T16:36:52Z</dcterms:created>
  <dcterms:modified xsi:type="dcterms:W3CDTF">2026-05-01T16:36:52Z</dcterms:modified>
</cp:coreProperties>
</file>