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58"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GAP Coinvestments CDA,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302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Seaport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SPTX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58"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GENERAL ATLANTIC</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SERVICE CO., L.P.</w:t>
      </w:r>
    </w:p>
    <w:p>
      <w:pPr>
        <w:spacing w:after="0" w:line="56"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55 EAST 52ND STREET, 33RD FLOOR</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10055 YORK</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3" w:lineRule="exact"/>
        <w:rPr>
          <w:sz w:val="24"/>
          <w:szCs w:val="24"/>
          <w:color w:val="auto"/>
        </w:rPr>
      </w:pPr>
    </w:p>
    <w:p>
      <w:pPr>
        <w:sectPr>
          <w:pgSz w:w="11900" w:h="16838" w:orient="portrait"/>
          <w:cols w:equalWidth="0" w:num="3">
            <w:col w:w="4277" w:space="720"/>
            <w:col w:w="3003" w:space="269"/>
            <w:col w:w="2671"/>
          </w:cols>
          <w:pgMar w:left="480" w:top="230" w:right="479" w:bottom="58"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500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0000FF"/>
              </w:rPr>
              <w:t>Common Stock, par value $0.0001 per share ("Common</w:t>
            </w:r>
          </w:p>
        </w:tc>
        <w:tc>
          <w:tcPr>
            <w:tcW w:w="154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0000FF"/>
              </w:rPr>
              <w:t>6,101,582</w:t>
            </w:r>
          </w:p>
        </w:tc>
        <w:tc>
          <w:tcPr>
            <w:tcW w:w="1000" w:type="dxa"/>
            <w:vAlign w:val="bottom"/>
            <w:gridSpan w:val="2"/>
            <w:vMerge w:val="restart"/>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gridSpan w:val="4"/>
            <w:vMerge w:val="restart"/>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33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6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340" w:type="dxa"/>
            <w:vAlign w:val="bottom"/>
            <w:tcBorders>
              <w:top w:val="single" w:sz="8" w:color="2C2C2C"/>
            </w:tcBorders>
            <w:gridSpan w:val="9"/>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72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gridSpan w:val="5"/>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GAP Coinvestments CDA,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7"/>
              </w:rPr>
              <w:t>C/O GENERAL ATLANTIC SERVICE CO., L.P.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55 EAST 52ND STREET, 33RD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10055</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gridSpan w:val="2"/>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General Atlantic Partners (Lux), SCSp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412F, ROUTE D'ESCH</w:t>
      </w:r>
    </w:p>
    <w:p>
      <w:pPr>
        <w:spacing w:after="0" w:line="38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58" w:gutter="0" w:footer="0" w:header="0"/>
          <w:type w:val="continuous"/>
        </w:sectPr>
      </w:pPr>
    </w:p>
    <w:p>
      <w:pPr>
        <w:spacing w:after="0" w:line="37" w:lineRule="exact"/>
        <w:rPr>
          <w:sz w:val="20"/>
          <w:szCs w:val="20"/>
          <w:color w:val="auto"/>
        </w:rPr>
      </w:pPr>
    </w:p>
    <w:p>
      <w:pPr>
        <w:ind w:left="140"/>
        <w:spacing w:after="0"/>
        <w:tabs>
          <w:tab w:leader="none" w:pos="2900" w:val="left"/>
        </w:tabs>
        <w:rPr>
          <w:sz w:val="20"/>
          <w:szCs w:val="20"/>
          <w:color w:val="auto"/>
        </w:rPr>
      </w:pPr>
      <w:r>
        <w:rPr>
          <w:rFonts w:ascii="Times New Roman" w:cs="Times New Roman" w:eastAsia="Times New Roman" w:hAnsi="Times New Roman"/>
          <w:sz w:val="20"/>
          <w:szCs w:val="20"/>
          <w:color w:val="0000FF"/>
        </w:rPr>
        <w:t>LUXEMBOURG N4</w:t>
      </w:r>
      <w:r>
        <w:rPr>
          <w:sz w:val="20"/>
          <w:szCs w:val="20"/>
          <w:color w:val="auto"/>
        </w:rPr>
        <w:tab/>
      </w:r>
      <w:r>
        <w:rPr>
          <w:rFonts w:ascii="Times New Roman" w:cs="Times New Roman" w:eastAsia="Times New Roman" w:hAnsi="Times New Roman"/>
          <w:sz w:val="18"/>
          <w:szCs w:val="18"/>
          <w:color w:val="0000FF"/>
        </w:rPr>
        <w:t>L-1471</w:t>
      </w:r>
    </w:p>
    <w:p>
      <w:pPr>
        <w:sectPr>
          <w:pgSz w:w="11900" w:h="16838" w:orient="portrait"/>
          <w:cols w:equalWidth="0" w:num="1">
            <w:col w:w="10940"/>
          </w:cols>
          <w:pgMar w:left="480" w:top="230" w:right="479" w:bottom="58"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-99695</wp:posOffset>
            </wp:positionV>
            <wp:extent cx="2798445" cy="3919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3919855"/>
                    </a:xfrm>
                    <a:prstGeom prst="rect">
                      <a:avLst/>
                    </a:prstGeom>
                    <a:noFill/>
                  </pic:spPr>
                </pic:pic>
              </a:graphicData>
            </a:graphic>
          </wp:anchor>
        </w:drawing>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General Atlantic (Lux) S.a r.l.</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412F, ROUTE D'ESCH</w:t>
            </w:r>
          </w:p>
        </w:tc>
        <w:tc>
          <w:tcPr>
            <w:tcW w:w="18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L-1471</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General Atlantic GenPar (Lux) SCSp</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412F, ROUTE D'ESCH</w:t>
            </w:r>
          </w:p>
        </w:tc>
        <w:tc>
          <w:tcPr>
            <w:tcW w:w="18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L-1471</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2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6,101,582 shares of Common Stock held by General Atlantic (SP), L.P., or General Atlantic SP, including 3,351,582 shares of Common Stock issuable upon conversion of Series B preferred stock. The limited partners that share beneficial ownership of the shares held by General Atlantic SP, or the GA Funds, are General Atlantic Partners 100, L.P., or GAP 100, General Atlantic Partners (Lux), SCSp, or GAP Lux, GAP Coinvestments III, LLC, or GAPCO III, GAP Coinvestments IV, LLC, or GAPCO IV, GAP Coinvestments V, LLC, or GAPCO V, and GAP Coinvestments CDA, L.P., or GAPCO CDA. The general partner of GAP 100 is General Atlantic GenPar, L.P., (Cont'd in FN2)</w:t>
      </w:r>
    </w:p>
    <w:p>
      <w:pPr>
        <w:spacing w:after="0" w:line="33" w:lineRule="exact"/>
        <w:rPr>
          <w:rFonts w:ascii="Times New Roman" w:cs="Times New Roman" w:eastAsia="Times New Roman" w:hAnsi="Times New Roman"/>
          <w:sz w:val="15"/>
          <w:szCs w:val="15"/>
          <w:color w:val="008000"/>
        </w:rPr>
      </w:pPr>
    </w:p>
    <w:p>
      <w:pPr>
        <w:ind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(Cont'd from FN1) or GA GenPar. General Atlantic, L.P., or GA LP, which is controlled by the Partnership Committee of GASC MGP, LLC (the "Partnership Committee"), is the managing member of GAPCO III, GAPCO IV and GAPCO V, the general partner of GAPCO CDA and GA GenPar, and the sole member of General Atlantic (SPV) GP, LLC, or GA SPV. The general partner of General Atlantic SP is GA SPV. The general partner of GAP Lux is General Atlantic GenPar, (Lux) SCSp, or GA GenPar Lux, and the general partner of GA GenPar Lux is General Atlantic (Lux) S.a r.l., or GA Lux. The sole shareholder of GA Lux is General Atlantic GenPar (Bermuda), L.P., or GenPar Bermuda. GAP (Bermuda) L.P., or GAP Bermuda, which is ultimately controlled by the Partnership Committee, is the general partner of GenPar Bermuda. (Cont'd in FN3)</w:t>
      </w:r>
    </w:p>
    <w:p>
      <w:pPr>
        <w:spacing w:after="0" w:line="33" w:lineRule="exact"/>
        <w:rPr>
          <w:rFonts w:ascii="Times New Roman" w:cs="Times New Roman" w:eastAsia="Times New Roman" w:hAnsi="Times New Roman"/>
          <w:sz w:val="15"/>
          <w:szCs w:val="15"/>
          <w:color w:val="008000"/>
        </w:rPr>
      </w:pPr>
    </w:p>
    <w:p>
      <w:pPr>
        <w:ind w:right="32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(Cont'd from FN2) There are six members of the Partnership Committee. Each of the members of the Partnership Committee disclaims ownership of the shares except to the extent that he or she has a pecuniary interest therein.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008000"/>
        </w:rPr>
        <w:t>GA LP, GAP Bermuda, GA Lux, GA GenPar Lux, GA SPV, and the GA Funds may be deemed to be members of a "group" for the purposes of the Securities Exchange Act of 1934. Each reporting person disclaims beneficial ownership of any securities deemed to be owned by the group that are not directly owned by the reporting person. This report shall not be deemed an admission that the reporting persons are a member of a group or the beneficial owner of any securities not directly owned by the reporting person. Each of the reporting persons is a director-by-deputization solely for purposes of Section 16 of the Exchange Act. // Form 2 of 2</w:t>
      </w:r>
    </w:p>
    <w:p>
      <w:pPr>
        <w:spacing w:after="0" w:line="43"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Michael Gosk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0"/>
        </w:trPr>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80"/>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Ingrid van der Hoorn</w:t>
            </w:r>
          </w:p>
        </w:tc>
        <w:tc>
          <w:tcPr>
            <w:tcW w:w="3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80"/>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Ingrid van der Hoorn</w:t>
            </w:r>
          </w:p>
        </w:tc>
        <w:tc>
          <w:tcPr>
            <w:tcW w:w="3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80"/>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Ingrid van der Hoorn</w:t>
            </w:r>
          </w:p>
        </w:tc>
        <w:tc>
          <w:tcPr>
            <w:tcW w:w="3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8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0" Type="http://schemas.openxmlformats.org/officeDocument/2006/relationships/hyperlink" Target="http://www.sec.gov/cgi-bin/browse-edgar?action=getcompany&amp;CIK=0001356474" TargetMode="External"/><Relationship Id="rId11" Type="http://schemas.openxmlformats.org/officeDocument/2006/relationships/hyperlink" Target="http://www.sec.gov/cgi-bin/browse-edgar?action=getcompany&amp;CIK=0002042347" TargetMode="External"/><Relationship Id="rId13" Type="http://schemas.openxmlformats.org/officeDocument/2006/relationships/hyperlink" Target="http://www.sec.gov/cgi-bin/browse-edgar?action=getcompany&amp;CIK=0001795410" TargetMode="External"/><Relationship Id="rId15" Type="http://schemas.openxmlformats.org/officeDocument/2006/relationships/hyperlink" Target="http://www.sec.gov/cgi-bin/browse-edgar?action=getcompany&amp;CIK=0001858361" TargetMode="External"/><Relationship Id="rId16" Type="http://schemas.openxmlformats.org/officeDocument/2006/relationships/hyperlink" Target="http://www.sec.gov/cgi-bin/browse-edgar?action=getcompany&amp;CIK=0001857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2026-05-06T20:19:11Z</dcterms:created>
  <dcterms:modified xsi:type="dcterms:W3CDTF">2026-05-06T20:19:11Z</dcterms:modified>
</cp:coreProperties>
</file>