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Seaport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001-43254</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99-2235719</w:t>
            </w:r>
          </w:p>
        </w:tc>
      </w:tr>
      <w:tr>
        <w:trPr>
          <w:trHeight w:val="149"/>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101 Seaport Blvd.</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Floor 12</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617) 807-4062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Voting Common Stock, $0.0001 par value per share</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SPTX</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left="660" w:right="920"/>
        <w:spacing w:after="0" w:line="266" w:lineRule="auto"/>
        <w:rPr>
          <w:sz w:val="20"/>
          <w:szCs w:val="20"/>
          <w:color w:val="auto"/>
        </w:rPr>
      </w:pPr>
      <w:r>
        <w:rPr>
          <w:rFonts w:ascii="Times New Roman" w:cs="Times New Roman" w:eastAsia="Times New Roman" w:hAnsi="Times New Roman"/>
          <w:sz w:val="18"/>
          <w:szCs w:val="18"/>
          <w:color w:val="auto"/>
        </w:rPr>
        <w:t>On November 2, 2026, Seaport Therapeutics, Inc. (the "Company") announced its financial results for the quarter ended September 30, 2026. A copy of the press release issued in connection with the announcement is being furnished as Exhibit 99.1 to this Current Report on Form 8-K.</w:t>
      </w:r>
    </w:p>
    <w:p>
      <w:pPr>
        <w:spacing w:after="0" w:line="176" w:lineRule="exact"/>
        <w:rPr>
          <w:sz w:val="20"/>
          <w:szCs w:val="20"/>
          <w:color w:val="auto"/>
        </w:rPr>
      </w:pPr>
    </w:p>
    <w:p>
      <w:pPr>
        <w:ind w:left="660" w:right="76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1934,as amended (the "Exchange Act"), or otherwise subject to the liabilities of that section, nor shall it be deemed incorporated by reference in any filing under the Securities Act of 1933,as amended, or the Exchange Act,except as expressly set forth by specific reference in such filing.</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9460" w:type="dxa"/>
            <w:vAlign w:val="bottom"/>
            <w:gridSpan w:val="2"/>
            <w:vMerge w:val="restart"/>
          </w:tcPr>
          <w:p>
            <w:pPr>
              <w:ind w:left="4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9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2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Press Release, dated November 2, 2026</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Seaport Therapeutics,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November 2, 2026</w:t>
      </w:r>
      <w:r>
        <w:rPr>
          <w:sz w:val="20"/>
          <w:szCs w:val="20"/>
          <w:color w:val="auto"/>
        </w:rPr>
        <w:tab/>
      </w:r>
      <w:r>
        <w:rPr>
          <w:rFonts w:ascii="Times New Roman" w:cs="Times New Roman" w:eastAsia="Times New Roman" w:hAnsi="Times New Roman"/>
          <w:sz w:val="18"/>
          <w:szCs w:val="18"/>
          <w:color w:val="auto"/>
        </w:rPr>
        <w:t>By:  /s/ Lauren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152590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59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Seaport Therapeutics Reports Third Quarter 2026 Financial Results and Highlights Recent Corporate and Clinical Progress</w:t>
      </w:r>
    </w:p>
    <w:p>
      <w:pPr>
        <w:spacing w:after="0" w:line="54"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Announced positive topline data from Phase 1 driving simulation trial of GlyphAllo</w:t>
      </w:r>
      <w:r>
        <w:rPr>
          <w:rFonts w:ascii="Arial" w:cs="Arial" w:eastAsia="Arial" w:hAnsi="Arial"/>
          <w:sz w:val="14"/>
          <w:szCs w:val="14"/>
          <w:i w:val="1"/>
          <w:iCs w:val="1"/>
          <w:color w:val="auto"/>
        </w:rPr>
        <w:t>TM</w:t>
      </w:r>
      <w:r>
        <w:rPr>
          <w:rFonts w:ascii="Arial" w:cs="Arial" w:eastAsia="Arial" w:hAnsi="Arial"/>
          <w:sz w:val="22"/>
          <w:szCs w:val="22"/>
          <w:i w:val="1"/>
          <w:iCs w:val="1"/>
          <w:color w:val="auto"/>
        </w:rPr>
        <w:t>, showing that GlyphAllo did not impair next-morning driving performance compared to placebo</w:t>
      </w:r>
    </w:p>
    <w:p>
      <w:pPr>
        <w:spacing w:after="0" w:line="116" w:lineRule="exact"/>
        <w:rPr>
          <w:sz w:val="20"/>
          <w:szCs w:val="20"/>
          <w:color w:val="auto"/>
        </w:rPr>
      </w:pPr>
    </w:p>
    <w:p>
      <w:pPr>
        <w:jc w:val="center"/>
        <w:ind w:right="60"/>
        <w:spacing w:after="0" w:line="245" w:lineRule="auto"/>
        <w:rPr>
          <w:sz w:val="20"/>
          <w:szCs w:val="20"/>
          <w:color w:val="auto"/>
        </w:rPr>
      </w:pPr>
      <w:r>
        <w:rPr>
          <w:rFonts w:ascii="Arial" w:cs="Arial" w:eastAsia="Arial" w:hAnsi="Arial"/>
          <w:sz w:val="22"/>
          <w:szCs w:val="22"/>
          <w:i w:val="1"/>
          <w:iCs w:val="1"/>
          <w:color w:val="auto"/>
        </w:rPr>
        <w:t>Dosed first patient in Phase 2a trial of GlyphAgo</w:t>
      </w:r>
      <w:r>
        <w:rPr>
          <w:rFonts w:ascii="Arial" w:cs="Arial" w:eastAsia="Arial" w:hAnsi="Arial"/>
          <w:sz w:val="14"/>
          <w:szCs w:val="14"/>
          <w:i w:val="1"/>
          <w:iCs w:val="1"/>
          <w:color w:val="auto"/>
        </w:rPr>
        <w:t>TM</w:t>
      </w:r>
      <w:r>
        <w:rPr>
          <w:rFonts w:ascii="Arial" w:cs="Arial" w:eastAsia="Arial" w:hAnsi="Arial"/>
          <w:sz w:val="22"/>
          <w:szCs w:val="22"/>
          <w:i w:val="1"/>
          <w:iCs w:val="1"/>
          <w:color w:val="auto"/>
        </w:rPr>
        <w:t xml:space="preserve"> in patients with generalized anxiety disorder (GAD) and sleep disturbance; Company expects to initiate Phase 2/3 trial of GlyphAgo in patients with GAD in 1H 2027</w:t>
      </w:r>
    </w:p>
    <w:p>
      <w:pPr>
        <w:spacing w:after="0" w:line="89" w:lineRule="exact"/>
        <w:rPr>
          <w:sz w:val="20"/>
          <w:szCs w:val="20"/>
          <w:color w:val="auto"/>
        </w:rPr>
      </w:pPr>
    </w:p>
    <w:p>
      <w:pPr>
        <w:jc w:val="center"/>
        <w:ind w:right="20"/>
        <w:spacing w:after="0" w:line="259" w:lineRule="auto"/>
        <w:rPr>
          <w:sz w:val="20"/>
          <w:szCs w:val="20"/>
          <w:color w:val="auto"/>
        </w:rPr>
      </w:pPr>
      <w:r>
        <w:rPr>
          <w:rFonts w:ascii="Arial" w:cs="Arial" w:eastAsia="Arial" w:hAnsi="Arial"/>
          <w:sz w:val="22"/>
          <w:szCs w:val="22"/>
          <w:i w:val="1"/>
          <w:iCs w:val="1"/>
          <w:color w:val="auto"/>
        </w:rPr>
        <w:t>Enrollment in Phase 2b BUOY-1 trial of GlyphAllo in major depressive disorder (MDD) is on track with topline data expected in 1H 2027</w:t>
      </w:r>
    </w:p>
    <w:p>
      <w:pPr>
        <w:spacing w:after="0" w:line="89"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Cash, cash equivalents, and investments of $403.8 million as of September 30, 2026, expected to fund operations into 2029 through three mid-to-late-stage data readouts</w:t>
      </w:r>
    </w:p>
    <w:p>
      <w:pPr>
        <w:spacing w:after="0" w:line="89"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 xml:space="preserve">BOSTON, November 2, 2026 -- </w:t>
      </w:r>
      <w:r>
        <w:rPr>
          <w:rFonts w:ascii="Arial" w:cs="Arial" w:eastAsia="Arial" w:hAnsi="Arial"/>
          <w:sz w:val="22"/>
          <w:szCs w:val="22"/>
          <w:u w:val="single" w:color="auto"/>
          <w:color w:val="467886"/>
        </w:rPr>
        <w:t>Seaport Therapeutics, Inc.</w:t>
      </w:r>
      <w:r>
        <w:rPr>
          <w:rFonts w:ascii="Arial" w:cs="Arial" w:eastAsia="Arial" w:hAnsi="Arial"/>
          <w:sz w:val="22"/>
          <w:szCs w:val="22"/>
          <w:color w:val="auto"/>
        </w:rPr>
        <w:t>, (Nasdaq: SPTX) (“Seaport” or the “Company”), a clinical-stage therapeutics company that is inventing and developing novel neuropsychiatric medicines, today announced financial results for the third quarter of 2026 and highlighted recent corporate and clinical progress.</w:t>
      </w:r>
    </w:p>
    <w:p>
      <w:pPr>
        <w:spacing w:after="0" w:line="95"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“Over the last few months, Seaport met two key clinical milestones – we dosed the first patient in the Phase 2a proof-of-pharmacology trial of GlyphAgo in patients with GAD and sleep disturbance, and demonstrated that GlyphAllo did not impair next-morning driving performance in a Phase 1 driving trial,” said Daphne Zohar, Co-Founder and Chief Executive Officer at Seaport Therapeutics. “With GlyphAllo and GlyphAgo, Seaport is now advancing two Phase 2 programs, and we look forward to progressing these programs through a steady cadence of potential value-creating milestones. In this context, our team remains focused on the rigorous execution of the ongoing, potentially registration-enabling Phase 2b BUOY-1 trial of GlyphAllo in MDD. Enrollment in BUOY-1 is on track, with topline data expected in the first half of next year. As we approach the topline readout of BUOY-1, we also continue to explore potential indication expansion opportunities for the GlyphAllo program, including in generalized anxiety disorder.</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parallel, we are preparing to initiate the Phase 2/3, potentially registration-enabling trial of GlyphAgo in GAD in the first half of next year, and we expect topline data from both Phase 2 trials of GlyphAgo in 2028 – with data from the Phase 2a trial expected in early 2028, and data from the Phase 2/3 trial expected by year-end 2028.</w:t>
      </w:r>
    </w:p>
    <w:p>
      <w:pPr>
        <w:spacing w:after="0" w:line="109"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color w:val="auto"/>
        </w:rPr>
        <w:t>“Seaport is well-capitalized, with cash runway through all three of our upcoming mid-to-late-stage clinical data readouts. There are a billion people living with mental illness – waiting and hoping for better medicines. We are committed to our mission to bring better days to patients and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530860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Recent Business Updates and Anticipated Milestones</w:t>
      </w:r>
    </w:p>
    <w:p>
      <w:pPr>
        <w:spacing w:after="0" w:line="141" w:lineRule="exact"/>
        <w:rPr>
          <w:sz w:val="20"/>
          <w:szCs w:val="20"/>
          <w:color w:val="auto"/>
        </w:rPr>
      </w:pPr>
    </w:p>
    <w:p>
      <w:pPr>
        <w:ind w:right="260"/>
        <w:spacing w:after="0" w:line="270" w:lineRule="auto"/>
        <w:rPr>
          <w:sz w:val="20"/>
          <w:szCs w:val="20"/>
          <w:color w:val="auto"/>
        </w:rPr>
      </w:pPr>
      <w:r>
        <w:rPr>
          <w:rFonts w:ascii="Arial" w:cs="Arial" w:eastAsia="Arial" w:hAnsi="Arial"/>
          <w:sz w:val="22"/>
          <w:szCs w:val="22"/>
          <w:b w:val="1"/>
          <w:bCs w:val="1"/>
          <w:i w:val="1"/>
          <w:iCs w:val="1"/>
          <w:color w:val="auto"/>
        </w:rPr>
        <w:t>GlyphAllo (SPT-300 or Glyph Allopregnanolone) Program for Patients with Major Depressive Disorder (MDD)</w:t>
      </w:r>
    </w:p>
    <w:p>
      <w:pPr>
        <w:spacing w:after="0" w:line="50" w:lineRule="exact"/>
        <w:rPr>
          <w:sz w:val="20"/>
          <w:szCs w:val="20"/>
          <w:color w:val="auto"/>
        </w:rPr>
      </w:pPr>
    </w:p>
    <w:p>
      <w:pPr>
        <w:ind w:left="660" w:right="80" w:hanging="332"/>
        <w:spacing w:after="0" w:line="234"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Announced Positive Topline Data from Phase 1 Driving Simulation Trial in Healthy Volunteers (September). </w:t>
      </w:r>
      <w:r>
        <w:rPr>
          <w:rFonts w:ascii="Arial" w:cs="Arial" w:eastAsia="Arial" w:hAnsi="Arial"/>
          <w:sz w:val="22"/>
          <w:szCs w:val="22"/>
          <w:color w:val="auto"/>
        </w:rPr>
        <w:t>This randomized, double-blind, placebo-controlled Phase 1 trial</w:t>
      </w:r>
      <w:r>
        <w:rPr>
          <w:rFonts w:ascii="Arial" w:cs="Arial" w:eastAsia="Arial" w:hAnsi="Arial"/>
          <w:sz w:val="22"/>
          <w:szCs w:val="22"/>
          <w:b w:val="1"/>
          <w:bCs w:val="1"/>
          <w:color w:val="auto"/>
        </w:rPr>
        <w:t xml:space="preserve"> </w:t>
      </w:r>
      <w:r>
        <w:rPr>
          <w:rFonts w:ascii="Arial" w:cs="Arial" w:eastAsia="Arial" w:hAnsi="Arial"/>
          <w:sz w:val="22"/>
          <w:szCs w:val="22"/>
          <w:color w:val="auto"/>
        </w:rPr>
        <w:t>evaluated the impact of multiple dose levels of GlyphAllo on simulated driving performance in healthy volunteers. The trial met its primary endpoint, showing that evening dosing of GlyphAllo at 375 mg did not impair next-morning driving performance compared to placebo on Day 5, following multiple-day dosing. The key secondary endpoint was also met, showing a single evening dose of 250 mg GlyphAllo did not impair next-morning driving performance compared to placebo on Day 2. GlyphAllo was well-tolerated, with no serious adverse events reported. Seaport plans to submit the results to the U.S. Food and Drug Administration as part of the ongoing development program for GlyphAllo.</w:t>
      </w:r>
    </w:p>
    <w:p>
      <w:pPr>
        <w:spacing w:after="0" w:line="205" w:lineRule="exact"/>
        <w:rPr>
          <w:rFonts w:ascii="Times New Roman" w:cs="Times New Roman" w:eastAsia="Times New Roman" w:hAnsi="Times New Roman"/>
          <w:sz w:val="22"/>
          <w:szCs w:val="22"/>
          <w:color w:val="auto"/>
        </w:rPr>
      </w:pPr>
    </w:p>
    <w:p>
      <w:pPr>
        <w:ind w:left="660" w:hanging="332"/>
        <w:spacing w:after="0" w:line="238"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Enrollment on Track in Phase 2b BUOY-1 Trial in MDD. </w:t>
      </w:r>
      <w:r>
        <w:rPr>
          <w:rFonts w:ascii="Arial" w:cs="Arial" w:eastAsia="Arial" w:hAnsi="Arial"/>
          <w:sz w:val="22"/>
          <w:szCs w:val="22"/>
          <w:color w:val="auto"/>
        </w:rPr>
        <w:t>Seaport is actively enrolling</w:t>
      </w:r>
      <w:r>
        <w:rPr>
          <w:rFonts w:ascii="Arial" w:cs="Arial" w:eastAsia="Arial" w:hAnsi="Arial"/>
          <w:sz w:val="22"/>
          <w:szCs w:val="22"/>
          <w:b w:val="1"/>
          <w:bCs w:val="1"/>
          <w:color w:val="auto"/>
        </w:rPr>
        <w:t xml:space="preserve"> </w:t>
      </w:r>
      <w:r>
        <w:rPr>
          <w:rFonts w:ascii="Arial" w:cs="Arial" w:eastAsia="Arial" w:hAnsi="Arial"/>
          <w:sz w:val="22"/>
          <w:szCs w:val="22"/>
          <w:color w:val="auto"/>
        </w:rPr>
        <w:t>patients in BUOY-1, a two-arm, global, randomized, double-blind, placebo-controlled, potentially registration-enabling Phase 2b trial investigating the safety and efficacy of GlyphAllo in patients with MDD with or without anxious distress. Topline data from the BUOY-1 trial are expected in the first half of 2027.</w:t>
      </w:r>
    </w:p>
    <w:p>
      <w:pPr>
        <w:spacing w:after="0" w:line="353" w:lineRule="exact"/>
        <w:rPr>
          <w:sz w:val="20"/>
          <w:szCs w:val="20"/>
          <w:color w:val="auto"/>
        </w:rPr>
      </w:pPr>
    </w:p>
    <w:p>
      <w:pPr>
        <w:ind w:right="500"/>
        <w:spacing w:after="0" w:line="270" w:lineRule="auto"/>
        <w:rPr>
          <w:sz w:val="20"/>
          <w:szCs w:val="20"/>
          <w:color w:val="auto"/>
        </w:rPr>
      </w:pPr>
      <w:r>
        <w:rPr>
          <w:rFonts w:ascii="Arial" w:cs="Arial" w:eastAsia="Arial" w:hAnsi="Arial"/>
          <w:sz w:val="22"/>
          <w:szCs w:val="22"/>
          <w:b w:val="1"/>
          <w:bCs w:val="1"/>
          <w:i w:val="1"/>
          <w:iCs w:val="1"/>
          <w:color w:val="auto"/>
        </w:rPr>
        <w:t>GlyphAgo (SPT-320 or Glyph Agomelatine) Program for Patients with Generalized Anxiety Disorder (GAD)</w:t>
      </w:r>
    </w:p>
    <w:p>
      <w:pPr>
        <w:spacing w:after="0" w:line="63" w:lineRule="exact"/>
        <w:rPr>
          <w:sz w:val="20"/>
          <w:szCs w:val="20"/>
          <w:color w:val="auto"/>
        </w:rPr>
      </w:pPr>
    </w:p>
    <w:p>
      <w:pPr>
        <w:ind w:left="660" w:right="60" w:hanging="332"/>
        <w:spacing w:after="0" w:line="234"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Dosed First Patient in Phase 2a Proof-of-Pharmacology Trial (October). </w:t>
      </w:r>
      <w:r>
        <w:rPr>
          <w:rFonts w:ascii="Arial" w:cs="Arial" w:eastAsia="Arial" w:hAnsi="Arial"/>
          <w:sz w:val="22"/>
          <w:szCs w:val="22"/>
          <w:color w:val="auto"/>
        </w:rPr>
        <w:t>This randomized,</w:t>
      </w:r>
      <w:r>
        <w:rPr>
          <w:rFonts w:ascii="Arial" w:cs="Arial" w:eastAsia="Arial" w:hAnsi="Arial"/>
          <w:sz w:val="22"/>
          <w:szCs w:val="22"/>
          <w:b w:val="1"/>
          <w:bCs w:val="1"/>
          <w:color w:val="auto"/>
        </w:rPr>
        <w:t xml:space="preserve"> </w:t>
      </w:r>
      <w:r>
        <w:rPr>
          <w:rFonts w:ascii="Arial" w:cs="Arial" w:eastAsia="Arial" w:hAnsi="Arial"/>
          <w:sz w:val="22"/>
          <w:szCs w:val="22"/>
          <w:color w:val="auto"/>
        </w:rPr>
        <w:t>double-blind trial of two dose levels of GlyphAgo (16 mg/day, containing approximately 5 mg agomelatine; 32 mg/day, containing approximately 10 mg agomelatine) is designed to establish proof-of-pharmacology by evaluating the effects of GlyphAgo on sleep, assessed by patient-reported sleep outcomes, including the Insomnia Severity Index (ISI), and EEG-based measures of sleep architecture. Additional endpoints include anxiety severity as measured by the Hamilton Anxiety Scale (HAM-A), overall illness severity (Clinical Global Impression-Severity (CGI-S)) and safety, tolerability, and pharmacokinetics. Topline data from this trial are expected in early 2028.</w:t>
      </w:r>
    </w:p>
    <w:p>
      <w:pPr>
        <w:spacing w:after="0" w:line="209" w:lineRule="exact"/>
        <w:rPr>
          <w:rFonts w:ascii="Times New Roman" w:cs="Times New Roman" w:eastAsia="Times New Roman" w:hAnsi="Times New Roman"/>
          <w:sz w:val="22"/>
          <w:szCs w:val="22"/>
          <w:color w:val="auto"/>
        </w:rPr>
      </w:pPr>
    </w:p>
    <w:p>
      <w:pPr>
        <w:ind w:left="660" w:right="80" w:hanging="332"/>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Company Plans to Initiate a Phase 2/3 Trial in the First Half of 2027. </w:t>
      </w:r>
      <w:r>
        <w:rPr>
          <w:rFonts w:ascii="Arial" w:cs="Arial" w:eastAsia="Arial" w:hAnsi="Arial"/>
          <w:sz w:val="22"/>
          <w:szCs w:val="22"/>
          <w:color w:val="auto"/>
        </w:rPr>
        <w:t>This global,</w:t>
      </w:r>
      <w:r>
        <w:rPr>
          <w:rFonts w:ascii="Arial" w:cs="Arial" w:eastAsia="Arial" w:hAnsi="Arial"/>
          <w:sz w:val="22"/>
          <w:szCs w:val="22"/>
          <w:b w:val="1"/>
          <w:bCs w:val="1"/>
          <w:color w:val="auto"/>
        </w:rPr>
        <w:t xml:space="preserve"> </w:t>
      </w:r>
      <w:r>
        <w:rPr>
          <w:rFonts w:ascii="Arial" w:cs="Arial" w:eastAsia="Arial" w:hAnsi="Arial"/>
          <w:sz w:val="22"/>
          <w:szCs w:val="22"/>
          <w:color w:val="auto"/>
        </w:rPr>
        <w:t>randomized, double-blind, placebo-controlled, potentially registration-enabling trial is designed to evaluate the efficacy and safety of GlyphAgo in patients with GAD. Topline data from this trial are expected by year-end 2028.</w:t>
      </w:r>
    </w:p>
    <w:p>
      <w:pPr>
        <w:spacing w:after="0" w:line="229" w:lineRule="exact"/>
        <w:rPr>
          <w:rFonts w:ascii="Times New Roman" w:cs="Times New Roman" w:eastAsia="Times New Roman" w:hAnsi="Times New Roman"/>
          <w:sz w:val="22"/>
          <w:szCs w:val="22"/>
          <w:color w:val="auto"/>
        </w:rPr>
      </w:pPr>
    </w:p>
    <w:p>
      <w:pPr>
        <w:jc w:val="both"/>
        <w:ind w:left="660" w:right="80" w:hanging="332"/>
        <w:spacing w:after="0" w:line="272" w:lineRule="auto"/>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Presented Additional Pharmacokinetic Data from Phase 1 Trial at 39</w:t>
      </w:r>
      <w:r>
        <w:rPr>
          <w:rFonts w:ascii="Arial" w:cs="Arial" w:eastAsia="Arial" w:hAnsi="Arial"/>
          <w:sz w:val="13"/>
          <w:szCs w:val="13"/>
          <w:b w:val="1"/>
          <w:bCs w:val="1"/>
          <w:color w:val="auto"/>
        </w:rPr>
        <w:t>th</w:t>
      </w:r>
      <w:r>
        <w:rPr>
          <w:rFonts w:ascii="Arial" w:cs="Arial" w:eastAsia="Arial" w:hAnsi="Arial"/>
          <w:sz w:val="20"/>
          <w:szCs w:val="20"/>
          <w:b w:val="1"/>
          <w:bCs w:val="1"/>
          <w:color w:val="auto"/>
        </w:rPr>
        <w:t xml:space="preserve"> European College of Neuropsychopharmacology (ECNP) Congress (October). </w:t>
      </w:r>
      <w:r>
        <w:rPr>
          <w:rFonts w:ascii="Arial" w:cs="Arial" w:eastAsia="Arial" w:hAnsi="Arial"/>
          <w:sz w:val="20"/>
          <w:szCs w:val="20"/>
          <w:color w:val="auto"/>
        </w:rPr>
        <w:t>First scientific presentation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detailed pharmacokinetic (PK) data from this trial demonstrates dose-dependent increases in agomelatine exposure, no food effect, and no accumulation of exposure over seven days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440055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59" w:right="1099" w:bottom="1440" w:gutter="0" w:footer="0" w:header="0"/>
        </w:sectPr>
      </w:pPr>
    </w:p>
    <w:bookmarkStart w:id="5" w:name="page6"/>
    <w:bookmarkEnd w:id="5"/>
    <w:p>
      <w:pPr>
        <w:ind w:left="660" w:right="160"/>
        <w:spacing w:after="0" w:line="245" w:lineRule="auto"/>
        <w:rPr>
          <w:sz w:val="20"/>
          <w:szCs w:val="20"/>
          <w:color w:val="auto"/>
        </w:rPr>
      </w:pPr>
      <w:r>
        <w:rPr>
          <w:rFonts w:ascii="Arial" w:cs="Arial" w:eastAsia="Arial" w:hAnsi="Arial"/>
          <w:sz w:val="22"/>
          <w:szCs w:val="22"/>
          <w:color w:val="auto"/>
        </w:rPr>
        <w:t>dosing. These data reinforce previously reported topline results demonstrating that GlyphAgo achieved a statistically significant 6.8-fold increase in agomelatine bioavailability and substantially lower (10-fold) PK variability compared to unmodified agomelatine.</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Preclinical and Discovery Programs</w:t>
      </w:r>
    </w:p>
    <w:p>
      <w:pPr>
        <w:spacing w:after="0" w:line="123" w:lineRule="exact"/>
        <w:rPr>
          <w:sz w:val="20"/>
          <w:szCs w:val="20"/>
          <w:color w:val="auto"/>
        </w:rPr>
      </w:pPr>
    </w:p>
    <w:p>
      <w:pPr>
        <w:ind w:left="660" w:right="200" w:hanging="332"/>
        <w:spacing w:after="0" w:line="238"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Glyph2BLSD (SPT-348 or Glyph 2-bromo-LSD) Program on Track. </w:t>
      </w:r>
      <w:r>
        <w:rPr>
          <w:rFonts w:ascii="Arial" w:cs="Arial" w:eastAsia="Arial" w:hAnsi="Arial"/>
          <w:sz w:val="22"/>
          <w:szCs w:val="22"/>
          <w:color w:val="auto"/>
        </w:rPr>
        <w:t>Seaport is developing</w:t>
      </w:r>
      <w:r>
        <w:rPr>
          <w:rFonts w:ascii="Arial" w:cs="Arial" w:eastAsia="Arial" w:hAnsi="Arial"/>
          <w:sz w:val="22"/>
          <w:szCs w:val="22"/>
          <w:b w:val="1"/>
          <w:bCs w:val="1"/>
          <w:color w:val="auto"/>
        </w:rPr>
        <w:t xml:space="preserve"> </w:t>
      </w:r>
      <w:r>
        <w:rPr>
          <w:rFonts w:ascii="Arial" w:cs="Arial" w:eastAsia="Arial" w:hAnsi="Arial"/>
          <w:sz w:val="22"/>
          <w:szCs w:val="22"/>
          <w:color w:val="auto"/>
        </w:rPr>
        <w:t>Glyph2BLSD for neuropsychiatric and headache disorders with significant unmet need. Glyph2BLSD is a non-hallucinogenic neuroplastogen designed to harness the pharmacology of a psychedelic without the hallucination, or “trip.” Completion of first-in-human-enabling studies is expected by year-end 2027.</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2026 Financial Results</w:t>
      </w:r>
    </w:p>
    <w:p>
      <w:pPr>
        <w:spacing w:after="0" w:line="139" w:lineRule="exact"/>
        <w:rPr>
          <w:sz w:val="20"/>
          <w:szCs w:val="20"/>
          <w:color w:val="auto"/>
        </w:rPr>
      </w:pPr>
    </w:p>
    <w:p>
      <w:pPr>
        <w:ind w:left="660" w:right="180" w:hanging="332"/>
        <w:spacing w:after="0" w:line="245"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cash equivalents, and investments totaled $403.8 million as of</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30, 2026. Seaport expects its cash, cash equivalents, and investments to support its current operating plans into 2029.</w:t>
      </w:r>
    </w:p>
    <w:p>
      <w:pPr>
        <w:spacing w:after="0" w:line="196" w:lineRule="exact"/>
        <w:rPr>
          <w:rFonts w:ascii="Times New Roman" w:cs="Times New Roman" w:eastAsia="Times New Roman" w:hAnsi="Times New Roman"/>
          <w:sz w:val="22"/>
          <w:szCs w:val="22"/>
          <w:color w:val="auto"/>
        </w:rPr>
      </w:pPr>
    </w:p>
    <w:p>
      <w:pPr>
        <w:ind w:left="660" w:right="520" w:hanging="332"/>
        <w:spacing w:after="0" w:line="238"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R&amp;D Expenses: </w:t>
      </w:r>
      <w:r>
        <w:rPr>
          <w:rFonts w:ascii="Arial" w:cs="Arial" w:eastAsia="Arial" w:hAnsi="Arial"/>
          <w:sz w:val="22"/>
          <w:szCs w:val="22"/>
          <w:color w:val="auto"/>
        </w:rPr>
        <w:t>Research and development (R&amp;D) expenses were $23.9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ended September 30, 2026, as compared with $20.5 million for the quarter ended September 30, 2025. The increase in R&amp;D expenses of $3.4 million was primarily due to increases in clinical development expenses related to the advancement of the Phase 2b BUOY-1 trial of GlyphAllo.</w:t>
      </w:r>
    </w:p>
    <w:p>
      <w:pPr>
        <w:spacing w:after="0" w:line="202" w:lineRule="exact"/>
        <w:rPr>
          <w:rFonts w:ascii="Times New Roman" w:cs="Times New Roman" w:eastAsia="Times New Roman" w:hAnsi="Times New Roman"/>
          <w:sz w:val="22"/>
          <w:szCs w:val="22"/>
          <w:color w:val="auto"/>
        </w:rPr>
      </w:pPr>
    </w:p>
    <w:p>
      <w:pPr>
        <w:ind w:left="660" w:right="40" w:hanging="332"/>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(G&amp;A) expenses were $6.5 million for the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ended September 30, 2026, as compared with $5.0 million for the quarter ended September 30, 2025. The increase in G&amp;A expenses of $1.5 million was primarily due to increased costs related to operating as a public company.</w:t>
      </w:r>
    </w:p>
    <w:p>
      <w:pPr>
        <w:spacing w:after="0" w:line="202" w:lineRule="exact"/>
        <w:rPr>
          <w:rFonts w:ascii="Times New Roman" w:cs="Times New Roman" w:eastAsia="Times New Roman" w:hAnsi="Times New Roman"/>
          <w:sz w:val="22"/>
          <w:szCs w:val="22"/>
          <w:color w:val="auto"/>
        </w:rPr>
      </w:pPr>
    </w:p>
    <w:p>
      <w:pPr>
        <w:ind w:left="660" w:hanging="332"/>
        <w:spacing w:after="0" w:line="260"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$26.4 million for the third quarter of 2026, as compared to a net loss of</w:t>
      </w:r>
      <w:r>
        <w:rPr>
          <w:rFonts w:ascii="Arial" w:cs="Arial" w:eastAsia="Arial" w:hAnsi="Arial"/>
          <w:sz w:val="22"/>
          <w:szCs w:val="22"/>
          <w:b w:val="1"/>
          <w:bCs w:val="1"/>
          <w:color w:val="auto"/>
        </w:rPr>
        <w:t xml:space="preserve"> </w:t>
      </w:r>
      <w:r>
        <w:rPr>
          <w:rFonts w:ascii="Arial" w:cs="Arial" w:eastAsia="Arial" w:hAnsi="Arial"/>
          <w:sz w:val="22"/>
          <w:szCs w:val="22"/>
          <w:color w:val="auto"/>
        </w:rPr>
        <w:t>$22.5 million for the third quarter of 2025.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Seaport Therapeutics</w:t>
      </w:r>
    </w:p>
    <w:p>
      <w:pPr>
        <w:spacing w:after="0" w:line="14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Seaport Therapeutics (Nasdaq: SPTX) is a clinical-stage therapeutics company focused on inventing and developing new medicines for patients with depression, anxiety, and other debilitating neuropsychiatric disorders. Through its differentiated approach, the Company identifies clinically validated mechanisms with established efficacy and safety which had historically been limited by high first-pass metabolism, low bioavailability, and/or side effects. Seaport applies its proprietary</w:t>
      </w:r>
    </w:p>
    <w:p>
      <w:pPr>
        <w:spacing w:after="0" w:line="3"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Glyph</w:t>
      </w:r>
      <w:r>
        <w:rPr>
          <w:rFonts w:ascii="Arial" w:cs="Arial" w:eastAsia="Arial" w:hAnsi="Arial"/>
          <w:sz w:val="14"/>
          <w:szCs w:val="14"/>
          <w:color w:val="auto"/>
        </w:rPr>
        <w:t>TM</w:t>
      </w:r>
      <w:r>
        <w:rPr>
          <w:rFonts w:ascii="Arial" w:cs="Arial" w:eastAsia="Arial" w:hAnsi="Arial"/>
          <w:sz w:val="22"/>
          <w:szCs w:val="22"/>
          <w:color w:val="auto"/>
        </w:rPr>
        <w:t>platform to overcome those limitations and invent innovative oral therapies. With an experienced team of industry leaders, Seaport has a proven track record in neuropsychiatry drug discovery and development and delivering successful business outcomes. Seaport aims to develop novel, leading treatment options that will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555625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1" w:right="1119" w:bottom="1440" w:gutter="0" w:footer="0" w:header="0"/>
        </w:sectPr>
      </w:pPr>
    </w:p>
    <w:bookmarkStart w:id="6" w:name="page7"/>
    <w:bookmarkEnd w:id="6"/>
    <w:p>
      <w:pPr>
        <w:ind w:right="1740"/>
        <w:spacing w:after="0" w:line="259" w:lineRule="auto"/>
        <w:rPr>
          <w:sz w:val="20"/>
          <w:szCs w:val="20"/>
          <w:color w:val="auto"/>
        </w:rPr>
      </w:pPr>
      <w:r>
        <w:rPr>
          <w:rFonts w:ascii="Arial" w:cs="Arial" w:eastAsia="Arial" w:hAnsi="Arial"/>
          <w:sz w:val="22"/>
          <w:szCs w:val="22"/>
          <w:color w:val="auto"/>
        </w:rPr>
        <w:t xml:space="preserve">a significant impact for patients and their families. For more information, please visit </w:t>
      </w:r>
      <w:r>
        <w:rPr>
          <w:rFonts w:ascii="Arial" w:cs="Arial" w:eastAsia="Arial" w:hAnsi="Arial"/>
          <w:sz w:val="22"/>
          <w:szCs w:val="22"/>
          <w:u w:val="single" w:color="auto"/>
          <w:color w:val="467886"/>
        </w:rPr>
        <w:t>www.seaporttx.com</w:t>
      </w:r>
      <w:r>
        <w:rPr>
          <w:rFonts w:ascii="Arial" w:cs="Arial" w:eastAsia="Arial" w:hAnsi="Arial"/>
          <w:sz w:val="22"/>
          <w:szCs w:val="22"/>
          <w:color w:val="000000"/>
        </w:rPr>
        <w:t>.</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7"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The words “anticipate,” “believe,” “contemplate,” “continue,” “could,” “design,” “estimate,” “expect,” “intend,” “may,” “plan,” “potential,” “predict,” “project,” “seek,” “should,” “target,” “will,” “would,” and similar expressions are intended to identify forward-looking statements, although not all forward-looking statements contain these identifying words. These forward-looking statements include, but are not limited to, express or implied statements regarding: the potential of</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the Glyph</w:t>
      </w:r>
      <w:r>
        <w:rPr>
          <w:rFonts w:ascii="Arial" w:cs="Arial" w:eastAsia="Arial" w:hAnsi="Arial"/>
          <w:sz w:val="14"/>
          <w:szCs w:val="14"/>
          <w:color w:val="auto"/>
        </w:rPr>
        <w:t>TM</w:t>
      </w:r>
      <w:r>
        <w:rPr>
          <w:rFonts w:ascii="Arial" w:cs="Arial" w:eastAsia="Arial" w:hAnsi="Arial"/>
          <w:sz w:val="22"/>
          <w:szCs w:val="22"/>
          <w:color w:val="auto"/>
        </w:rPr>
        <w:t xml:space="preserve"> platform to enhance oral bioavailability, bypass first-pass metabolism, and reduce hepatotoxicity; our product candidates, including the progress, enrollment, and anticipated timing of topline data from the GlyphAllo Phase 2b BUOY-1 trial in 1H 2027; the interpretation and clinical regulatory implications of the previously reported topline results from the Phase 1 driving simulation trial of GlyphAllo in healthy volunteers, which we have submitted to the U.S. Food and Drug Administration (“FDA”), including the FDA’s review of those results; the progress and enrollment of the Phase 2a GlyphAgo trial and the anticipated timing of topline data in early 2028; the planned initiation of the GlyphAgo Phase 2/3 trial in the first half of 2027 and the anticipated timing of topline data by the end of 2028; the timing, progress, and results of our research and development programs, preclinical studies, and future clinical trials, including the completion of first-in-human-enabling activities for Glyph2BLSD and the completion of first-in-human-enabling studies by year-end 2027; and our expectations regarding uses of capital, expenses and financial results, including the expected cash runway and financial performance.</w:t>
      </w:r>
    </w:p>
    <w:p>
      <w:pPr>
        <w:spacing w:after="0" w:line="11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Forward-looking statements are based on management’s current expectations and are subject to risks and uncertainties that could negatively affect Seaport’s business, operating results, financial condition, and stock value. Factors that could cause actual results to differ materially from those currently anticipated include: risks relating to the Company’s research and development activities, including with respect to the GlyphAllo Phase 2b BUOY-1 trial and the GlyphAgo Phase 2a and planned Phase 2/3 trials; risks that result from earlier trials, including Phase 1 trials, or from third-party trials may not be predictive of future results, including with respect to liver safety; risks that interim results are not predictive of final results in a clinical trial; Seaport’s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Seaport’s ability to attract, integrate, and retain key personnel; risks related to the Company’s financial condition, including Seaport’s limited operating history and history of significant losses, the Company’s need for substantial additional funding and its ability to raise capital when needed, on acceptable terms, or at all, to complete development activities and commercialize Seaport’s product candidates, if approved; risks related to regulatory developments and approval processes of the FDA and comparable foreign regulatory authorities; risks related to establishing and maintaining Seaport’s intellectual property protections; and risks related to the competitive landscape for Seaport’s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560070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1" w:right="1099" w:bottom="1440" w:gutter="0" w:footer="0" w:header="0"/>
        </w:sectPr>
      </w:pPr>
    </w:p>
    <w:bookmarkStart w:id="7" w:name="page8"/>
    <w:bookmarkEnd w:id="7"/>
    <w:p>
      <w:pPr>
        <w:spacing w:after="0" w:line="235" w:lineRule="auto"/>
        <w:rPr>
          <w:sz w:val="20"/>
          <w:szCs w:val="20"/>
          <w:color w:val="auto"/>
        </w:rPr>
      </w:pPr>
      <w:r>
        <w:rPr>
          <w:rFonts w:ascii="Arial" w:cs="Arial" w:eastAsia="Arial" w:hAnsi="Arial"/>
          <w:sz w:val="22"/>
          <w:szCs w:val="22"/>
          <w:color w:val="auto"/>
        </w:rPr>
        <w:t>as well as other risks described in “Risk Factors,” in Seaport’s Quarterly Report on Form 10-Q for the three months ended September 30, 2026 filed with the Securities and Exchange Commission (“SEC”), as well as subsequent filings with the SEC. Seaport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spacing w:after="0" w:line="111"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Seaport uses and intends to continue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1230630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1" w:right="11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Seaport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 xml:space="preserve">(In thousands, except share and per share amounts) </w:t>
      </w:r>
      <w:r>
        <w:rPr>
          <w:rFonts w:ascii="Arial" w:cs="Arial" w:eastAsia="Arial" w:hAnsi="Arial"/>
          <w:sz w:val="18"/>
          <w:szCs w:val="18"/>
          <w:b w:val="1"/>
          <w:bCs w:val="1"/>
          <w:i w:val="1"/>
          <w:iCs w:val="1"/>
          <w:color w:val="auto"/>
        </w:rPr>
        <w:t>(Unaudited)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900"/>
              <w:spacing w:after="0" w:line="202" w:lineRule="exact"/>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6"/>
          </w:tcPr>
          <w:p>
            <w:pPr>
              <w:jc w:val="right"/>
              <w:ind w:right="74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line="183" w:lineRule="exact"/>
              <w:rPr>
                <w:sz w:val="20"/>
                <w:szCs w:val="20"/>
                <w:color w:val="auto"/>
              </w:rPr>
            </w:pPr>
            <w:r>
              <w:rPr>
                <w:rFonts w:ascii="Arial" w:cs="Arial" w:eastAsia="Arial" w:hAnsi="Arial"/>
                <w:sz w:val="18"/>
                <w:szCs w:val="18"/>
                <w:color w:val="auto"/>
              </w:rPr>
              <w:t>Research and development (including non-cash</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 of $1.0 million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and $0.6 million for the three months ended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September 30, 2026 and 2025, respectively and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$2.7 million and $1.7 million for the nine months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spacing w:after="0"/>
              <w:rPr>
                <w:sz w:val="20"/>
                <w:szCs w:val="20"/>
                <w:color w:val="auto"/>
              </w:rPr>
            </w:pPr>
            <w:r>
              <w:rPr>
                <w:rFonts w:ascii="Arial" w:cs="Arial" w:eastAsia="Arial" w:hAnsi="Arial"/>
                <w:sz w:val="18"/>
                <w:szCs w:val="18"/>
                <w:color w:val="auto"/>
              </w:rPr>
              <w:t>ended September 30, 2026 and 2025, respectively) $</w:t>
            </w:r>
          </w:p>
        </w:tc>
        <w:tc>
          <w:tcPr>
            <w:tcW w:w="1020" w:type="dxa"/>
            <w:vAlign w:val="bottom"/>
          </w:tcPr>
          <w:p>
            <w:pPr>
              <w:jc w:val="right"/>
              <w:spacing w:after="0"/>
              <w:rPr>
                <w:sz w:val="20"/>
                <w:szCs w:val="20"/>
                <w:color w:val="auto"/>
              </w:rPr>
            </w:pPr>
            <w:r>
              <w:rPr>
                <w:rFonts w:ascii="Arial" w:cs="Arial" w:eastAsia="Arial" w:hAnsi="Arial"/>
                <w:sz w:val="18"/>
                <w:szCs w:val="18"/>
                <w:color w:val="auto"/>
              </w:rPr>
              <w:t>23,891</w:t>
            </w:r>
          </w:p>
        </w:tc>
        <w:tc>
          <w:tcPr>
            <w:tcW w:w="2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20,453</w:t>
            </w:r>
          </w:p>
        </w:tc>
        <w:tc>
          <w:tcPr>
            <w:tcW w:w="1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69,939</w:t>
            </w:r>
          </w:p>
        </w:tc>
        <w:tc>
          <w:tcPr>
            <w:tcW w:w="2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General and administrative (including non-cash</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 of $1.5 million</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and $1.2 million for the three months ended</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September 30, 2026 and 2025, respectively and</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$39.1 million and $3.5 million for the nine months</w:t>
            </w:r>
          </w:p>
        </w:tc>
        <w:tc>
          <w:tcPr>
            <w:tcW w:w="2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53,756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ended September 30, 2026 and 2025, respectively)</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1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30,345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25,441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123,695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(30,345)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(25,441)</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(123,695)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(60,095)</w:t>
            </w:r>
          </w:p>
        </w:tc>
        <w:tc>
          <w:tcPr>
            <w:tcW w:w="0" w:type="dxa"/>
            <w:vAlign w:val="bottom"/>
          </w:tcPr>
          <w:p>
            <w:pPr>
              <w:spacing w:after="0"/>
              <w:rPr>
                <w:sz w:val="1"/>
                <w:szCs w:val="1"/>
                <w:color w:val="auto"/>
              </w:rPr>
            </w:pPr>
          </w:p>
        </w:tc>
      </w:tr>
      <w:tr>
        <w:trPr>
          <w:trHeight w:val="196"/>
        </w:trPr>
        <w:tc>
          <w:tcPr>
            <w:tcW w:w="4180" w:type="dxa"/>
            <w:vAlign w:val="bottom"/>
          </w:tcPr>
          <w:p>
            <w:pPr>
              <w:spacing w:after="0" w:line="196" w:lineRule="exact"/>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(26,267)</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(22,449)</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(113,504)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(50,486)</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(26,394)</w:t>
            </w:r>
          </w:p>
        </w:tc>
        <w:tc>
          <w:tcPr>
            <w:tcW w:w="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(22,544)</w:t>
            </w:r>
          </w:p>
        </w:tc>
        <w:tc>
          <w:tcPr>
            <w:tcW w:w="1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(114,402)</w:t>
            </w:r>
          </w:p>
        </w:tc>
        <w:tc>
          <w:tcPr>
            <w:tcW w:w="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(50,746)</w:t>
            </w:r>
          </w:p>
        </w:tc>
        <w:tc>
          <w:tcPr>
            <w:tcW w:w="0" w:type="dxa"/>
            <w:vAlign w:val="bottom"/>
          </w:tcPr>
          <w:p>
            <w:pPr>
              <w:spacing w:after="0"/>
              <w:rPr>
                <w:sz w:val="1"/>
                <w:szCs w:val="1"/>
                <w:color w:val="auto"/>
              </w:rPr>
            </w:pPr>
          </w:p>
        </w:tc>
      </w:tr>
      <w:tr>
        <w:trPr>
          <w:trHeight w:val="183"/>
        </w:trPr>
        <w:tc>
          <w:tcPr>
            <w:tcW w:w="41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AEEFB"/>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AEEFB"/>
          </w:tcPr>
          <w:p>
            <w:pPr>
              <w:jc w:val="right"/>
              <w:ind w:right="200"/>
              <w:spacing w:after="0" w:line="202" w:lineRule="exact"/>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AEEF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AEEFB"/>
          </w:tcPr>
          <w:p>
            <w:pPr>
              <w:jc w:val="right"/>
              <w:ind w:right="80"/>
              <w:spacing w:after="0" w:line="202" w:lineRule="exact"/>
              <w:rPr>
                <w:sz w:val="20"/>
                <w:szCs w:val="20"/>
                <w:color w:val="auto"/>
              </w:rPr>
            </w:pPr>
            <w:r>
              <w:rPr>
                <w:rFonts w:ascii="Arial" w:cs="Arial" w:eastAsia="Arial" w:hAnsi="Arial"/>
                <w:sz w:val="18"/>
                <w:szCs w:val="18"/>
                <w:color w:val="auto"/>
              </w:rPr>
              <w:t>(9.43)</w:t>
            </w:r>
          </w:p>
        </w:tc>
        <w:tc>
          <w:tcPr>
            <w:tcW w:w="180" w:type="dxa"/>
            <w:vAlign w:val="bottom"/>
            <w:gridSpan w:val="2"/>
            <w:shd w:val="clear" w:color="auto" w:fill="CAEEFB"/>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AEEFB"/>
          </w:tcPr>
          <w:p>
            <w:pPr>
              <w:jc w:val="right"/>
              <w:ind w:right="180"/>
              <w:spacing w:after="0" w:line="202" w:lineRule="exact"/>
              <w:rPr>
                <w:sz w:val="20"/>
                <w:szCs w:val="20"/>
                <w:color w:val="auto"/>
              </w:rPr>
            </w:pPr>
            <w:r>
              <w:rPr>
                <w:rFonts w:ascii="Arial" w:cs="Arial" w:eastAsia="Arial" w:hAnsi="Arial"/>
                <w:sz w:val="18"/>
                <w:szCs w:val="18"/>
                <w:color w:val="auto"/>
              </w:rPr>
              <w:t>(3.72)</w:t>
            </w:r>
          </w:p>
        </w:tc>
        <w:tc>
          <w:tcPr>
            <w:tcW w:w="340" w:type="dxa"/>
            <w:vAlign w:val="bottom"/>
            <w:gridSpan w:val="2"/>
            <w:shd w:val="clear" w:color="auto" w:fill="CAEEF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AEEFB"/>
          </w:tcPr>
          <w:p>
            <w:pPr>
              <w:jc w:val="right"/>
              <w:ind w:right="40"/>
              <w:spacing w:after="0" w:line="202" w:lineRule="exact"/>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164"/>
        </w:trPr>
        <w:tc>
          <w:tcPr>
            <w:tcW w:w="4180" w:type="dxa"/>
            <w:vAlign w:val="bottom"/>
            <w:tcBorders>
              <w:top w:val="single" w:sz="8" w:color="CFF0FC"/>
            </w:tcBorders>
          </w:tcPr>
          <w:p>
            <w:pPr>
              <w:ind w:left="180"/>
              <w:spacing w:after="0" w:line="164" w:lineRule="exact"/>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53,530,550</w:t>
            </w:r>
          </w:p>
        </w:tc>
        <w:tc>
          <w:tcPr>
            <w:tcW w:w="260" w:type="dxa"/>
            <w:vAlign w:val="bottom"/>
            <w:tcBorders>
              <w:top w:val="single" w:sz="8" w:color="CAEEFB"/>
            </w:tcBorders>
          </w:tcPr>
          <w:p>
            <w:pPr>
              <w:spacing w:after="0"/>
              <w:rPr>
                <w:sz w:val="14"/>
                <w:szCs w:val="14"/>
                <w:color w:val="auto"/>
              </w:rPr>
            </w:pPr>
          </w:p>
        </w:tc>
        <w:tc>
          <w:tcPr>
            <w:tcW w:w="180" w:type="dxa"/>
            <w:vAlign w:val="bottom"/>
            <w:tcBorders>
              <w:top w:val="single" w:sz="8" w:color="CAEEFB"/>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2,389,888</w:t>
            </w:r>
          </w:p>
        </w:tc>
        <w:tc>
          <w:tcPr>
            <w:tcW w:w="140" w:type="dxa"/>
            <w:vAlign w:val="bottom"/>
            <w:tcBorders>
              <w:top w:val="single" w:sz="8" w:color="CAEEFB"/>
            </w:tcBorders>
          </w:tcPr>
          <w:p>
            <w:pPr>
              <w:spacing w:after="0"/>
              <w:rPr>
                <w:sz w:val="14"/>
                <w:szCs w:val="14"/>
                <w:color w:val="auto"/>
              </w:rPr>
            </w:pPr>
          </w:p>
        </w:tc>
        <w:tc>
          <w:tcPr>
            <w:tcW w:w="60" w:type="dxa"/>
            <w:vAlign w:val="bottom"/>
            <w:tcBorders>
              <w:top w:val="single" w:sz="8" w:color="CAEEFB"/>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30,714,936</w:t>
            </w:r>
          </w:p>
        </w:tc>
        <w:tc>
          <w:tcPr>
            <w:tcW w:w="240" w:type="dxa"/>
            <w:vAlign w:val="bottom"/>
            <w:tcBorders>
              <w:top w:val="single" w:sz="8" w:color="CAEEFB"/>
            </w:tcBorders>
          </w:tcPr>
          <w:p>
            <w:pPr>
              <w:spacing w:after="0"/>
              <w:rPr>
                <w:sz w:val="14"/>
                <w:szCs w:val="14"/>
                <w:color w:val="auto"/>
              </w:rPr>
            </w:pPr>
          </w:p>
        </w:tc>
        <w:tc>
          <w:tcPr>
            <w:tcW w:w="180" w:type="dxa"/>
            <w:vAlign w:val="bottom"/>
            <w:tcBorders>
              <w:top w:val="single" w:sz="8" w:color="CAEEFB"/>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2,357,222</w:t>
            </w:r>
          </w:p>
        </w:tc>
        <w:tc>
          <w:tcPr>
            <w:tcW w:w="100" w:type="dxa"/>
            <w:vAlign w:val="bottom"/>
            <w:tcBorders>
              <w:top w:val="single" w:sz="8" w:color="CAEEFB"/>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180"/>
              <w:spacing w:after="0" w:line="161" w:lineRule="exact"/>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-1379220</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-1379220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-1379220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-1379220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-1117600</wp:posOffset>
            </wp:positionV>
            <wp:extent cx="85090" cy="17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090" cy="17081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-1117600</wp:posOffset>
            </wp:positionV>
            <wp:extent cx="85725" cy="17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-1117600</wp:posOffset>
            </wp:positionV>
            <wp:extent cx="85725" cy="170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-1117600</wp:posOffset>
            </wp:positionV>
            <wp:extent cx="85725"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-565150</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-548005</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-565150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-548005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-565150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-548005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-565150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-548005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-281940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-264795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-281940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-264795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-281940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-264795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-281940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-264795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Seaport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Condensed Consolidated Balance Sheet Data</w:t>
      </w:r>
    </w:p>
    <w:p>
      <w:pPr>
        <w:jc w:val="center"/>
        <w:spacing w:after="0"/>
        <w:rPr>
          <w:sz w:val="20"/>
          <w:szCs w:val="20"/>
          <w:color w:val="auto"/>
        </w:rPr>
      </w:pPr>
      <w:r>
        <w:rPr>
          <w:rFonts w:ascii="Arial" w:cs="Arial" w:eastAsia="Arial" w:hAnsi="Arial"/>
          <w:sz w:val="18"/>
          <w:szCs w:val="18"/>
          <w:b w:val="1"/>
          <w:bCs w:val="1"/>
          <w:color w:val="auto"/>
        </w:rPr>
        <w:t xml:space="preserve">(In thousands) </w:t>
      </w:r>
      <w:r>
        <w:rPr>
          <w:rFonts w:ascii="Arial" w:cs="Arial" w:eastAsia="Arial" w:hAnsi="Arial"/>
          <w:sz w:val="18"/>
          <w:szCs w:val="18"/>
          <w:b w:val="1"/>
          <w:bCs w:val="1"/>
          <w:i w:val="1"/>
          <w:i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2240" w:type="dxa"/>
            <w:vAlign w:val="bottom"/>
            <w:gridSpan w:val="4"/>
          </w:tcPr>
          <w:p>
            <w:pPr>
              <w:ind w:left="2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96"/>
        </w:trPr>
        <w:tc>
          <w:tcPr>
            <w:tcW w:w="660" w:type="dxa"/>
            <w:vAlign w:val="bottom"/>
          </w:tcPr>
          <w:p>
            <w:pPr>
              <w:spacing w:after="0"/>
              <w:rPr>
                <w:sz w:val="17"/>
                <w:szCs w:val="17"/>
                <w:color w:val="auto"/>
              </w:rPr>
            </w:pPr>
          </w:p>
        </w:tc>
        <w:tc>
          <w:tcPr>
            <w:tcW w:w="6680" w:type="dxa"/>
            <w:vAlign w:val="bottom"/>
            <w:shd w:val="clear" w:color="auto" w:fill="CAEEFB"/>
          </w:tcPr>
          <w:p>
            <w:pPr>
              <w:spacing w:after="0" w:line="196" w:lineRule="exact"/>
              <w:rPr>
                <w:sz w:val="20"/>
                <w:szCs w:val="20"/>
                <w:color w:val="auto"/>
              </w:rPr>
            </w:pPr>
            <w:r>
              <w:rPr>
                <w:rFonts w:ascii="Arial" w:cs="Arial" w:eastAsia="Arial" w:hAnsi="Arial"/>
                <w:sz w:val="18"/>
                <w:szCs w:val="18"/>
                <w:color w:val="auto"/>
              </w:rPr>
              <w:t>Cash, cash equivalents and investments</w:t>
            </w:r>
          </w:p>
        </w:tc>
        <w:tc>
          <w:tcPr>
            <w:tcW w:w="280" w:type="dxa"/>
            <w:vAlign w:val="bottom"/>
            <w:shd w:val="clear" w:color="auto" w:fill="CAEEFB"/>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AEEFB"/>
          </w:tcPr>
          <w:p>
            <w:pPr>
              <w:jc w:val="right"/>
              <w:spacing w:after="0" w:line="196" w:lineRule="exact"/>
              <w:rPr>
                <w:sz w:val="20"/>
                <w:szCs w:val="20"/>
                <w:color w:val="auto"/>
              </w:rPr>
            </w:pPr>
            <w:r>
              <w:rPr>
                <w:rFonts w:ascii="Arial" w:cs="Arial" w:eastAsia="Arial" w:hAnsi="Arial"/>
                <w:sz w:val="18"/>
                <w:szCs w:val="18"/>
                <w:color w:val="auto"/>
              </w:rPr>
              <w:t>403,799</w:t>
            </w:r>
          </w:p>
        </w:tc>
        <w:tc>
          <w:tcPr>
            <w:tcW w:w="520" w:type="dxa"/>
            <w:vAlign w:val="bottom"/>
            <w:gridSpan w:val="2"/>
            <w:shd w:val="clear" w:color="auto" w:fill="CAEEFB"/>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AEEFB"/>
          </w:tcPr>
          <w:p>
            <w:pPr>
              <w:jc w:val="right"/>
              <w:spacing w:after="0" w:line="196" w:lineRule="exact"/>
              <w:rPr>
                <w:sz w:val="20"/>
                <w:szCs w:val="20"/>
                <w:color w:val="auto"/>
              </w:rPr>
            </w:pPr>
            <w:r>
              <w:rPr>
                <w:rFonts w:ascii="Arial" w:cs="Arial" w:eastAsia="Arial" w:hAnsi="Arial"/>
                <w:sz w:val="18"/>
                <w:szCs w:val="18"/>
                <w:color w:val="auto"/>
              </w:rPr>
              <w:t>233,653</w:t>
            </w:r>
          </w:p>
        </w:tc>
        <w:tc>
          <w:tcPr>
            <w:tcW w:w="100" w:type="dxa"/>
            <w:vAlign w:val="bottom"/>
            <w:shd w:val="clear" w:color="auto" w:fill="CAEEFB"/>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281,956</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210,448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680" w:type="dxa"/>
            <w:vAlign w:val="bottom"/>
            <w:shd w:val="clear" w:color="auto" w:fill="CAEEFB"/>
          </w:tcPr>
          <w:p>
            <w:pPr>
              <w:spacing w:after="0" w:line="202" w:lineRule="exact"/>
              <w:rPr>
                <w:sz w:val="20"/>
                <w:szCs w:val="20"/>
                <w:color w:val="auto"/>
              </w:rPr>
            </w:pPr>
            <w:r>
              <w:rPr>
                <w:rFonts w:ascii="Arial" w:cs="Arial" w:eastAsia="Arial" w:hAnsi="Arial"/>
                <w:sz w:val="18"/>
                <w:szCs w:val="18"/>
                <w:color w:val="auto"/>
              </w:rPr>
              <w:t>Total assets</w:t>
            </w:r>
          </w:p>
        </w:tc>
        <w:tc>
          <w:tcPr>
            <w:tcW w:w="280" w:type="dxa"/>
            <w:vAlign w:val="bottom"/>
            <w:shd w:val="clear" w:color="auto" w:fill="CAEEFB"/>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AEEFB"/>
          </w:tcPr>
          <w:p>
            <w:pPr>
              <w:jc w:val="right"/>
              <w:spacing w:after="0" w:line="202" w:lineRule="exact"/>
              <w:rPr>
                <w:sz w:val="20"/>
                <w:szCs w:val="20"/>
                <w:color w:val="auto"/>
              </w:rPr>
            </w:pPr>
            <w:r>
              <w:rPr>
                <w:rFonts w:ascii="Arial" w:cs="Arial" w:eastAsia="Arial" w:hAnsi="Arial"/>
                <w:sz w:val="18"/>
                <w:szCs w:val="18"/>
                <w:color w:val="auto"/>
              </w:rPr>
              <w:t>417,624</w:t>
            </w:r>
          </w:p>
        </w:tc>
        <w:tc>
          <w:tcPr>
            <w:tcW w:w="520" w:type="dxa"/>
            <w:vAlign w:val="bottom"/>
            <w:gridSpan w:val="2"/>
            <w:shd w:val="clear" w:color="auto" w:fill="CAEEFB"/>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AEEFB"/>
          </w:tcPr>
          <w:p>
            <w:pPr>
              <w:jc w:val="right"/>
              <w:spacing w:after="0" w:line="202" w:lineRule="exact"/>
              <w:rPr>
                <w:sz w:val="20"/>
                <w:szCs w:val="20"/>
                <w:color w:val="auto"/>
              </w:rPr>
            </w:pPr>
            <w:r>
              <w:rPr>
                <w:rFonts w:ascii="Arial" w:cs="Arial" w:eastAsia="Arial" w:hAnsi="Arial"/>
                <w:sz w:val="18"/>
                <w:szCs w:val="18"/>
                <w:color w:val="auto"/>
              </w:rPr>
              <w:t>249,009</w:t>
            </w:r>
          </w:p>
        </w:tc>
        <w:tc>
          <w:tcPr>
            <w:tcW w:w="100" w:type="dxa"/>
            <w:vAlign w:val="bottom"/>
            <w:shd w:val="clear" w:color="auto" w:fill="CAEEFB"/>
          </w:tcPr>
          <w:p>
            <w:pPr>
              <w:spacing w:after="0"/>
              <w:rPr>
                <w:sz w:val="17"/>
                <w:szCs w:val="17"/>
                <w:color w:val="auto"/>
              </w:rPr>
            </w:pPr>
          </w:p>
        </w:tc>
        <w:tc>
          <w:tcPr>
            <w:tcW w:w="660" w:type="dxa"/>
            <w:vAlign w:val="bottom"/>
          </w:tcPr>
          <w:p>
            <w:pPr>
              <w:spacing w:after="0"/>
              <w:rPr>
                <w:sz w:val="17"/>
                <w:szCs w:val="17"/>
                <w:color w:val="auto"/>
              </w:rPr>
            </w:pPr>
          </w:p>
        </w:tc>
      </w:tr>
      <w:tr>
        <w:trPr>
          <w:trHeight w:val="239"/>
        </w:trPr>
        <w:tc>
          <w:tcPr>
            <w:tcW w:w="6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397,455</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(92,545)</w:t>
            </w:r>
          </w:p>
        </w:tc>
        <w:tc>
          <w:tcPr>
            <w:tcW w:w="660" w:type="dxa"/>
            <w:vAlign w:val="bottom"/>
          </w:tcPr>
          <w:p>
            <w:pPr>
              <w:spacing w:after="0"/>
              <w:rPr>
                <w:sz w:val="20"/>
                <w:szCs w:val="20"/>
                <w:color w:val="auto"/>
              </w:rPr>
            </w:pPr>
          </w:p>
        </w:tc>
      </w:tr>
      <w:tr>
        <w:trPr>
          <w:trHeight w:val="1159"/>
        </w:trPr>
        <w:tc>
          <w:tcPr>
            <w:tcW w:w="66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Seaport Therapeutics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Shannon Costello</w:t>
      </w:r>
    </w:p>
    <w:p>
      <w:pPr>
        <w:spacing w:after="0"/>
        <w:rPr>
          <w:sz w:val="20"/>
          <w:szCs w:val="20"/>
          <w:color w:val="auto"/>
        </w:rPr>
      </w:pPr>
      <w:r>
        <w:rPr>
          <w:rFonts w:ascii="Arial" w:cs="Arial" w:eastAsia="Arial" w:hAnsi="Arial"/>
          <w:sz w:val="22"/>
          <w:szCs w:val="22"/>
          <w:color w:val="auto"/>
        </w:rPr>
        <w:t>Vice President, Communications</w:t>
      </w:r>
    </w:p>
    <w:p>
      <w:pPr>
        <w:spacing w:after="0"/>
        <w:rPr>
          <w:sz w:val="20"/>
          <w:szCs w:val="20"/>
          <w:color w:val="auto"/>
        </w:rPr>
      </w:pPr>
      <w:r>
        <w:rPr>
          <w:rFonts w:ascii="Arial" w:cs="Arial" w:eastAsia="Arial" w:hAnsi="Arial"/>
          <w:sz w:val="22"/>
          <w:szCs w:val="22"/>
          <w:u w:val="single" w:color="auto"/>
          <w:color w:val="467886"/>
        </w:rPr>
        <w:t>publicrelations@seaporttx.com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Adam Bero, Ph.D.</w:t>
      </w:r>
    </w:p>
    <w:p>
      <w:pPr>
        <w:spacing w:after="0"/>
        <w:rPr>
          <w:sz w:val="20"/>
          <w:szCs w:val="20"/>
          <w:color w:val="auto"/>
        </w:rPr>
      </w:pPr>
      <w:r>
        <w:rPr>
          <w:rFonts w:ascii="Arial" w:cs="Arial" w:eastAsia="Arial" w:hAnsi="Arial"/>
          <w:sz w:val="21"/>
          <w:szCs w:val="21"/>
          <w:color w:val="auto"/>
        </w:rPr>
        <w:t>Vice President, Head of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467886"/>
        </w:rPr>
        <w:t>ir@seaporttx.com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696595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59"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2026-11-02T06:05:11Z</dcterms:created>
  <dcterms:modified xsi:type="dcterms:W3CDTF">2026-11-02T06:05:11Z</dcterms:modified>
</cp:coreProperties>
</file>